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387" w:rsidRDefault="00504387" w:rsidP="00EF19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F5379">
        <w:rPr>
          <w:rFonts w:ascii="Arial" w:hAnsi="Arial" w:cs="Arial"/>
          <w:b/>
          <w:bCs/>
          <w:i/>
          <w:iCs/>
          <w:sz w:val="24"/>
          <w:szCs w:val="24"/>
        </w:rPr>
        <w:t>In-situ</w:t>
      </w:r>
      <w:r w:rsidRPr="006F5379">
        <w:rPr>
          <w:rFonts w:ascii="Arial" w:hAnsi="Arial" w:cs="Arial"/>
          <w:b/>
          <w:bCs/>
          <w:sz w:val="24"/>
          <w:szCs w:val="24"/>
        </w:rPr>
        <w:t xml:space="preserve"> synthesis of osteogenic &amp; angiogenic chit</w:t>
      </w:r>
      <w:r w:rsidR="00E44DDC">
        <w:rPr>
          <w:rFonts w:ascii="Arial" w:hAnsi="Arial" w:cs="Arial"/>
          <w:b/>
          <w:bCs/>
          <w:sz w:val="24"/>
          <w:szCs w:val="24"/>
        </w:rPr>
        <w:t>osan-demineralised bone matrix-</w:t>
      </w:r>
      <w:r w:rsidRPr="006F5379">
        <w:rPr>
          <w:rFonts w:ascii="Arial" w:hAnsi="Arial" w:cs="Arial"/>
          <w:b/>
          <w:bCs/>
          <w:sz w:val="24"/>
          <w:szCs w:val="24"/>
        </w:rPr>
        <w:t>whitlockite composite bone filler</w:t>
      </w:r>
    </w:p>
    <w:p w:rsidR="00504387" w:rsidRDefault="00504387" w:rsidP="00EF19B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44DDC">
        <w:rPr>
          <w:rFonts w:ascii="Arial" w:hAnsi="Arial" w:cs="Arial"/>
          <w:b/>
          <w:sz w:val="24"/>
          <w:szCs w:val="24"/>
          <w:u w:val="single"/>
        </w:rPr>
        <w:t>Sona Sunil</w:t>
      </w:r>
      <w:r w:rsidRPr="00E44DDC">
        <w:rPr>
          <w:rFonts w:ascii="Arial" w:hAnsi="Arial" w:cs="Arial"/>
          <w:b/>
          <w:sz w:val="24"/>
          <w:szCs w:val="24"/>
        </w:rPr>
        <w:t>,</w:t>
      </w:r>
      <w:r w:rsidR="00517C05">
        <w:rPr>
          <w:rFonts w:ascii="Arial" w:hAnsi="Arial" w:cs="Arial"/>
          <w:b/>
          <w:sz w:val="24"/>
          <w:szCs w:val="24"/>
        </w:rPr>
        <w:t xml:space="preserve"> Arthi Chandramouli,</w:t>
      </w:r>
      <w:r w:rsidRPr="00E44DDC">
        <w:rPr>
          <w:rFonts w:ascii="Arial" w:hAnsi="Arial" w:cs="Arial"/>
          <w:b/>
          <w:sz w:val="24"/>
          <w:szCs w:val="24"/>
        </w:rPr>
        <w:t xml:space="preserve"> R. Jayakumar</w:t>
      </w:r>
    </w:p>
    <w:p w:rsidR="00517C05" w:rsidRPr="00517C05" w:rsidRDefault="00517C05" w:rsidP="00EF19B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Polymeric Biomaterials Lab, School of Nanosciences and Molecular Medicine, Amrita Vishwa </w:t>
      </w:r>
      <w:r w:rsidR="003F0053">
        <w:rPr>
          <w:rFonts w:ascii="Arial" w:hAnsi="Arial" w:cs="Arial"/>
          <w:sz w:val="24"/>
          <w:szCs w:val="24"/>
        </w:rPr>
        <w:t>Vid</w:t>
      </w:r>
      <w:r>
        <w:rPr>
          <w:rFonts w:ascii="Arial" w:hAnsi="Arial" w:cs="Arial"/>
          <w:sz w:val="24"/>
          <w:szCs w:val="24"/>
        </w:rPr>
        <w:t>yapeetham Kochi- 682041, India</w:t>
      </w:r>
    </w:p>
    <w:p w:rsidR="00834F67" w:rsidRDefault="00834F67" w:rsidP="00EF19BE">
      <w:pPr>
        <w:spacing w:line="360" w:lineRule="auto"/>
        <w:ind w:hanging="2"/>
        <w:jc w:val="center"/>
        <w:rPr>
          <w:sz w:val="22"/>
          <w:szCs w:val="22"/>
        </w:rPr>
      </w:pPr>
      <w:r>
        <w:rPr>
          <w:sz w:val="22"/>
          <w:szCs w:val="22"/>
        </w:rPr>
        <w:t>*</w:t>
      </w:r>
      <w:hyperlink r:id="rId6" w:history="1">
        <w:r w:rsidRPr="00E47F8B">
          <w:rPr>
            <w:rStyle w:val="Hyperlink"/>
            <w:sz w:val="22"/>
            <w:szCs w:val="22"/>
          </w:rPr>
          <w:t>sona29sunil@gmail.com</w:t>
        </w:r>
      </w:hyperlink>
      <w:r>
        <w:rPr>
          <w:sz w:val="22"/>
          <w:szCs w:val="22"/>
        </w:rPr>
        <w:t xml:space="preserve">, </w:t>
      </w:r>
      <w:hyperlink r:id="rId7" w:history="1">
        <w:r w:rsidRPr="00E47F8B">
          <w:rPr>
            <w:rStyle w:val="Hyperlink"/>
            <w:sz w:val="22"/>
            <w:szCs w:val="22"/>
          </w:rPr>
          <w:t>rjayakumar@aims.amrita.aims.edu</w:t>
        </w:r>
      </w:hyperlink>
    </w:p>
    <w:p w:rsidR="00504387" w:rsidRPr="006F5379" w:rsidRDefault="00504387" w:rsidP="00384FAD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F5379">
        <w:rPr>
          <w:rFonts w:ascii="Arial" w:hAnsi="Arial" w:cs="Arial"/>
          <w:b/>
          <w:bCs/>
          <w:sz w:val="24"/>
          <w:szCs w:val="24"/>
        </w:rPr>
        <w:t>Abstract</w:t>
      </w:r>
    </w:p>
    <w:p w:rsidR="00284641" w:rsidRPr="00D362B1" w:rsidRDefault="00D23CA7" w:rsidP="00EF19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362B1">
        <w:rPr>
          <w:rFonts w:ascii="Arial" w:hAnsi="Arial" w:cs="Arial"/>
          <w:sz w:val="22"/>
          <w:szCs w:val="22"/>
        </w:rPr>
        <w:t xml:space="preserve">The rising demand for efficient and effective substitutes for bone tissue </w:t>
      </w:r>
      <w:r w:rsidR="00760205" w:rsidRPr="00D362B1">
        <w:rPr>
          <w:rFonts w:ascii="Arial" w:hAnsi="Arial" w:cs="Arial"/>
          <w:sz w:val="22"/>
          <w:szCs w:val="22"/>
        </w:rPr>
        <w:t xml:space="preserve">engineering has led to the development of novel biomaterials that are capable of regenerating </w:t>
      </w:r>
      <w:r w:rsidR="00F64741" w:rsidRPr="00D362B1">
        <w:rPr>
          <w:rFonts w:ascii="Arial" w:hAnsi="Arial" w:cs="Arial"/>
          <w:sz w:val="22"/>
          <w:szCs w:val="22"/>
        </w:rPr>
        <w:t>and revascularizing bony defects</w:t>
      </w:r>
      <w:r w:rsidR="00760205" w:rsidRPr="00D362B1">
        <w:rPr>
          <w:rFonts w:ascii="Arial" w:hAnsi="Arial" w:cs="Arial"/>
          <w:sz w:val="22"/>
          <w:szCs w:val="22"/>
        </w:rPr>
        <w:t>.</w:t>
      </w:r>
      <w:r w:rsidR="003C203B" w:rsidRPr="00D362B1">
        <w:rPr>
          <w:rFonts w:ascii="Arial" w:hAnsi="Arial" w:cs="Arial"/>
          <w:sz w:val="22"/>
          <w:szCs w:val="22"/>
        </w:rPr>
        <w:t xml:space="preserve"> </w:t>
      </w:r>
      <w:r w:rsidR="001F3370" w:rsidRPr="00D362B1">
        <w:rPr>
          <w:rFonts w:ascii="Arial" w:hAnsi="Arial" w:cs="Arial"/>
          <w:sz w:val="22"/>
          <w:szCs w:val="22"/>
        </w:rPr>
        <w:t xml:space="preserve">Currently, </w:t>
      </w:r>
      <w:r w:rsidR="00143D5E" w:rsidRPr="00D362B1">
        <w:rPr>
          <w:rFonts w:ascii="Arial" w:hAnsi="Arial" w:cs="Arial"/>
          <w:sz w:val="22"/>
          <w:szCs w:val="22"/>
        </w:rPr>
        <w:t>bioceramic</w:t>
      </w:r>
      <w:r w:rsidR="001F3370" w:rsidRPr="00D362B1">
        <w:rPr>
          <w:rFonts w:ascii="Arial" w:hAnsi="Arial" w:cs="Arial"/>
          <w:sz w:val="22"/>
          <w:szCs w:val="22"/>
        </w:rPr>
        <w:t xml:space="preserve">-polymer composites </w:t>
      </w:r>
      <w:r w:rsidR="00536B97" w:rsidRPr="00D362B1">
        <w:rPr>
          <w:rFonts w:ascii="Arial" w:hAnsi="Arial" w:cs="Arial"/>
          <w:sz w:val="22"/>
          <w:szCs w:val="22"/>
        </w:rPr>
        <w:t xml:space="preserve">such as chitosan-hydroxyapatite, collagen-hydroxyapatite etc </w:t>
      </w:r>
      <w:r w:rsidR="001F3370" w:rsidRPr="00D362B1">
        <w:rPr>
          <w:rFonts w:ascii="Arial" w:hAnsi="Arial" w:cs="Arial"/>
          <w:sz w:val="22"/>
          <w:szCs w:val="22"/>
        </w:rPr>
        <w:t xml:space="preserve">are acquiring much attention in the field of bone tissue engineering. </w:t>
      </w:r>
      <w:r w:rsidR="00A03A17" w:rsidRPr="00D362B1">
        <w:rPr>
          <w:rFonts w:ascii="Arial" w:hAnsi="Arial" w:cs="Arial"/>
          <w:sz w:val="22"/>
          <w:szCs w:val="22"/>
        </w:rPr>
        <w:t>The recent</w:t>
      </w:r>
      <w:r w:rsidR="003C203B" w:rsidRPr="00D362B1">
        <w:rPr>
          <w:rFonts w:ascii="Arial" w:hAnsi="Arial" w:cs="Arial"/>
          <w:sz w:val="22"/>
          <w:szCs w:val="22"/>
        </w:rPr>
        <w:t xml:space="preserve"> biomaterials evolved to date lack the ability to mimic the natural composition of the bone. </w:t>
      </w:r>
      <w:r w:rsidR="006B2318" w:rsidRPr="00D362B1">
        <w:rPr>
          <w:rFonts w:ascii="Arial" w:hAnsi="Arial" w:cs="Arial"/>
          <w:sz w:val="22"/>
          <w:szCs w:val="22"/>
        </w:rPr>
        <w:t>To</w:t>
      </w:r>
      <w:r w:rsidR="006B2C00" w:rsidRPr="00D362B1">
        <w:rPr>
          <w:rFonts w:ascii="Arial" w:hAnsi="Arial" w:cs="Arial"/>
          <w:sz w:val="22"/>
          <w:szCs w:val="22"/>
        </w:rPr>
        <w:t xml:space="preserve"> address this constraint</w:t>
      </w:r>
      <w:r w:rsidR="00A129FE" w:rsidRPr="00D362B1">
        <w:rPr>
          <w:rFonts w:ascii="Arial" w:hAnsi="Arial" w:cs="Arial"/>
          <w:sz w:val="22"/>
          <w:szCs w:val="22"/>
        </w:rPr>
        <w:t>, we develop</w:t>
      </w:r>
      <w:r w:rsidR="003B099F" w:rsidRPr="00D362B1">
        <w:rPr>
          <w:rFonts w:ascii="Arial" w:hAnsi="Arial" w:cs="Arial"/>
          <w:sz w:val="22"/>
          <w:szCs w:val="22"/>
        </w:rPr>
        <w:t>ed</w:t>
      </w:r>
      <w:r w:rsidR="00A129FE" w:rsidRPr="00D362B1">
        <w:rPr>
          <w:rFonts w:ascii="Arial" w:hAnsi="Arial" w:cs="Arial"/>
          <w:sz w:val="22"/>
          <w:szCs w:val="22"/>
        </w:rPr>
        <w:t xml:space="preserve"> a chitosan-demineralised bone matrix-whitlockite</w:t>
      </w:r>
      <w:r w:rsidR="003B39F2" w:rsidRPr="00D362B1">
        <w:rPr>
          <w:rFonts w:ascii="Arial" w:hAnsi="Arial" w:cs="Arial"/>
          <w:sz w:val="22"/>
          <w:szCs w:val="22"/>
        </w:rPr>
        <w:t xml:space="preserve"> (CS-DBM-WH)</w:t>
      </w:r>
      <w:r w:rsidR="00A129FE" w:rsidRPr="00D362B1">
        <w:rPr>
          <w:rFonts w:ascii="Arial" w:hAnsi="Arial" w:cs="Arial"/>
          <w:sz w:val="22"/>
          <w:szCs w:val="22"/>
        </w:rPr>
        <w:t xml:space="preserve"> composite</w:t>
      </w:r>
      <w:r w:rsidR="003B099F" w:rsidRPr="00D362B1">
        <w:rPr>
          <w:rFonts w:ascii="Arial" w:hAnsi="Arial" w:cs="Arial"/>
          <w:sz w:val="22"/>
          <w:szCs w:val="22"/>
        </w:rPr>
        <w:t xml:space="preserve"> filler</w:t>
      </w:r>
      <w:r w:rsidR="00A129FE" w:rsidRPr="00D362B1">
        <w:rPr>
          <w:rFonts w:ascii="Arial" w:hAnsi="Arial" w:cs="Arial"/>
          <w:sz w:val="22"/>
          <w:szCs w:val="22"/>
        </w:rPr>
        <w:t xml:space="preserve"> via an </w:t>
      </w:r>
      <w:r w:rsidR="00A129FE" w:rsidRPr="00D362B1">
        <w:rPr>
          <w:rFonts w:ascii="Arial" w:hAnsi="Arial" w:cs="Arial"/>
          <w:i/>
          <w:iCs/>
          <w:sz w:val="22"/>
          <w:szCs w:val="22"/>
        </w:rPr>
        <w:t>in-situ</w:t>
      </w:r>
      <w:r w:rsidR="00A129FE" w:rsidRPr="00D362B1">
        <w:rPr>
          <w:rFonts w:ascii="Arial" w:hAnsi="Arial" w:cs="Arial"/>
          <w:sz w:val="22"/>
          <w:szCs w:val="22"/>
        </w:rPr>
        <w:t xml:space="preserve"> method.</w:t>
      </w:r>
      <w:r w:rsidR="006A3C76" w:rsidRPr="00D362B1">
        <w:rPr>
          <w:rFonts w:ascii="Arial" w:hAnsi="Arial" w:cs="Arial"/>
          <w:sz w:val="22"/>
          <w:szCs w:val="22"/>
        </w:rPr>
        <w:t xml:space="preserve"> Chitosan</w:t>
      </w:r>
      <w:r w:rsidR="003B39F2" w:rsidRPr="00D362B1">
        <w:rPr>
          <w:rFonts w:ascii="Arial" w:hAnsi="Arial" w:cs="Arial"/>
          <w:sz w:val="22"/>
          <w:szCs w:val="22"/>
        </w:rPr>
        <w:t xml:space="preserve"> (CS)</w:t>
      </w:r>
      <w:r w:rsidR="006A3C76" w:rsidRPr="00D362B1">
        <w:rPr>
          <w:rFonts w:ascii="Arial" w:hAnsi="Arial" w:cs="Arial"/>
          <w:sz w:val="22"/>
          <w:szCs w:val="22"/>
        </w:rPr>
        <w:t xml:space="preserve"> is a biocompatible, biodegradable, antimicrobial and non-toxic biopolymer, which mimics the aminoglycosides in the extracellular matrix, thereby aiding in the process of regeneration. The presence of demineralised bone matrix</w:t>
      </w:r>
      <w:r w:rsidR="003B39F2" w:rsidRPr="00D362B1">
        <w:rPr>
          <w:rFonts w:ascii="Arial" w:hAnsi="Arial" w:cs="Arial"/>
          <w:sz w:val="22"/>
          <w:szCs w:val="22"/>
        </w:rPr>
        <w:t xml:space="preserve"> (DBM)</w:t>
      </w:r>
      <w:r w:rsidR="00143D5E" w:rsidRPr="00D362B1">
        <w:rPr>
          <w:rFonts w:ascii="Arial" w:hAnsi="Arial" w:cs="Arial"/>
          <w:sz w:val="22"/>
          <w:szCs w:val="22"/>
        </w:rPr>
        <w:t xml:space="preserve"> in the composite resembles the organic part of the bone </w:t>
      </w:r>
      <w:r w:rsidR="00536B97" w:rsidRPr="00D362B1">
        <w:rPr>
          <w:rFonts w:ascii="Arial" w:hAnsi="Arial" w:cs="Arial"/>
          <w:sz w:val="22"/>
          <w:szCs w:val="22"/>
        </w:rPr>
        <w:t xml:space="preserve">containing collagen and other growth factors </w:t>
      </w:r>
      <w:r w:rsidR="00E11ABB">
        <w:rPr>
          <w:rFonts w:ascii="Arial" w:hAnsi="Arial" w:cs="Arial"/>
          <w:sz w:val="22"/>
          <w:szCs w:val="22"/>
        </w:rPr>
        <w:t xml:space="preserve">which promotes osteogenesis, </w:t>
      </w:r>
      <w:r w:rsidR="00143D5E" w:rsidRPr="00D362B1">
        <w:rPr>
          <w:rFonts w:ascii="Arial" w:hAnsi="Arial" w:cs="Arial"/>
          <w:sz w:val="22"/>
          <w:szCs w:val="22"/>
        </w:rPr>
        <w:t>whereas whitlockite</w:t>
      </w:r>
      <w:r w:rsidR="003B39F2" w:rsidRPr="00D362B1">
        <w:rPr>
          <w:rFonts w:ascii="Arial" w:hAnsi="Arial" w:cs="Arial"/>
          <w:sz w:val="22"/>
          <w:szCs w:val="22"/>
        </w:rPr>
        <w:t xml:space="preserve"> (WH)</w:t>
      </w:r>
      <w:r w:rsidR="00143D5E" w:rsidRPr="00D362B1">
        <w:rPr>
          <w:rFonts w:ascii="Arial" w:hAnsi="Arial" w:cs="Arial"/>
          <w:sz w:val="22"/>
          <w:szCs w:val="22"/>
        </w:rPr>
        <w:t xml:space="preserve"> being a bioceramic</w:t>
      </w:r>
      <w:r w:rsidR="00D11816" w:rsidRPr="00D362B1">
        <w:rPr>
          <w:rFonts w:ascii="Arial" w:hAnsi="Arial" w:cs="Arial"/>
          <w:sz w:val="22"/>
          <w:szCs w:val="22"/>
        </w:rPr>
        <w:t>,</w:t>
      </w:r>
      <w:r w:rsidR="00143D5E" w:rsidRPr="00D362B1">
        <w:rPr>
          <w:rFonts w:ascii="Arial" w:hAnsi="Arial" w:cs="Arial"/>
          <w:sz w:val="22"/>
          <w:szCs w:val="22"/>
        </w:rPr>
        <w:t xml:space="preserve"> imparts osteoconductive</w:t>
      </w:r>
      <w:r w:rsidR="003B099F" w:rsidRPr="00D362B1">
        <w:rPr>
          <w:rFonts w:ascii="Arial" w:hAnsi="Arial" w:cs="Arial"/>
          <w:sz w:val="22"/>
          <w:szCs w:val="22"/>
        </w:rPr>
        <w:t xml:space="preserve"> and </w:t>
      </w:r>
      <w:r w:rsidR="00143D5E" w:rsidRPr="00D362B1">
        <w:rPr>
          <w:rFonts w:ascii="Arial" w:hAnsi="Arial" w:cs="Arial"/>
          <w:sz w:val="22"/>
          <w:szCs w:val="22"/>
        </w:rPr>
        <w:t>osteoinductive</w:t>
      </w:r>
      <w:r w:rsidR="003B099F" w:rsidRPr="00D362B1">
        <w:rPr>
          <w:rFonts w:ascii="Arial" w:hAnsi="Arial" w:cs="Arial"/>
          <w:sz w:val="22"/>
          <w:szCs w:val="22"/>
        </w:rPr>
        <w:t xml:space="preserve"> </w:t>
      </w:r>
      <w:r w:rsidR="00143D5E" w:rsidRPr="00D362B1">
        <w:rPr>
          <w:rFonts w:ascii="Arial" w:hAnsi="Arial" w:cs="Arial"/>
          <w:sz w:val="22"/>
          <w:szCs w:val="22"/>
        </w:rPr>
        <w:t>properties</w:t>
      </w:r>
      <w:r w:rsidR="00A03A17" w:rsidRPr="00D362B1">
        <w:rPr>
          <w:rFonts w:ascii="Arial" w:hAnsi="Arial" w:cs="Arial"/>
          <w:sz w:val="22"/>
          <w:szCs w:val="22"/>
        </w:rPr>
        <w:t>,</w:t>
      </w:r>
      <w:r w:rsidR="00143D5E" w:rsidRPr="00D362B1">
        <w:rPr>
          <w:rFonts w:ascii="Arial" w:hAnsi="Arial" w:cs="Arial"/>
          <w:sz w:val="22"/>
          <w:szCs w:val="22"/>
        </w:rPr>
        <w:t xml:space="preserve"> </w:t>
      </w:r>
      <w:r w:rsidR="003B39F2" w:rsidRPr="00D362B1">
        <w:rPr>
          <w:rFonts w:ascii="Arial" w:hAnsi="Arial" w:cs="Arial"/>
          <w:sz w:val="22"/>
          <w:szCs w:val="22"/>
        </w:rPr>
        <w:t xml:space="preserve">thereby simulating the inorganic part of the bone. </w:t>
      </w:r>
      <w:r w:rsidR="003B39F2" w:rsidRPr="00E11ABB">
        <w:rPr>
          <w:rFonts w:ascii="Arial" w:hAnsi="Arial" w:cs="Arial"/>
          <w:sz w:val="22"/>
          <w:szCs w:val="22"/>
        </w:rPr>
        <w:t xml:space="preserve">The </w:t>
      </w:r>
      <w:r w:rsidR="00064D0B" w:rsidRPr="00E11ABB">
        <w:rPr>
          <w:rFonts w:ascii="Arial" w:hAnsi="Arial" w:cs="Arial"/>
          <w:sz w:val="22"/>
          <w:szCs w:val="22"/>
        </w:rPr>
        <w:t xml:space="preserve">prepared </w:t>
      </w:r>
      <w:r w:rsidR="00294610" w:rsidRPr="00E11ABB">
        <w:rPr>
          <w:rFonts w:ascii="Arial" w:hAnsi="Arial" w:cs="Arial"/>
          <w:sz w:val="22"/>
          <w:szCs w:val="22"/>
        </w:rPr>
        <w:t xml:space="preserve">CS-DBM-WH </w:t>
      </w:r>
      <w:r w:rsidR="003B39F2" w:rsidRPr="00E11ABB">
        <w:rPr>
          <w:rFonts w:ascii="Arial" w:hAnsi="Arial" w:cs="Arial"/>
          <w:sz w:val="22"/>
          <w:szCs w:val="22"/>
        </w:rPr>
        <w:t>composite</w:t>
      </w:r>
      <w:r w:rsidR="003B099F" w:rsidRPr="00E11ABB">
        <w:rPr>
          <w:rFonts w:ascii="Arial" w:hAnsi="Arial" w:cs="Arial"/>
          <w:sz w:val="22"/>
          <w:szCs w:val="22"/>
        </w:rPr>
        <w:t xml:space="preserve"> bone filler</w:t>
      </w:r>
      <w:r w:rsidR="003B39F2" w:rsidRPr="00E11ABB">
        <w:rPr>
          <w:rFonts w:ascii="Arial" w:hAnsi="Arial" w:cs="Arial"/>
          <w:sz w:val="22"/>
          <w:szCs w:val="22"/>
        </w:rPr>
        <w:t xml:space="preserve"> </w:t>
      </w:r>
      <w:r w:rsidR="00504387" w:rsidRPr="00E11ABB">
        <w:rPr>
          <w:rFonts w:ascii="Arial" w:hAnsi="Arial" w:cs="Arial"/>
          <w:sz w:val="22"/>
          <w:szCs w:val="22"/>
        </w:rPr>
        <w:t>was</w:t>
      </w:r>
      <w:r w:rsidR="003B39F2" w:rsidRPr="00E11ABB">
        <w:rPr>
          <w:rFonts w:ascii="Arial" w:hAnsi="Arial" w:cs="Arial"/>
          <w:sz w:val="22"/>
          <w:szCs w:val="22"/>
        </w:rPr>
        <w:t xml:space="preserve"> characterized using FE-SEM, EDAX, XRD</w:t>
      </w:r>
      <w:r w:rsidR="00064D0B" w:rsidRPr="00E11ABB">
        <w:rPr>
          <w:rFonts w:ascii="Arial" w:hAnsi="Arial" w:cs="Arial"/>
          <w:sz w:val="22"/>
          <w:szCs w:val="22"/>
        </w:rPr>
        <w:t>, FTIR and TGA analysis.</w:t>
      </w:r>
      <w:r w:rsidR="00064D0B" w:rsidRPr="00D362B1">
        <w:rPr>
          <w:rFonts w:ascii="Arial" w:hAnsi="Arial" w:cs="Arial"/>
          <w:sz w:val="22"/>
          <w:szCs w:val="22"/>
        </w:rPr>
        <w:t xml:space="preserve"> </w:t>
      </w:r>
      <w:r w:rsidR="00384FAD">
        <w:rPr>
          <w:rFonts w:ascii="Arial" w:hAnsi="Arial" w:cs="Arial"/>
          <w:sz w:val="22"/>
          <w:szCs w:val="22"/>
        </w:rPr>
        <w:t>FE-SEM images</w:t>
      </w:r>
      <w:r w:rsidR="00294610">
        <w:rPr>
          <w:rFonts w:ascii="Arial" w:hAnsi="Arial" w:cs="Arial"/>
          <w:sz w:val="22"/>
          <w:szCs w:val="22"/>
        </w:rPr>
        <w:t xml:space="preserve"> </w:t>
      </w:r>
      <w:r w:rsidR="00E11ABB">
        <w:rPr>
          <w:rFonts w:ascii="Arial" w:hAnsi="Arial" w:cs="Arial"/>
          <w:sz w:val="22"/>
          <w:szCs w:val="22"/>
        </w:rPr>
        <w:t xml:space="preserve">of </w:t>
      </w:r>
      <w:r w:rsidR="00294610" w:rsidRPr="00E11ABB">
        <w:rPr>
          <w:rFonts w:ascii="Arial" w:hAnsi="Arial" w:cs="Arial"/>
          <w:sz w:val="22"/>
          <w:szCs w:val="22"/>
        </w:rPr>
        <w:t xml:space="preserve">CS-DBM-WH </w:t>
      </w:r>
      <w:r w:rsidR="00E11ABB">
        <w:rPr>
          <w:rFonts w:ascii="Arial" w:hAnsi="Arial" w:cs="Arial"/>
          <w:sz w:val="22"/>
          <w:szCs w:val="22"/>
        </w:rPr>
        <w:t xml:space="preserve">composite bone filler </w:t>
      </w:r>
      <w:r w:rsidR="00384FAD">
        <w:rPr>
          <w:rFonts w:ascii="Arial" w:hAnsi="Arial" w:cs="Arial"/>
          <w:sz w:val="22"/>
          <w:szCs w:val="22"/>
        </w:rPr>
        <w:t xml:space="preserve">showed an average particle </w:t>
      </w:r>
      <w:r w:rsidR="00E11ABB">
        <w:rPr>
          <w:rFonts w:ascii="Arial" w:hAnsi="Arial" w:cs="Arial"/>
          <w:sz w:val="22"/>
          <w:szCs w:val="22"/>
        </w:rPr>
        <w:t xml:space="preserve">size of 270nm and EDAX analysis </w:t>
      </w:r>
      <w:r w:rsidR="00384FAD">
        <w:rPr>
          <w:rFonts w:ascii="Arial" w:hAnsi="Arial" w:cs="Arial"/>
          <w:sz w:val="22"/>
          <w:szCs w:val="22"/>
        </w:rPr>
        <w:t xml:space="preserve">showed the elemental composition and confirmed the presence of whitlockite elements such as Ca, Mg and P. XRD and FTIR analysis </w:t>
      </w:r>
      <w:r w:rsidR="00E11ABB">
        <w:rPr>
          <w:rFonts w:ascii="Arial" w:hAnsi="Arial" w:cs="Arial"/>
          <w:sz w:val="22"/>
          <w:szCs w:val="22"/>
        </w:rPr>
        <w:t>exhibite</w:t>
      </w:r>
      <w:r w:rsidR="00294610">
        <w:rPr>
          <w:rFonts w:ascii="Arial" w:hAnsi="Arial" w:cs="Arial"/>
          <w:sz w:val="22"/>
          <w:szCs w:val="22"/>
        </w:rPr>
        <w:t xml:space="preserve">d </w:t>
      </w:r>
      <w:r w:rsidR="00384FAD">
        <w:rPr>
          <w:rFonts w:ascii="Arial" w:hAnsi="Arial" w:cs="Arial"/>
          <w:sz w:val="22"/>
          <w:szCs w:val="22"/>
        </w:rPr>
        <w:t>the respective peaks</w:t>
      </w:r>
      <w:r w:rsidR="00294610">
        <w:rPr>
          <w:rFonts w:ascii="Arial" w:hAnsi="Arial" w:cs="Arial"/>
          <w:sz w:val="22"/>
          <w:szCs w:val="22"/>
        </w:rPr>
        <w:t xml:space="preserve"> of CS, DBM and WH in the </w:t>
      </w:r>
      <w:r w:rsidR="00E11ABB">
        <w:rPr>
          <w:rFonts w:ascii="Arial" w:hAnsi="Arial" w:cs="Arial"/>
          <w:sz w:val="22"/>
          <w:szCs w:val="22"/>
        </w:rPr>
        <w:t>prepared</w:t>
      </w:r>
      <w:r w:rsidR="00294610" w:rsidRPr="00E11ABB">
        <w:rPr>
          <w:rFonts w:ascii="Arial" w:hAnsi="Arial" w:cs="Arial"/>
          <w:sz w:val="22"/>
          <w:szCs w:val="22"/>
        </w:rPr>
        <w:t xml:space="preserve"> composite bone filler</w:t>
      </w:r>
      <w:r w:rsidR="00384FAD">
        <w:rPr>
          <w:rFonts w:ascii="Arial" w:hAnsi="Arial" w:cs="Arial"/>
          <w:sz w:val="22"/>
          <w:szCs w:val="22"/>
        </w:rPr>
        <w:t xml:space="preserve">. The thermal stability </w:t>
      </w:r>
      <w:r w:rsidR="00384FAD" w:rsidRPr="00E11ABB">
        <w:rPr>
          <w:rFonts w:ascii="Arial" w:hAnsi="Arial" w:cs="Arial"/>
          <w:sz w:val="22"/>
          <w:szCs w:val="22"/>
        </w:rPr>
        <w:t xml:space="preserve">of </w:t>
      </w:r>
      <w:r w:rsidR="00294610" w:rsidRPr="00E11ABB">
        <w:rPr>
          <w:rFonts w:ascii="Arial" w:hAnsi="Arial" w:cs="Arial"/>
          <w:sz w:val="22"/>
          <w:szCs w:val="22"/>
        </w:rPr>
        <w:t>CS-DBM-WH composite bone filler</w:t>
      </w:r>
      <w:r w:rsidR="00E11ABB">
        <w:rPr>
          <w:rFonts w:ascii="Arial" w:hAnsi="Arial" w:cs="Arial"/>
          <w:sz w:val="22"/>
          <w:szCs w:val="22"/>
        </w:rPr>
        <w:t xml:space="preserve"> </w:t>
      </w:r>
      <w:r w:rsidR="00384FAD">
        <w:rPr>
          <w:rFonts w:ascii="Arial" w:hAnsi="Arial" w:cs="Arial"/>
          <w:sz w:val="22"/>
          <w:szCs w:val="22"/>
        </w:rPr>
        <w:t xml:space="preserve">was verified using TGA analysis. </w:t>
      </w:r>
      <w:r w:rsidR="003B099F" w:rsidRPr="00D362B1">
        <w:rPr>
          <w:rFonts w:ascii="Arial" w:hAnsi="Arial" w:cs="Arial"/>
          <w:i/>
          <w:sz w:val="22"/>
          <w:szCs w:val="22"/>
        </w:rPr>
        <w:t>In vitro</w:t>
      </w:r>
      <w:r w:rsidR="003B099F" w:rsidRPr="00D362B1">
        <w:rPr>
          <w:rFonts w:ascii="Arial" w:hAnsi="Arial" w:cs="Arial"/>
          <w:sz w:val="22"/>
          <w:szCs w:val="22"/>
        </w:rPr>
        <w:t xml:space="preserve"> </w:t>
      </w:r>
      <w:r w:rsidR="00E44DDC">
        <w:rPr>
          <w:rFonts w:ascii="Arial" w:hAnsi="Arial" w:cs="Arial"/>
          <w:sz w:val="22"/>
          <w:szCs w:val="22"/>
        </w:rPr>
        <w:t xml:space="preserve">biocompatibility of the </w:t>
      </w:r>
      <w:bookmarkStart w:id="0" w:name="_GoBack"/>
      <w:r w:rsidR="00E11ABB">
        <w:rPr>
          <w:rFonts w:ascii="Arial" w:hAnsi="Arial" w:cs="Arial"/>
          <w:sz w:val="22"/>
          <w:szCs w:val="22"/>
        </w:rPr>
        <w:t>synthesised</w:t>
      </w:r>
      <w:bookmarkEnd w:id="0"/>
      <w:r w:rsidR="00E11ABB">
        <w:rPr>
          <w:rFonts w:ascii="Arial" w:hAnsi="Arial" w:cs="Arial"/>
          <w:sz w:val="22"/>
          <w:szCs w:val="22"/>
        </w:rPr>
        <w:t xml:space="preserve"> </w:t>
      </w:r>
      <w:r w:rsidR="00E44DDC">
        <w:rPr>
          <w:rFonts w:ascii="Arial" w:hAnsi="Arial" w:cs="Arial"/>
          <w:sz w:val="22"/>
          <w:szCs w:val="22"/>
        </w:rPr>
        <w:t>composite filler</w:t>
      </w:r>
      <w:r w:rsidR="003B099F" w:rsidRPr="00D362B1">
        <w:rPr>
          <w:rFonts w:ascii="Arial" w:hAnsi="Arial" w:cs="Arial"/>
          <w:sz w:val="22"/>
          <w:szCs w:val="22"/>
        </w:rPr>
        <w:t xml:space="preserve"> </w:t>
      </w:r>
      <w:r w:rsidR="00504387">
        <w:rPr>
          <w:rFonts w:ascii="Arial" w:hAnsi="Arial" w:cs="Arial"/>
          <w:sz w:val="22"/>
          <w:szCs w:val="22"/>
        </w:rPr>
        <w:t>w</w:t>
      </w:r>
      <w:r w:rsidR="00E44DDC">
        <w:rPr>
          <w:rFonts w:ascii="Arial" w:hAnsi="Arial" w:cs="Arial"/>
          <w:sz w:val="22"/>
          <w:szCs w:val="22"/>
        </w:rPr>
        <w:t>as</w:t>
      </w:r>
      <w:r w:rsidR="00504387">
        <w:rPr>
          <w:rFonts w:ascii="Arial" w:hAnsi="Arial" w:cs="Arial"/>
          <w:sz w:val="22"/>
          <w:szCs w:val="22"/>
        </w:rPr>
        <w:t xml:space="preserve"> </w:t>
      </w:r>
      <w:r w:rsidR="003B099F" w:rsidRPr="00D362B1">
        <w:rPr>
          <w:rFonts w:ascii="Arial" w:hAnsi="Arial" w:cs="Arial"/>
          <w:sz w:val="22"/>
          <w:szCs w:val="22"/>
        </w:rPr>
        <w:t xml:space="preserve">studied using </w:t>
      </w:r>
      <w:r w:rsidR="00504387">
        <w:rPr>
          <w:rFonts w:ascii="Arial" w:hAnsi="Arial" w:cs="Arial"/>
          <w:sz w:val="22"/>
          <w:szCs w:val="22"/>
        </w:rPr>
        <w:t xml:space="preserve">rat mesenchymal </w:t>
      </w:r>
      <w:r w:rsidR="003B39F2" w:rsidRPr="00D362B1">
        <w:rPr>
          <w:rFonts w:ascii="Arial" w:hAnsi="Arial" w:cs="Arial"/>
          <w:sz w:val="22"/>
          <w:szCs w:val="22"/>
        </w:rPr>
        <w:t>stem cells</w:t>
      </w:r>
      <w:r w:rsidR="00064D0B" w:rsidRPr="00D362B1">
        <w:rPr>
          <w:rFonts w:ascii="Arial" w:hAnsi="Arial" w:cs="Arial"/>
          <w:sz w:val="22"/>
          <w:szCs w:val="22"/>
        </w:rPr>
        <w:t xml:space="preserve"> (</w:t>
      </w:r>
      <w:r w:rsidR="00834F67">
        <w:rPr>
          <w:rFonts w:ascii="Arial" w:hAnsi="Arial" w:cs="Arial"/>
          <w:sz w:val="22"/>
          <w:szCs w:val="22"/>
        </w:rPr>
        <w:t>r</w:t>
      </w:r>
      <w:r w:rsidR="00E44DDC">
        <w:rPr>
          <w:rFonts w:ascii="Arial" w:hAnsi="Arial" w:cs="Arial"/>
          <w:sz w:val="22"/>
          <w:szCs w:val="22"/>
        </w:rPr>
        <w:t>MSC</w:t>
      </w:r>
      <w:r w:rsidR="00834F67" w:rsidRPr="00D362B1">
        <w:rPr>
          <w:rFonts w:ascii="Arial" w:hAnsi="Arial" w:cs="Arial"/>
          <w:sz w:val="22"/>
          <w:szCs w:val="22"/>
        </w:rPr>
        <w:t>s</w:t>
      </w:r>
      <w:r w:rsidR="00E44DDC">
        <w:rPr>
          <w:rFonts w:ascii="Arial" w:hAnsi="Arial" w:cs="Arial"/>
          <w:sz w:val="22"/>
          <w:szCs w:val="22"/>
        </w:rPr>
        <w:t>) and showed the biocompatible nature of the composite</w:t>
      </w:r>
      <w:r w:rsidR="003B39F2" w:rsidRPr="00D362B1">
        <w:rPr>
          <w:rFonts w:ascii="Arial" w:hAnsi="Arial" w:cs="Arial"/>
          <w:sz w:val="22"/>
          <w:szCs w:val="22"/>
        </w:rPr>
        <w:t>.</w:t>
      </w:r>
      <w:r w:rsidR="00D11816" w:rsidRPr="00D362B1">
        <w:rPr>
          <w:rFonts w:ascii="Arial" w:hAnsi="Arial" w:cs="Arial"/>
          <w:sz w:val="22"/>
          <w:szCs w:val="22"/>
        </w:rPr>
        <w:t xml:space="preserve"> This developed c</w:t>
      </w:r>
      <w:r w:rsidR="00BF505D" w:rsidRPr="00D362B1">
        <w:rPr>
          <w:rFonts w:ascii="Arial" w:hAnsi="Arial" w:cs="Arial"/>
          <w:sz w:val="22"/>
          <w:szCs w:val="22"/>
        </w:rPr>
        <w:t xml:space="preserve">omposite </w:t>
      </w:r>
      <w:r w:rsidR="003B099F" w:rsidRPr="00D362B1">
        <w:rPr>
          <w:rFonts w:ascii="Arial" w:hAnsi="Arial" w:cs="Arial"/>
          <w:sz w:val="22"/>
          <w:szCs w:val="22"/>
        </w:rPr>
        <w:t xml:space="preserve">bone </w:t>
      </w:r>
      <w:r w:rsidR="00BF505D" w:rsidRPr="00D362B1">
        <w:rPr>
          <w:rFonts w:ascii="Arial" w:hAnsi="Arial" w:cs="Arial"/>
          <w:sz w:val="22"/>
          <w:szCs w:val="22"/>
        </w:rPr>
        <w:t>filler will be a promising candidate for regeneration of bone defects.</w:t>
      </w:r>
    </w:p>
    <w:sectPr w:rsidR="00284641" w:rsidRPr="00D362B1" w:rsidSect="00EF1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9BE" w:rsidRDefault="00EF19BE" w:rsidP="00EF19BE">
      <w:pPr>
        <w:spacing w:after="0" w:line="240" w:lineRule="auto"/>
      </w:pPr>
      <w:r>
        <w:separator/>
      </w:r>
    </w:p>
  </w:endnote>
  <w:endnote w:type="continuationSeparator" w:id="0">
    <w:p w:rsidR="00EF19BE" w:rsidRDefault="00EF19BE" w:rsidP="00EF1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9BE" w:rsidRDefault="00EF19BE" w:rsidP="00EF19BE">
      <w:pPr>
        <w:spacing w:after="0" w:line="240" w:lineRule="auto"/>
      </w:pPr>
      <w:r>
        <w:separator/>
      </w:r>
    </w:p>
  </w:footnote>
  <w:footnote w:type="continuationSeparator" w:id="0">
    <w:p w:rsidR="00EF19BE" w:rsidRDefault="00EF19BE" w:rsidP="00EF1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03D"/>
    <w:rsid w:val="000015B9"/>
    <w:rsid w:val="00064D0B"/>
    <w:rsid w:val="000C2D25"/>
    <w:rsid w:val="000F435D"/>
    <w:rsid w:val="00143D5E"/>
    <w:rsid w:val="001D1D81"/>
    <w:rsid w:val="001F3370"/>
    <w:rsid w:val="00284641"/>
    <w:rsid w:val="00294610"/>
    <w:rsid w:val="00384FAD"/>
    <w:rsid w:val="003B099F"/>
    <w:rsid w:val="003B39F2"/>
    <w:rsid w:val="003C203B"/>
    <w:rsid w:val="003D0AFE"/>
    <w:rsid w:val="003F0053"/>
    <w:rsid w:val="004D158C"/>
    <w:rsid w:val="00504387"/>
    <w:rsid w:val="00517C05"/>
    <w:rsid w:val="00536B97"/>
    <w:rsid w:val="00627443"/>
    <w:rsid w:val="00665612"/>
    <w:rsid w:val="006A3C76"/>
    <w:rsid w:val="006B2318"/>
    <w:rsid w:val="006B2C00"/>
    <w:rsid w:val="006F5379"/>
    <w:rsid w:val="00760205"/>
    <w:rsid w:val="00824FC6"/>
    <w:rsid w:val="00834F67"/>
    <w:rsid w:val="00845B38"/>
    <w:rsid w:val="00864CB6"/>
    <w:rsid w:val="00884949"/>
    <w:rsid w:val="00916412"/>
    <w:rsid w:val="00A03A17"/>
    <w:rsid w:val="00A129FE"/>
    <w:rsid w:val="00A71E58"/>
    <w:rsid w:val="00BF47AD"/>
    <w:rsid w:val="00BF505D"/>
    <w:rsid w:val="00D11816"/>
    <w:rsid w:val="00D23CA7"/>
    <w:rsid w:val="00D362B1"/>
    <w:rsid w:val="00D53639"/>
    <w:rsid w:val="00DD6BC8"/>
    <w:rsid w:val="00E11ABB"/>
    <w:rsid w:val="00E44DDC"/>
    <w:rsid w:val="00E6403D"/>
    <w:rsid w:val="00EF19BE"/>
    <w:rsid w:val="00F47853"/>
    <w:rsid w:val="00F64741"/>
    <w:rsid w:val="00F9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FB3C"/>
  <w15:chartTrackingRefBased/>
  <w15:docId w15:val="{FB63776C-5548-408B-82C0-39C4C116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158C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34F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4F6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1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9BE"/>
  </w:style>
  <w:style w:type="paragraph" w:styleId="Footer">
    <w:name w:val="footer"/>
    <w:basedOn w:val="Normal"/>
    <w:link w:val="FooterChar"/>
    <w:uiPriority w:val="99"/>
    <w:unhideWhenUsed/>
    <w:rsid w:val="00EF1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jayakumar@aims.amrita.aims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na29sunil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Sunil</dc:creator>
  <cp:keywords/>
  <dc:description/>
  <cp:lastModifiedBy>Sona Sunil</cp:lastModifiedBy>
  <cp:revision>13</cp:revision>
  <dcterms:created xsi:type="dcterms:W3CDTF">2025-01-09T02:23:00Z</dcterms:created>
  <dcterms:modified xsi:type="dcterms:W3CDTF">2025-01-14T04:16:00Z</dcterms:modified>
</cp:coreProperties>
</file>