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69E8A79" w14:textId="0810CEDC" w:rsidR="00052948" w:rsidRDefault="00052948" w:rsidP="00052948">
      <w:pPr>
        <w:spacing w:line="276" w:lineRule="auto"/>
        <w:jc w:val="center"/>
        <w:rPr>
          <w:rFonts w:ascii="Arial" w:hAnsi="Arial" w:cs="Arial"/>
          <w:b/>
          <w:bCs/>
          <w:color w:val="000000" w:themeColor="text1"/>
          <w:kern w:val="24"/>
          <w:sz w:val="28"/>
          <w:szCs w:val="24"/>
        </w:rPr>
      </w:pPr>
      <w:r w:rsidRPr="00052948">
        <w:rPr>
          <w:rFonts w:ascii="Arial" w:hAnsi="Arial" w:cs="Arial"/>
          <w:b/>
          <w:bCs/>
          <w:color w:val="000000" w:themeColor="text1"/>
          <w:kern w:val="24"/>
          <w:sz w:val="28"/>
          <w:szCs w:val="24"/>
        </w:rPr>
        <w:t>Injectable angiogenic and osteogenic chitosan-demineralized bone matrix putty for avascular necrosis</w:t>
      </w:r>
    </w:p>
    <w:p w14:paraId="07DC7A82" w14:textId="4CFE884E" w:rsidR="00052948" w:rsidRPr="004B1EB7" w:rsidRDefault="00052948" w:rsidP="00052948">
      <w:pPr>
        <w:spacing w:line="276" w:lineRule="auto"/>
        <w:jc w:val="center"/>
        <w:rPr>
          <w:rFonts w:ascii="Arial" w:hAnsi="Arial" w:cs="Arial"/>
          <w:b/>
          <w:bCs/>
          <w:color w:val="000000" w:themeColor="text1"/>
          <w:kern w:val="24"/>
          <w:vertAlign w:val="superscript"/>
        </w:rPr>
      </w:pPr>
      <w:r w:rsidRPr="00AE05D4">
        <w:rPr>
          <w:rFonts w:ascii="Arial" w:hAnsi="Arial" w:cs="Arial"/>
          <w:b/>
          <w:bCs/>
          <w:color w:val="000000" w:themeColor="text1"/>
          <w:kern w:val="24"/>
          <w:u w:val="single"/>
        </w:rPr>
        <w:t>Megha Visakhan</w:t>
      </w:r>
      <w:r w:rsidRPr="004B1EB7">
        <w:rPr>
          <w:rFonts w:ascii="Arial" w:hAnsi="Arial" w:cs="Arial"/>
          <w:b/>
          <w:bCs/>
          <w:color w:val="000000" w:themeColor="text1"/>
          <w:kern w:val="24"/>
        </w:rPr>
        <w:t xml:space="preserve">, </w:t>
      </w:r>
      <w:r w:rsidR="00DC4952" w:rsidRPr="00AE05D4">
        <w:rPr>
          <w:rFonts w:ascii="Arial" w:hAnsi="Arial" w:cs="Arial"/>
          <w:b/>
          <w:bCs/>
          <w:color w:val="000000" w:themeColor="text1"/>
          <w:kern w:val="24"/>
          <w:u w:val="single"/>
        </w:rPr>
        <w:t>Abhirami Dinesh</w:t>
      </w:r>
      <w:r w:rsidR="00DC4952" w:rsidRPr="004B1EB7">
        <w:rPr>
          <w:rFonts w:ascii="Arial" w:hAnsi="Arial" w:cs="Arial"/>
          <w:b/>
          <w:bCs/>
          <w:color w:val="000000" w:themeColor="text1"/>
          <w:kern w:val="24"/>
        </w:rPr>
        <w:t xml:space="preserve">, </w:t>
      </w:r>
      <w:r w:rsidRPr="00AE05D4">
        <w:rPr>
          <w:rFonts w:ascii="Arial" w:hAnsi="Arial" w:cs="Arial"/>
          <w:b/>
          <w:bCs/>
          <w:color w:val="000000" w:themeColor="text1"/>
          <w:kern w:val="24"/>
          <w:u w:val="single"/>
        </w:rPr>
        <w:t>R Jayakumar</w:t>
      </w:r>
    </w:p>
    <w:p w14:paraId="2A93A1D4" w14:textId="69CE6DBC" w:rsidR="00052948" w:rsidRPr="00AE05D4" w:rsidRDefault="00AE05D4" w:rsidP="00052948">
      <w:pPr>
        <w:spacing w:line="276" w:lineRule="auto"/>
        <w:jc w:val="center"/>
        <w:rPr>
          <w:rFonts w:ascii="Arial" w:hAnsi="Arial" w:cs="Arial"/>
          <w:bCs/>
          <w:color w:val="000000" w:themeColor="text1"/>
          <w:kern w:val="24"/>
        </w:rPr>
      </w:pPr>
      <w:r>
        <w:rPr>
          <w:rFonts w:ascii="Arial" w:hAnsi="Arial" w:cs="Arial"/>
          <w:bCs/>
          <w:color w:val="000000" w:themeColor="text1"/>
          <w:kern w:val="24"/>
        </w:rPr>
        <w:t>Polymeric Biomaterials Lab, School of Nanosciences and Molecular Medicine, Amrita Vishwa Vidhyapeetham Kochi-682041, India</w:t>
      </w:r>
    </w:p>
    <w:p w14:paraId="1EAA5BF3" w14:textId="2587522D" w:rsidR="00052948" w:rsidRDefault="00AE05D4" w:rsidP="00052948">
      <w:pPr>
        <w:spacing w:line="276" w:lineRule="auto"/>
        <w:jc w:val="center"/>
        <w:rPr>
          <w:rFonts w:ascii="Arial" w:hAnsi="Arial" w:cs="Arial"/>
          <w:bCs/>
          <w:color w:val="000000" w:themeColor="text1"/>
          <w:kern w:val="24"/>
        </w:rPr>
      </w:pPr>
      <w:r w:rsidRPr="00AE05D4">
        <w:rPr>
          <w:sz w:val="24"/>
        </w:rPr>
        <w:t>Email:</w:t>
      </w:r>
      <w:r>
        <w:t xml:space="preserve"> </w:t>
      </w:r>
      <w:hyperlink r:id="rId6" w:history="1">
        <w:r w:rsidR="00052948" w:rsidRPr="00E65035">
          <w:rPr>
            <w:rStyle w:val="Hyperlink"/>
            <w:rFonts w:ascii="Arial" w:hAnsi="Arial" w:cs="Arial"/>
            <w:bCs/>
            <w:kern w:val="24"/>
          </w:rPr>
          <w:t>meghav2024@outlook.com</w:t>
        </w:r>
      </w:hyperlink>
      <w:r w:rsidR="00052948">
        <w:rPr>
          <w:rFonts w:ascii="Arial" w:hAnsi="Arial" w:cs="Arial"/>
          <w:bCs/>
          <w:color w:val="000000" w:themeColor="text1"/>
          <w:kern w:val="24"/>
        </w:rPr>
        <w:t xml:space="preserve"> </w:t>
      </w:r>
      <w:hyperlink r:id="rId7" w:history="1">
        <w:r w:rsidR="00052948" w:rsidRPr="00E65035">
          <w:rPr>
            <w:rStyle w:val="Hyperlink"/>
            <w:rFonts w:ascii="Arial" w:hAnsi="Arial" w:cs="Arial"/>
            <w:bCs/>
            <w:kern w:val="24"/>
          </w:rPr>
          <w:t>rjayakumar@aims.amrita.edu</w:t>
        </w:r>
      </w:hyperlink>
      <w:r w:rsidR="00052948">
        <w:rPr>
          <w:rFonts w:ascii="Arial" w:hAnsi="Arial" w:cs="Arial"/>
          <w:bCs/>
          <w:color w:val="000000" w:themeColor="text1"/>
          <w:kern w:val="24"/>
        </w:rPr>
        <w:t xml:space="preserve"> </w:t>
      </w:r>
    </w:p>
    <w:p w14:paraId="5AAE8CED" w14:textId="53686196" w:rsidR="00C928B1" w:rsidRPr="00052948" w:rsidRDefault="00DC4952" w:rsidP="00AE05D4">
      <w:pPr>
        <w:spacing w:line="480" w:lineRule="auto"/>
        <w:jc w:val="center"/>
        <w:rPr>
          <w:rFonts w:ascii="Arial" w:hAnsi="Arial" w:cs="Arial"/>
        </w:rPr>
      </w:pPr>
      <w:r w:rsidRPr="00052948">
        <w:rPr>
          <w:rFonts w:ascii="Arial" w:hAnsi="Arial" w:cs="Arial"/>
          <w:b/>
        </w:rPr>
        <w:t>ABSTRACT</w:t>
      </w:r>
    </w:p>
    <w:p w14:paraId="08EC40CA" w14:textId="1D15BEAA" w:rsidR="002760AF" w:rsidRDefault="00C928B1" w:rsidP="00C928B1">
      <w:pPr>
        <w:spacing w:line="480" w:lineRule="auto"/>
        <w:jc w:val="both"/>
        <w:rPr>
          <w:rFonts w:ascii="Arial" w:hAnsi="Arial" w:cs="Arial"/>
        </w:rPr>
      </w:pPr>
      <w:r w:rsidRPr="00052948">
        <w:rPr>
          <w:rFonts w:ascii="Arial" w:hAnsi="Arial" w:cs="Arial"/>
        </w:rPr>
        <w:t xml:space="preserve">Osteonecrosis is a condition where the blood supply to a part of the bone is disrupted, causing the tissue loss. Functional biomaterials that possess both osteogenic and angiogenic properties are crucial in bone tissue engineering and for vascularized bone regeneration. This study reports the synthesis and characterization of an injectable bone substitute in a putty form, which is composed of demineralized bone matrix (DBM), chitosan (CS), nitric oxide (NO) and whitlockite (WH) </w:t>
      </w:r>
      <w:r w:rsidR="008526CE">
        <w:rPr>
          <w:rFonts w:ascii="Arial" w:hAnsi="Arial" w:cs="Arial"/>
        </w:rPr>
        <w:t xml:space="preserve">(CS-DBM-NO-nWH) </w:t>
      </w:r>
      <w:r w:rsidRPr="00052948">
        <w:rPr>
          <w:rFonts w:ascii="Arial" w:hAnsi="Arial" w:cs="Arial"/>
        </w:rPr>
        <w:t xml:space="preserve">for treating avascular bone necrosis. DBM is a decalcified bone product containing residual collagen, non-collagen proteins, growth factors and including bone morphogenic protein. It exhibits both osteoinductive and osteoconductive properties. NO promotes physiological angiogenesis by increasing the vascular endothelial growth factor levels in endothelial cells. Whitlockite, the second most abundant bone mineral in humans, has superior osteogenic and angiogenic properties. It plays a major role in the early stages of bone development and restricts the differentiation of osteoclasts from monocytes. The prepared </w:t>
      </w:r>
      <w:r w:rsidR="004B1EB7">
        <w:rPr>
          <w:rFonts w:ascii="Arial" w:hAnsi="Arial" w:cs="Arial"/>
        </w:rPr>
        <w:t>putt</w:t>
      </w:r>
      <w:r w:rsidR="007C1665">
        <w:rPr>
          <w:rFonts w:ascii="Arial" w:hAnsi="Arial" w:cs="Arial"/>
        </w:rPr>
        <w:t>y was</w:t>
      </w:r>
      <w:r w:rsidRPr="00052948">
        <w:rPr>
          <w:rFonts w:ascii="Arial" w:hAnsi="Arial" w:cs="Arial"/>
        </w:rPr>
        <w:t xml:space="preserve"> characterized using </w:t>
      </w:r>
      <w:r w:rsidR="007C1665">
        <w:rPr>
          <w:rFonts w:ascii="Arial" w:hAnsi="Arial" w:cs="Arial"/>
        </w:rPr>
        <w:t>FE</w:t>
      </w:r>
      <w:r w:rsidRPr="00052948">
        <w:rPr>
          <w:rFonts w:ascii="Arial" w:hAnsi="Arial" w:cs="Arial"/>
        </w:rPr>
        <w:t>SEM, EDAX, FTIR, XRD and rheological studies along with injectability, inversion and confinement tests</w:t>
      </w:r>
      <w:r w:rsidRPr="000E03EF">
        <w:rPr>
          <w:rFonts w:ascii="Arial" w:hAnsi="Arial" w:cs="Arial"/>
        </w:rPr>
        <w:t>.</w:t>
      </w:r>
      <w:r w:rsidR="007C1665" w:rsidRPr="000E03EF">
        <w:rPr>
          <w:rFonts w:ascii="Arial" w:hAnsi="Arial" w:cs="Arial"/>
        </w:rPr>
        <w:t xml:space="preserve"> FESEM image of the putty showed a rough morphology due to the presence of nWH. EDAX data confirmed the presence of all the characteristic elements including C, N, O, Ca, Mg and P. FTIR and XRD data correlated with that of SEM and EDAX and showed characteristic functional peaks of chitosan, DBM and whitlockite</w:t>
      </w:r>
      <w:r w:rsidR="00A0718A" w:rsidRPr="000E03EF">
        <w:rPr>
          <w:rFonts w:ascii="Arial" w:hAnsi="Arial" w:cs="Arial"/>
        </w:rPr>
        <w:t>.</w:t>
      </w:r>
      <w:r w:rsidR="000F2258">
        <w:rPr>
          <w:rFonts w:ascii="Arial" w:hAnsi="Arial" w:cs="Arial"/>
        </w:rPr>
        <w:t xml:space="preserve"> </w:t>
      </w:r>
      <w:r w:rsidRPr="00052948">
        <w:rPr>
          <w:rFonts w:ascii="Arial" w:hAnsi="Arial" w:cs="Arial"/>
        </w:rPr>
        <w:t xml:space="preserve">Rheological studies showed that the putties were mechanically and thermally stable and showed a shear thinning property. Swelling and degradation studies </w:t>
      </w:r>
      <w:r w:rsidR="00F02A9E" w:rsidRPr="00052948">
        <w:rPr>
          <w:rFonts w:ascii="Arial" w:hAnsi="Arial" w:cs="Arial"/>
        </w:rPr>
        <w:t>were</w:t>
      </w:r>
      <w:r w:rsidRPr="00052948">
        <w:rPr>
          <w:rFonts w:ascii="Arial" w:hAnsi="Arial" w:cs="Arial"/>
        </w:rPr>
        <w:t xml:space="preserve"> performed </w:t>
      </w:r>
      <w:r w:rsidR="00F02A9E" w:rsidRPr="00052948">
        <w:rPr>
          <w:rFonts w:ascii="Arial" w:hAnsi="Arial" w:cs="Arial"/>
        </w:rPr>
        <w:t>in</w:t>
      </w:r>
      <w:r w:rsidRPr="00052948">
        <w:rPr>
          <w:rFonts w:ascii="Arial" w:hAnsi="Arial" w:cs="Arial"/>
        </w:rPr>
        <w:t xml:space="preserve"> PBS to assess the rat</w:t>
      </w:r>
      <w:r w:rsidR="00F02A9E" w:rsidRPr="00052948">
        <w:rPr>
          <w:rFonts w:ascii="Arial" w:hAnsi="Arial" w:cs="Arial"/>
        </w:rPr>
        <w:t>es of degradation and swelling. B</w:t>
      </w:r>
      <w:r w:rsidRPr="00052948">
        <w:rPr>
          <w:rFonts w:ascii="Arial" w:hAnsi="Arial" w:cs="Arial"/>
        </w:rPr>
        <w:t xml:space="preserve">iomineralization studies </w:t>
      </w:r>
      <w:r w:rsidR="00F02A9E" w:rsidRPr="00052948">
        <w:rPr>
          <w:rFonts w:ascii="Arial" w:hAnsi="Arial" w:cs="Arial"/>
        </w:rPr>
        <w:t xml:space="preserve">were </w:t>
      </w:r>
      <w:r w:rsidRPr="00052948">
        <w:rPr>
          <w:rFonts w:ascii="Arial" w:hAnsi="Arial" w:cs="Arial"/>
        </w:rPr>
        <w:t xml:space="preserve">conducted using SBF to determine the bioactivity of </w:t>
      </w:r>
      <w:r w:rsidR="00C74C9B">
        <w:rPr>
          <w:rFonts w:ascii="Arial" w:hAnsi="Arial" w:cs="Arial"/>
        </w:rPr>
        <w:t xml:space="preserve">the </w:t>
      </w:r>
      <w:r w:rsidRPr="00052948">
        <w:rPr>
          <w:rFonts w:ascii="Arial" w:hAnsi="Arial" w:cs="Arial"/>
        </w:rPr>
        <w:t>putty</w:t>
      </w:r>
      <w:r w:rsidR="00C74C9B">
        <w:rPr>
          <w:rFonts w:ascii="Arial" w:hAnsi="Arial" w:cs="Arial"/>
        </w:rPr>
        <w:t xml:space="preserve"> system</w:t>
      </w:r>
      <w:r w:rsidRPr="00052948">
        <w:rPr>
          <w:rFonts w:ascii="Arial" w:hAnsi="Arial" w:cs="Arial"/>
        </w:rPr>
        <w:t xml:space="preserve">. In vitro </w:t>
      </w:r>
      <w:r w:rsidRPr="00052948">
        <w:rPr>
          <w:rFonts w:ascii="Arial" w:hAnsi="Arial" w:cs="Arial"/>
        </w:rPr>
        <w:lastRenderedPageBreak/>
        <w:t xml:space="preserve">biocompatibility, cell proliferation, osteogenic potential of the prepared putty </w:t>
      </w:r>
      <w:r w:rsidR="00052948" w:rsidRPr="00052948">
        <w:rPr>
          <w:rFonts w:ascii="Arial" w:hAnsi="Arial" w:cs="Arial"/>
        </w:rPr>
        <w:t>was</w:t>
      </w:r>
      <w:r w:rsidRPr="00052948">
        <w:rPr>
          <w:rFonts w:ascii="Arial" w:hAnsi="Arial" w:cs="Arial"/>
        </w:rPr>
        <w:t xml:space="preserve"> performed on rat mesenchymal stem cells (</w:t>
      </w:r>
      <w:r w:rsidR="00943456" w:rsidRPr="00052948">
        <w:rPr>
          <w:rFonts w:ascii="Arial" w:hAnsi="Arial" w:cs="Arial"/>
        </w:rPr>
        <w:t>r</w:t>
      </w:r>
      <w:r w:rsidR="00052948">
        <w:rPr>
          <w:rFonts w:ascii="Arial" w:hAnsi="Arial" w:cs="Arial"/>
        </w:rPr>
        <w:t>MSCs)</w:t>
      </w:r>
      <w:r w:rsidRPr="00052948">
        <w:rPr>
          <w:rFonts w:ascii="Arial" w:hAnsi="Arial" w:cs="Arial"/>
        </w:rPr>
        <w:t>.</w:t>
      </w:r>
      <w:r w:rsidR="00052948">
        <w:rPr>
          <w:rFonts w:ascii="Arial" w:hAnsi="Arial" w:cs="Arial"/>
        </w:rPr>
        <w:t xml:space="preserve"> </w:t>
      </w:r>
      <w:r w:rsidR="007C1665">
        <w:rPr>
          <w:rFonts w:ascii="Times New Roman" w:hAnsi="Times New Roman" w:cs="Times New Roman"/>
          <w:sz w:val="24"/>
          <w:szCs w:val="24"/>
        </w:rPr>
        <w:t xml:space="preserve">To evaluate angiogenic potential of the putty, tube formation assay will be conducted using </w:t>
      </w:r>
      <w:r w:rsidR="007C1665" w:rsidRPr="001027E7">
        <w:rPr>
          <w:rFonts w:ascii="Times New Roman" w:hAnsi="Times New Roman" w:cs="Times New Roman"/>
          <w:color w:val="000000" w:themeColor="text1"/>
          <w:sz w:val="24"/>
          <w:szCs w:val="24"/>
        </w:rPr>
        <w:t>human umbilical vein endothelial cells (HUVECs</w:t>
      </w:r>
      <w:r w:rsidR="007C1665" w:rsidRPr="001027E7">
        <w:rPr>
          <w:rFonts w:ascii="Times New Roman" w:hAnsi="Times New Roman" w:cs="Times New Roman"/>
          <w:sz w:val="24"/>
          <w:szCs w:val="24"/>
        </w:rPr>
        <w:t>).</w:t>
      </w:r>
      <w:r w:rsidR="007C1665">
        <w:rPr>
          <w:rFonts w:ascii="Times New Roman" w:hAnsi="Times New Roman" w:cs="Times New Roman"/>
          <w:sz w:val="24"/>
          <w:szCs w:val="24"/>
        </w:rPr>
        <w:t xml:space="preserve"> </w:t>
      </w:r>
      <w:r w:rsidRPr="00052948">
        <w:rPr>
          <w:rFonts w:ascii="Arial" w:hAnsi="Arial" w:cs="Arial"/>
        </w:rPr>
        <w:t xml:space="preserve">Thus developed injectable </w:t>
      </w:r>
      <w:r w:rsidR="008526CE">
        <w:rPr>
          <w:rFonts w:ascii="Arial" w:hAnsi="Arial" w:cs="Arial"/>
        </w:rPr>
        <w:t>CS-</w:t>
      </w:r>
      <w:r w:rsidRPr="00052948">
        <w:rPr>
          <w:rFonts w:ascii="Arial" w:hAnsi="Arial" w:cs="Arial"/>
        </w:rPr>
        <w:t>DBM-NO-nWH putty has potential application in the treatment avascular bone necrosis after the preclinical studies.</w:t>
      </w:r>
      <w:r w:rsidR="008526CE">
        <w:rPr>
          <w:rFonts w:ascii="Arial" w:hAnsi="Arial" w:cs="Arial"/>
        </w:rPr>
        <w:t xml:space="preserve"> </w:t>
      </w:r>
    </w:p>
    <w:p w14:paraId="2212B179" w14:textId="422F4546" w:rsidR="00A627B0" w:rsidRDefault="00A627B0" w:rsidP="00C928B1">
      <w:pPr>
        <w:spacing w:line="480" w:lineRule="auto"/>
        <w:jc w:val="both"/>
        <w:rPr>
          <w:rFonts w:ascii="Arial" w:hAnsi="Arial" w:cs="Arial"/>
        </w:rPr>
      </w:pPr>
    </w:p>
    <w:p w14:paraId="3C8E4DDE" w14:textId="3A4E0762" w:rsidR="007C1665" w:rsidRDefault="007C1665" w:rsidP="00C928B1">
      <w:pPr>
        <w:spacing w:line="480" w:lineRule="auto"/>
        <w:jc w:val="both"/>
        <w:rPr>
          <w:rFonts w:ascii="Arial" w:hAnsi="Arial" w:cs="Arial"/>
        </w:rPr>
      </w:pPr>
    </w:p>
    <w:p w14:paraId="5E7DFAE3" w14:textId="66403F5F" w:rsidR="007C1665" w:rsidRPr="00052948" w:rsidRDefault="007C1665" w:rsidP="00C928B1">
      <w:pPr>
        <w:spacing w:line="480" w:lineRule="auto"/>
        <w:jc w:val="both"/>
        <w:rPr>
          <w:rFonts w:ascii="Arial" w:hAnsi="Arial" w:cs="Arial"/>
        </w:rPr>
      </w:pPr>
      <w:bookmarkStart w:id="0" w:name="_GoBack"/>
      <w:bookmarkEnd w:id="0"/>
    </w:p>
    <w:sectPr w:rsidR="007C1665" w:rsidRPr="00052948" w:rsidSect="00DC495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7DF8C4" w14:textId="77777777" w:rsidR="002760AF" w:rsidRDefault="002760AF" w:rsidP="002760AF">
      <w:pPr>
        <w:spacing w:after="0" w:line="240" w:lineRule="auto"/>
      </w:pPr>
      <w:r>
        <w:separator/>
      </w:r>
    </w:p>
  </w:endnote>
  <w:endnote w:type="continuationSeparator" w:id="0">
    <w:p w14:paraId="2E03B288" w14:textId="77777777" w:rsidR="002760AF" w:rsidRDefault="002760AF" w:rsidP="002760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2127A8" w14:textId="77777777" w:rsidR="002760AF" w:rsidRDefault="002760AF" w:rsidP="002760AF">
      <w:pPr>
        <w:spacing w:after="0" w:line="240" w:lineRule="auto"/>
      </w:pPr>
      <w:r>
        <w:separator/>
      </w:r>
    </w:p>
  </w:footnote>
  <w:footnote w:type="continuationSeparator" w:id="0">
    <w:p w14:paraId="0749EDAD" w14:textId="77777777" w:rsidR="002760AF" w:rsidRDefault="002760AF" w:rsidP="002760A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IN" w:vendorID="64" w:dllVersion="131078" w:nlCheck="1" w:checkStyle="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0F9D"/>
    <w:rsid w:val="00052948"/>
    <w:rsid w:val="00067536"/>
    <w:rsid w:val="000879AE"/>
    <w:rsid w:val="00087C57"/>
    <w:rsid w:val="000E03EF"/>
    <w:rsid w:val="000F2258"/>
    <w:rsid w:val="001027E7"/>
    <w:rsid w:val="001220BF"/>
    <w:rsid w:val="002760AF"/>
    <w:rsid w:val="002A5CE7"/>
    <w:rsid w:val="00343C39"/>
    <w:rsid w:val="003D790A"/>
    <w:rsid w:val="00475570"/>
    <w:rsid w:val="004949F1"/>
    <w:rsid w:val="004A1E4B"/>
    <w:rsid w:val="004B1EB7"/>
    <w:rsid w:val="00557532"/>
    <w:rsid w:val="007C1665"/>
    <w:rsid w:val="00844F02"/>
    <w:rsid w:val="008526CE"/>
    <w:rsid w:val="00895345"/>
    <w:rsid w:val="00943456"/>
    <w:rsid w:val="00A0718A"/>
    <w:rsid w:val="00A627B0"/>
    <w:rsid w:val="00AE05D4"/>
    <w:rsid w:val="00B50055"/>
    <w:rsid w:val="00B571EE"/>
    <w:rsid w:val="00C1519B"/>
    <w:rsid w:val="00C60F9D"/>
    <w:rsid w:val="00C74C9B"/>
    <w:rsid w:val="00C928B1"/>
    <w:rsid w:val="00C93A03"/>
    <w:rsid w:val="00CE79F8"/>
    <w:rsid w:val="00D1622C"/>
    <w:rsid w:val="00D47B39"/>
    <w:rsid w:val="00DC4952"/>
    <w:rsid w:val="00E7335A"/>
    <w:rsid w:val="00E80A82"/>
    <w:rsid w:val="00F02A9E"/>
    <w:rsid w:val="00F568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0C84284"/>
  <w15:chartTrackingRefBased/>
  <w15:docId w15:val="{AD496155-401E-476B-9504-C9D871E4F1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760AF"/>
    <w:pPr>
      <w:tabs>
        <w:tab w:val="center" w:pos="4513"/>
        <w:tab w:val="right" w:pos="9026"/>
      </w:tabs>
      <w:spacing w:after="0" w:line="240" w:lineRule="auto"/>
    </w:pPr>
  </w:style>
  <w:style w:type="character" w:customStyle="1" w:styleId="HeaderChar">
    <w:name w:val="Header Char"/>
    <w:basedOn w:val="DefaultParagraphFont"/>
    <w:link w:val="Header"/>
    <w:uiPriority w:val="99"/>
    <w:rsid w:val="002760AF"/>
  </w:style>
  <w:style w:type="paragraph" w:styleId="Footer">
    <w:name w:val="footer"/>
    <w:basedOn w:val="Normal"/>
    <w:link w:val="FooterChar"/>
    <w:uiPriority w:val="99"/>
    <w:unhideWhenUsed/>
    <w:rsid w:val="002760AF"/>
    <w:pPr>
      <w:tabs>
        <w:tab w:val="center" w:pos="4513"/>
        <w:tab w:val="right" w:pos="9026"/>
      </w:tabs>
      <w:spacing w:after="0" w:line="240" w:lineRule="auto"/>
    </w:pPr>
  </w:style>
  <w:style w:type="character" w:customStyle="1" w:styleId="FooterChar">
    <w:name w:val="Footer Char"/>
    <w:basedOn w:val="DefaultParagraphFont"/>
    <w:link w:val="Footer"/>
    <w:uiPriority w:val="99"/>
    <w:rsid w:val="002760AF"/>
  </w:style>
  <w:style w:type="paragraph" w:styleId="NormalWeb">
    <w:name w:val="Normal (Web)"/>
    <w:basedOn w:val="Normal"/>
    <w:uiPriority w:val="99"/>
    <w:unhideWhenUsed/>
    <w:rsid w:val="002760A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unhideWhenUsed/>
    <w:rsid w:val="0005294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mailto:rjayakumar@aims.amrita.edu"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meghav2024@outlook.com"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95</TotalTime>
  <Pages>2</Pages>
  <Words>366</Words>
  <Characters>2389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megha visakhan</dc:creator>
  <cp:keywords/>
  <dc:description/>
  <cp:lastModifiedBy>Megha Visakhan</cp:lastModifiedBy>
  <cp:revision>11</cp:revision>
  <dcterms:created xsi:type="dcterms:W3CDTF">2025-01-09T03:38:00Z</dcterms:created>
  <dcterms:modified xsi:type="dcterms:W3CDTF">2025-01-14T09:54:00Z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5b140bf4-8fa7-49a0-b77a-b3d1c05f1b4c</vt:lpwstr>
  </property>
</Properties>
</file>