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hanging="2"/>
        <w:jc w:val="center"/>
        <w:rPr>
          <w:sz w:val="24"/>
          <w:szCs w:val="24"/>
        </w:rPr>
      </w:pPr>
      <w:r w:rsidDel="00000000" w:rsidR="00000000" w:rsidRPr="00000000">
        <w:rPr>
          <w:b w:val="1"/>
          <w:sz w:val="24"/>
          <w:szCs w:val="24"/>
          <w:rtl w:val="0"/>
        </w:rPr>
        <w:t xml:space="preserve">Chitosan-based Edible Coating: A Sustainable Approach to Increase the shelf-life of Tomatoes</w:t>
      </w:r>
      <w:r w:rsidDel="00000000" w:rsidR="00000000" w:rsidRPr="00000000">
        <w:rPr>
          <w:rtl w:val="0"/>
        </w:rPr>
      </w:r>
    </w:p>
    <w:p w:rsidR="00000000" w:rsidDel="00000000" w:rsidP="00000000" w:rsidRDefault="00000000" w:rsidRPr="00000000" w14:paraId="00000002">
      <w:pPr>
        <w:ind w:left="0" w:hanging="2"/>
        <w:rPr>
          <w:sz w:val="24"/>
          <w:szCs w:val="24"/>
        </w:rPr>
      </w:pPr>
      <w:r w:rsidDel="00000000" w:rsidR="00000000" w:rsidRPr="00000000">
        <w:rPr>
          <w:rtl w:val="0"/>
        </w:rPr>
      </w:r>
    </w:p>
    <w:p w:rsidR="00000000" w:rsidDel="00000000" w:rsidP="00000000" w:rsidRDefault="00000000" w:rsidRPr="00000000" w14:paraId="00000003">
      <w:pPr>
        <w:ind w:left="0" w:hanging="2"/>
        <w:jc w:val="center"/>
        <w:rPr/>
      </w:pPr>
      <w:r w:rsidDel="00000000" w:rsidR="00000000" w:rsidRPr="00000000">
        <w:rPr>
          <w:u w:val="single"/>
          <w:rtl w:val="0"/>
        </w:rPr>
        <w:t xml:space="preserve">Himanshi Bhardwaj</w:t>
      </w:r>
      <w:r w:rsidDel="00000000" w:rsidR="00000000" w:rsidRPr="00000000">
        <w:rPr>
          <w:u w:val="single"/>
          <w:vertAlign w:val="superscript"/>
          <w:rtl w:val="0"/>
        </w:rPr>
        <w:t xml:space="preserve">1</w:t>
      </w:r>
      <w:r w:rsidDel="00000000" w:rsidR="00000000" w:rsidRPr="00000000">
        <w:rPr>
          <w:rtl w:val="0"/>
        </w:rPr>
        <w:t xml:space="preserve">, Diksha Lingait</w:t>
      </w:r>
      <w:r w:rsidDel="00000000" w:rsidR="00000000" w:rsidRPr="00000000">
        <w:rPr>
          <w:vertAlign w:val="superscript"/>
          <w:rtl w:val="0"/>
        </w:rPr>
        <w:t xml:space="preserve">1</w:t>
      </w:r>
      <w:r w:rsidDel="00000000" w:rsidR="00000000" w:rsidRPr="00000000">
        <w:rPr>
          <w:rtl w:val="0"/>
        </w:rPr>
        <w:t xml:space="preserve">, Santosh Kumar Senapati</w:t>
      </w:r>
      <w:r w:rsidDel="00000000" w:rsidR="00000000" w:rsidRPr="00000000">
        <w:rPr>
          <w:vertAlign w:val="superscript"/>
          <w:rtl w:val="0"/>
        </w:rPr>
        <w:t xml:space="preserve">1</w:t>
      </w:r>
      <w:r w:rsidDel="00000000" w:rsidR="00000000" w:rsidRPr="00000000">
        <w:rPr>
          <w:rtl w:val="0"/>
        </w:rPr>
        <w:t xml:space="preserve">, Anupama Kumar</w:t>
      </w:r>
      <w:r w:rsidDel="00000000" w:rsidR="00000000" w:rsidRPr="00000000">
        <w:rPr>
          <w:vertAlign w:val="superscript"/>
          <w:rtl w:val="0"/>
        </w:rPr>
        <w:t xml:space="preserve">1</w:t>
      </w:r>
      <w:r w:rsidDel="00000000" w:rsidR="00000000" w:rsidRPr="00000000">
        <w:rPr>
          <w:rtl w:val="0"/>
        </w:rPr>
      </w:r>
    </w:p>
    <w:p w:rsidR="00000000" w:rsidDel="00000000" w:rsidP="00000000" w:rsidRDefault="00000000" w:rsidRPr="00000000" w14:paraId="00000004">
      <w:pPr>
        <w:ind w:left="0" w:hanging="2"/>
        <w:rPr/>
      </w:pPr>
      <w:r w:rsidDel="00000000" w:rsidR="00000000" w:rsidRPr="00000000">
        <w:rPr>
          <w:rtl w:val="0"/>
        </w:rPr>
      </w:r>
    </w:p>
    <w:p w:rsidR="00000000" w:rsidDel="00000000" w:rsidP="00000000" w:rsidRDefault="00000000" w:rsidRPr="00000000" w14:paraId="00000005">
      <w:pPr>
        <w:ind w:left="0" w:hanging="2"/>
        <w:jc w:val="center"/>
        <w:rPr/>
      </w:pPr>
      <w:r w:rsidDel="00000000" w:rsidR="00000000" w:rsidRPr="00000000">
        <w:rPr>
          <w:rtl w:val="0"/>
        </w:rPr>
        <w:t xml:space="preserve">Department of Chemistry, Visvesvaraya National Institute of Technology(VNIT),</w:t>
      </w:r>
    </w:p>
    <w:p w:rsidR="00000000" w:rsidDel="00000000" w:rsidP="00000000" w:rsidRDefault="00000000" w:rsidRPr="00000000" w14:paraId="00000006">
      <w:pPr>
        <w:ind w:left="0" w:hanging="2"/>
        <w:jc w:val="center"/>
        <w:rPr/>
      </w:pPr>
      <w:r w:rsidDel="00000000" w:rsidR="00000000" w:rsidRPr="00000000">
        <w:rPr>
          <w:rtl w:val="0"/>
        </w:rPr>
        <w:t xml:space="preserve">Nagpur, 440010, India</w:t>
      </w:r>
    </w:p>
    <w:p w:rsidR="00000000" w:rsidDel="00000000" w:rsidP="00000000" w:rsidRDefault="00000000" w:rsidRPr="00000000" w14:paraId="00000007">
      <w:pPr>
        <w:ind w:left="0" w:hanging="2"/>
        <w:rPr>
          <w:i w:val="1"/>
          <w:vertAlign w:val="superscript"/>
        </w:rPr>
      </w:pPr>
      <w:r w:rsidDel="00000000" w:rsidR="00000000" w:rsidRPr="00000000">
        <w:rPr>
          <w:rtl w:val="0"/>
        </w:rPr>
      </w:r>
    </w:p>
    <w:p w:rsidR="00000000" w:rsidDel="00000000" w:rsidP="00000000" w:rsidRDefault="00000000" w:rsidRPr="00000000" w14:paraId="00000008">
      <w:pPr>
        <w:ind w:left="0" w:hanging="2"/>
        <w:jc w:val="center"/>
        <w:rPr/>
      </w:pPr>
      <w:r w:rsidDel="00000000" w:rsidR="00000000" w:rsidRPr="00000000">
        <w:rPr>
          <w:rtl w:val="0"/>
        </w:rPr>
        <w:t xml:space="preserve">*Email: </w:t>
      </w:r>
      <w:hyperlink r:id="rId6">
        <w:r w:rsidDel="00000000" w:rsidR="00000000" w:rsidRPr="00000000">
          <w:rPr>
            <w:color w:val="0563c1"/>
            <w:u w:val="single"/>
            <w:vertAlign w:val="baseline"/>
            <w:rtl w:val="0"/>
          </w:rPr>
          <w:t xml:space="preserve">anupamakumar@chm.vnit.ac.in</w:t>
        </w:r>
      </w:hyperlink>
      <w:r w:rsidDel="00000000" w:rsidR="00000000" w:rsidRPr="00000000">
        <w:rPr>
          <w:rtl w:val="0"/>
        </w:rPr>
      </w:r>
    </w:p>
    <w:p w:rsidR="00000000" w:rsidDel="00000000" w:rsidP="00000000" w:rsidRDefault="00000000" w:rsidRPr="00000000" w14:paraId="00000009">
      <w:pPr>
        <w:ind w:left="0" w:hanging="2"/>
        <w:rPr/>
      </w:pPr>
      <w:r w:rsidDel="00000000" w:rsidR="00000000" w:rsidRPr="00000000">
        <w:rPr>
          <w:rtl w:val="0"/>
        </w:rPr>
      </w:r>
    </w:p>
    <w:p w:rsidR="00000000" w:rsidDel="00000000" w:rsidP="00000000" w:rsidRDefault="00000000" w:rsidRPr="00000000" w14:paraId="0000000A">
      <w:pPr>
        <w:ind w:left="0" w:hanging="2"/>
        <w:rPr>
          <w:b w:val="1"/>
        </w:rPr>
      </w:pPr>
      <w:r w:rsidDel="00000000" w:rsidR="00000000" w:rsidRPr="00000000">
        <w:rPr>
          <w:b w:val="1"/>
          <w:rtl w:val="0"/>
        </w:rPr>
        <w:t xml:space="preserve">Abstract</w:t>
      </w:r>
    </w:p>
    <w:p w:rsidR="00000000" w:rsidDel="00000000" w:rsidP="00000000" w:rsidRDefault="00000000" w:rsidRPr="00000000" w14:paraId="0000000B">
      <w:pPr>
        <w:ind w:left="0" w:hanging="2"/>
        <w:rPr/>
      </w:pPr>
      <w:r w:rsidDel="00000000" w:rsidR="00000000" w:rsidRPr="00000000">
        <w:rPr>
          <w:rtl w:val="0"/>
        </w:rPr>
      </w:r>
    </w:p>
    <w:p w:rsidR="00000000" w:rsidDel="00000000" w:rsidP="00000000" w:rsidRDefault="00000000" w:rsidRPr="00000000" w14:paraId="0000000C">
      <w:pPr>
        <w:ind w:left="0" w:hanging="2"/>
        <w:jc w:val="both"/>
        <w:rPr/>
      </w:pPr>
      <w:r w:rsidDel="00000000" w:rsidR="00000000" w:rsidRPr="00000000">
        <w:rPr>
          <w:rtl w:val="0"/>
        </w:rPr>
      </w:r>
    </w:p>
    <w:p w:rsidR="00000000" w:rsidDel="00000000" w:rsidP="00000000" w:rsidRDefault="00000000" w:rsidRPr="00000000" w14:paraId="0000000D">
      <w:pPr>
        <w:spacing w:line="360" w:lineRule="auto"/>
        <w:ind w:left="0" w:hanging="2"/>
        <w:jc w:val="both"/>
        <w:rPr/>
      </w:pPr>
      <w:r w:rsidDel="00000000" w:rsidR="00000000" w:rsidRPr="00000000">
        <w:rPr>
          <w:rtl w:val="0"/>
        </w:rPr>
        <w:t xml:space="preserve">Tomatoes are one of the most important vegetables because of their high nutritional and economical value to farmers and consumers and their role in local cuisines. The post-harvest losses are estimated at approximately 30% to 40% worldwide mostly due to lack of storage and their physiological disbalance leading to global food wastage and raising concerns for food security. Edible coatings were used to increase the shelf life of tomatoes while preserving their nutrients and minerals. Hence, the development of bioderived edible coating using chitosan (CTS), corn starch (CS), orange peel oil (OP) has been investigated to increase the shelf life of tomatoes. The prepared coating solution was analyzed by viscosity, density, pH, refractive index, and particle size. The ability to inhibit bacterial growth of coating was verified using anti-microbial analysis.  The spray technique was used to coat the tomatoes, and the effects were observed over 14 days storage period under real-time conditions. The effectiveness of the coating on tomatoes were analyzed using physiochemical properties such as weight loss, decay %, pH, lycopene content, ascorbic acid content, titratable acidity, and total soluble solids. In addition, the retailer and consumer perception were also studied in order to understand real-world applications. The results suggests that the prepared CTS/CS/OP edible coating effectively increases the shelf life and storability of tomatoes and maintains the quality and firmness over control tomatoes.</w:t>
      </w:r>
    </w:p>
    <w:p w:rsidR="00000000" w:rsidDel="00000000" w:rsidP="00000000" w:rsidRDefault="00000000" w:rsidRPr="00000000" w14:paraId="0000000E">
      <w:pPr>
        <w:spacing w:line="360" w:lineRule="auto"/>
        <w:ind w:left="0" w:hanging="2"/>
        <w:jc w:val="both"/>
        <w:rPr/>
      </w:pPr>
      <w:r w:rsidDel="00000000" w:rsidR="00000000" w:rsidRPr="00000000">
        <w:rPr>
          <w:rtl w:val="0"/>
        </w:rPr>
      </w:r>
    </w:p>
    <w:p w:rsidR="00000000" w:rsidDel="00000000" w:rsidP="00000000" w:rsidRDefault="00000000" w:rsidRPr="00000000" w14:paraId="0000000F">
      <w:pPr>
        <w:spacing w:line="360" w:lineRule="auto"/>
        <w:ind w:left="0" w:hanging="2"/>
        <w:jc w:val="both"/>
        <w:rPr/>
      </w:pPr>
      <w:r w:rsidDel="00000000" w:rsidR="00000000" w:rsidRPr="00000000">
        <w:rPr>
          <w:rtl w:val="0"/>
        </w:rPr>
      </w:r>
    </w:p>
    <w:p w:rsidR="00000000" w:rsidDel="00000000" w:rsidP="00000000" w:rsidRDefault="00000000" w:rsidRPr="00000000" w14:paraId="00000010">
      <w:pPr>
        <w:spacing w:line="360" w:lineRule="auto"/>
        <w:ind w:left="0" w:firstLine="0"/>
        <w:jc w:val="both"/>
        <w:rPr/>
      </w:pPr>
      <w:r w:rsidDel="00000000" w:rsidR="00000000" w:rsidRPr="00000000">
        <w:rPr>
          <w:rtl w:val="0"/>
        </w:rPr>
      </w:r>
    </w:p>
    <w:p w:rsidR="00000000" w:rsidDel="00000000" w:rsidP="00000000" w:rsidRDefault="00000000" w:rsidRPr="00000000" w14:paraId="00000011">
      <w:pPr>
        <w:spacing w:line="360" w:lineRule="auto"/>
        <w:ind w:left="0" w:hanging="2"/>
        <w:jc w:val="both"/>
        <w:rPr/>
      </w:pPr>
      <w:r w:rsidDel="00000000" w:rsidR="00000000" w:rsidRPr="00000000">
        <w:rPr>
          <w:rtl w:val="0"/>
        </w:rPr>
      </w:r>
    </w:p>
    <w:p w:rsidR="00000000" w:rsidDel="00000000" w:rsidP="00000000" w:rsidRDefault="00000000" w:rsidRPr="00000000" w14:paraId="00000012">
      <w:pPr>
        <w:spacing w:line="360" w:lineRule="auto"/>
        <w:ind w:left="0" w:hanging="2"/>
        <w:jc w:val="both"/>
        <w:rPr/>
      </w:pPr>
      <w:r w:rsidDel="00000000" w:rsidR="00000000" w:rsidRPr="00000000">
        <w:rPr>
          <w:rtl w:val="0"/>
        </w:rPr>
      </w:r>
    </w:p>
    <w:p w:rsidR="00000000" w:rsidDel="00000000" w:rsidP="00000000" w:rsidRDefault="00000000" w:rsidRPr="00000000" w14:paraId="00000013">
      <w:pPr>
        <w:spacing w:line="360" w:lineRule="auto"/>
        <w:ind w:left="0" w:hanging="2"/>
        <w:jc w:val="both"/>
        <w:rPr/>
      </w:pPr>
      <w:r w:rsidDel="00000000" w:rsidR="00000000" w:rsidRPr="00000000">
        <w:rPr>
          <w:rtl w:val="0"/>
        </w:rPr>
        <w:t xml:space="preserve">References-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58"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Won, J.S., Lee, S.J., Park, H.H., Song, K.B. and Min, S.C., 2018. Edible coating using a chitosan</w:t>
      </w:r>
      <w:r w:rsidDel="00000000" w:rsidR="00000000" w:rsidRPr="00000000">
        <w:rPr>
          <w:rFonts w:ascii="Cambria Math" w:cs="Cambria Math" w:eastAsia="Cambria Math" w:hAnsi="Cambria Math"/>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based colloid incorporating grapefruit seed extract for cherry tomato safety and preservation.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Journal of food science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83</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pp.138-146.</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58"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Aziz, M.S.A. and Salama, H.E., 2021. Developing multifunctional edible coatings based on alginate for active food packaging.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International Journal of Biological Macromolecules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190</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pp.837-844.</w:t>
      </w:r>
    </w:p>
    <w:sectPr>
      <w:pgSz w:h="16834" w:w="11909" w:orient="portrait"/>
      <w:pgMar w:bottom="851"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Mat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58" w:hanging="360"/>
      </w:pPr>
      <w:rPr/>
    </w:lvl>
    <w:lvl w:ilvl="1">
      <w:start w:val="1"/>
      <w:numFmt w:val="lowerLetter"/>
      <w:lvlText w:val="%2."/>
      <w:lvlJc w:val="left"/>
      <w:pPr>
        <w:ind w:left="1078" w:hanging="360"/>
      </w:pPr>
      <w:rPr/>
    </w:lvl>
    <w:lvl w:ilvl="2">
      <w:start w:val="1"/>
      <w:numFmt w:val="lowerRoman"/>
      <w:lvlText w:val="%3."/>
      <w:lvlJc w:val="right"/>
      <w:pPr>
        <w:ind w:left="1798" w:hanging="180"/>
      </w:pPr>
      <w:rPr/>
    </w:lvl>
    <w:lvl w:ilvl="3">
      <w:start w:val="1"/>
      <w:numFmt w:val="decimal"/>
      <w:lvlText w:val="%4."/>
      <w:lvlJc w:val="left"/>
      <w:pPr>
        <w:ind w:left="2518" w:hanging="360"/>
      </w:pPr>
      <w:rPr/>
    </w:lvl>
    <w:lvl w:ilvl="4">
      <w:start w:val="1"/>
      <w:numFmt w:val="lowerLetter"/>
      <w:lvlText w:val="%5."/>
      <w:lvlJc w:val="left"/>
      <w:pPr>
        <w:ind w:left="3238" w:hanging="360"/>
      </w:pPr>
      <w:rPr/>
    </w:lvl>
    <w:lvl w:ilvl="5">
      <w:start w:val="1"/>
      <w:numFmt w:val="lowerRoman"/>
      <w:lvlText w:val="%6."/>
      <w:lvlJc w:val="right"/>
      <w:pPr>
        <w:ind w:left="3958" w:hanging="180"/>
      </w:pPr>
      <w:rPr/>
    </w:lvl>
    <w:lvl w:ilvl="6">
      <w:start w:val="1"/>
      <w:numFmt w:val="decimal"/>
      <w:lvlText w:val="%7."/>
      <w:lvlJc w:val="left"/>
      <w:pPr>
        <w:ind w:left="4678" w:hanging="360"/>
      </w:pPr>
      <w:rPr/>
    </w:lvl>
    <w:lvl w:ilvl="7">
      <w:start w:val="1"/>
      <w:numFmt w:val="lowerLetter"/>
      <w:lvlText w:val="%8."/>
      <w:lvlJc w:val="left"/>
      <w:pPr>
        <w:ind w:left="5398" w:hanging="360"/>
      </w:pPr>
      <w:rPr/>
    </w:lvl>
    <w:lvl w:ilvl="8">
      <w:start w:val="1"/>
      <w:numFmt w:val="lowerRoman"/>
      <w:lvlText w:val="%9."/>
      <w:lvlJc w:val="right"/>
      <w:pPr>
        <w:ind w:left="6118"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ind w:hanging="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nupamakumar@chm.vnit.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