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AISYS — AUTONOMOUS INTELLIGENT SYSTEMS</w:t>
      </w:r>
      <w:r>
        <w:rPr>
          <w:b/>
          <w:sz w:val="38"/>
        </w:rPr>
        <w:br/>
        <w:t>RFID-ENABLED INTEGRATED LIBRARY MANAGEMENT SYSTEM</w:t>
      </w:r>
      <w:r>
        <w:rPr>
          <w:sz w:val="28"/>
        </w:rPr>
        <w:br/>
        <w:t>Technical Submission &amp; Demonstration Document</w:t>
      </w:r>
    </w:p>
    <w:p>
      <w:r>
        <w:br/>
      </w:r>
    </w:p>
    <w:p>
      <w:pPr>
        <w:jc w:val="center"/>
      </w:pPr>
      <w:r>
        <w:rPr>
          <w:b/>
        </w:rPr>
        <w:t>Candidate evaluation build v2.0.0</w:t>
        <w:br/>
      </w:r>
      <w:r>
        <w:t>Web-based ILMS • RFID middleware • migration • circulation • security • offline operations</w:t>
        <w:br/>
      </w:r>
      <w:r>
        <w:t>Prepared for AISYS Recruitment Team</w:t>
        <w:br/>
        <w:t>09 October 2026</w:t>
      </w:r>
    </w:p>
    <w:p>
      <w:r>
        <w:br/>
      </w:r>
    </w:p>
    <w:p>
      <w:pPr>
        <w:jc w:val="center"/>
      </w:pPr>
      <w:r>
        <w:t>This document intentionally distinguishes implemented software from mocked external systems. It does not claim vendor, NCIP/SIP2, ISO, OEM, security or performance certification.</w:t>
      </w:r>
    </w:p>
    <w:p>
      <w:pPr>
        <w:pStyle w:val="Heading1"/>
        <w:spacing w:before="120" w:after="80"/>
      </w:pPr>
      <w:r>
        <w:t>1. Executive Summary</w:t>
      </w:r>
    </w:p>
    <w:p>
      <w:r>
        <w:t>The AISYS ILMS v2.0.0 is a modular web-based library operations prototype built to translate the AISYS Candidate Software Development SOP into an operationally recognizable ILMS. It is organized around real library work rather than a generic dashboard: cataloguing, OPAC search, circulation, member/fine control, acquisitions, serials, RFID tagging, handheld stock verification, security gate events, notifications, migration, reports and administration.</w:t>
      </w:r>
    </w:p>
    <w:p>
      <w:r>
        <w:t>The implementation uses FastAPI, SQLAlchemy, Pydantic, JWT/RBAC, SQLite for simple offline local execution, and a PostgreSQL-ready Docker deployment. RFID, camera, smart-card, printer, notification and ILMS protocol boundaries are isolated behind adapters and mocks so the candidate can demonstrate the integration design without physical hardware or an institutional production database.</w:t>
      </w:r>
    </w:p>
    <w:p>
      <w:pPr>
        <w:pStyle w:val="Heading2"/>
        <w:spacing w:before="120" w:after="80"/>
      </w:pPr>
      <w:r>
        <w:t>1.1 Design principles</w:t>
      </w:r>
    </w:p>
    <w:p>
      <w:pPr>
        <w:pStyle w:val="ListBullet"/>
      </w:pPr>
      <w:r>
        <w:t>Protect existing library records: duplicate checks, transactional writes, controlled migration and backup/restore procedures.</w:t>
      </w:r>
    </w:p>
    <w:p>
      <w:pPr>
        <w:pStyle w:val="ListBullet"/>
      </w:pPr>
      <w:r>
        <w:t>Keep integration replaceable: external devices and ILMS transports are adapter boundaries, not hard-coded into UI workflows.</w:t>
      </w:r>
    </w:p>
    <w:p>
      <w:pPr>
        <w:pStyle w:val="ListBullet"/>
      </w:pPr>
      <w:r>
        <w:t>Use the same circulation rules across local, NCIP2 and SIP2 channels.</w:t>
      </w:r>
    </w:p>
    <w:p>
      <w:pPr>
        <w:pStyle w:val="ListBullet"/>
      </w:pPr>
      <w:r>
        <w:t>Make every important operational action traceable through audit and event records.</w:t>
      </w:r>
    </w:p>
    <w:p>
      <w:pPr>
        <w:pStyle w:val="ListBullet"/>
      </w:pPr>
      <w:r>
        <w:t>Keep the operator experience close to a real staff ILMS: dense tables, record detail, forms, status indicators and operational logs.</w:t>
      </w:r>
    </w:p>
    <w:p>
      <w:pPr>
        <w:pStyle w:val="ListBullet"/>
      </w:pPr>
      <w:r>
        <w:t>Do not fabricate external integration evidence; mocks are clearly labelled.</w:t>
      </w:r>
    </w:p>
    <w:p>
      <w:r>
        <w:br w:type="page"/>
      </w:r>
    </w:p>
    <w:p>
      <w:pPr>
        <w:pStyle w:val="Heading1"/>
        <w:spacing w:before="120" w:after="80"/>
      </w:pPr>
      <w:r>
        <w:t>2. What Is Real and What Is Mocked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8EF"/>
          </w:tcPr>
          <w:p>
            <w:r/>
            <w:r>
              <w:rPr>
                <w:b/>
                <w:sz w:val="17"/>
              </w:rPr>
              <w:t>Component</w:t>
            </w:r>
          </w:p>
        </w:tc>
        <w:tc>
          <w:tcPr>
            <w:tcW w:type="dxa" w:w="3408"/>
            <w:vAlign w:val="center"/>
            <w:shd w:fill="DCE8EF"/>
          </w:tcPr>
          <w:p>
            <w:r/>
            <w:r>
              <w:rPr>
                <w:b/>
                <w:sz w:val="17"/>
              </w:rPr>
              <w:t>Implemented in prototype</w:t>
            </w:r>
          </w:p>
        </w:tc>
        <w:tc>
          <w:tcPr>
            <w:tcW w:type="dxa" w:w="3408"/>
            <w:vAlign w:val="center"/>
            <w:shd w:fill="DCE8EF"/>
          </w:tcPr>
          <w:p>
            <w:r/>
            <w:r>
              <w:rPr>
                <w:b/>
                <w:sz w:val="17"/>
              </w:rPr>
              <w:t>Mocked / simulated</w:t>
            </w:r>
          </w:p>
        </w:tc>
      </w:tr>
      <w:tr>
        <w:tc>
          <w:tcPr>
            <w:tcW w:type="dxa" w:w="3408"/>
            <w:vAlign w:val="center"/>
          </w:tcPr>
          <w:p>
            <w:r/>
            <w:r>
              <w:rPr>
                <w:b w:val="0"/>
                <w:sz w:val="17"/>
              </w:rPr>
              <w:t>Web ILMS</w:t>
            </w:r>
          </w:p>
        </w:tc>
        <w:tc>
          <w:tcPr>
            <w:tcW w:type="dxa" w:w="3408"/>
            <w:vAlign w:val="center"/>
          </w:tcPr>
          <w:p>
            <w:r/>
            <w:r>
              <w:rPr>
                <w:b w:val="0"/>
                <w:sz w:val="17"/>
              </w:rPr>
              <w:t>FastAPI application, browser staff console, public OPAC, SQLAlchemy persistence</w:t>
            </w:r>
          </w:p>
        </w:tc>
        <w:tc>
          <w:tcPr>
            <w:tcW w:type="dxa" w:w="3408"/>
            <w:vAlign w:val="center"/>
          </w:tcPr>
          <w:p>
            <w:r/>
            <w:r>
              <w:rPr>
                <w:b w:val="0"/>
                <w:sz w:val="17"/>
              </w:rPr>
              <w:t>—</w:t>
            </w:r>
          </w:p>
        </w:tc>
      </w:tr>
      <w:tr>
        <w:tc>
          <w:tcPr>
            <w:tcW w:type="dxa" w:w="3408"/>
            <w:vAlign w:val="center"/>
          </w:tcPr>
          <w:p>
            <w:r/>
            <w:r>
              <w:rPr>
                <w:b w:val="0"/>
                <w:sz w:val="17"/>
              </w:rPr>
              <w:t>Catalogue / circulation</w:t>
            </w:r>
          </w:p>
        </w:tc>
        <w:tc>
          <w:tcPr>
            <w:tcW w:type="dxa" w:w="3408"/>
            <w:vAlign w:val="center"/>
          </w:tcPr>
          <w:p>
            <w:r/>
            <w:r>
              <w:rPr>
                <w:b w:val="0"/>
                <w:sz w:val="17"/>
              </w:rPr>
              <w:t>Catalog records, members, loans, restrictions, reports, audit</w:t>
            </w:r>
          </w:p>
        </w:tc>
        <w:tc>
          <w:tcPr>
            <w:tcW w:type="dxa" w:w="3408"/>
            <w:vAlign w:val="center"/>
          </w:tcPr>
          <w:p>
            <w:r/>
            <w:r>
              <w:rPr>
                <w:b w:val="0"/>
                <w:sz w:val="17"/>
              </w:rPr>
              <w:t>—</w:t>
            </w:r>
          </w:p>
        </w:tc>
      </w:tr>
      <w:tr>
        <w:tc>
          <w:tcPr>
            <w:tcW w:type="dxa" w:w="3408"/>
            <w:vAlign w:val="center"/>
          </w:tcPr>
          <w:p>
            <w:r/>
            <w:r>
              <w:rPr>
                <w:b w:val="0"/>
                <w:sz w:val="17"/>
              </w:rPr>
              <w:t>RFID middleware</w:t>
            </w:r>
          </w:p>
        </w:tc>
        <w:tc>
          <w:tcPr>
            <w:tcW w:type="dxa" w:w="3408"/>
            <w:vAlign w:val="center"/>
          </w:tcPr>
          <w:p>
            <w:r/>
            <w:r>
              <w:rPr>
                <w:b w:val="0"/>
                <w:sz w:val="17"/>
              </w:rPr>
              <w:t>Device-neutral contracts, tag relationship, last-seen state, inventory classification</w:t>
            </w:r>
          </w:p>
        </w:tc>
        <w:tc>
          <w:tcPr>
            <w:tcW w:type="dxa" w:w="3408"/>
            <w:vAlign w:val="center"/>
          </w:tcPr>
          <w:p>
            <w:r/>
            <w:r>
              <w:rPr>
                <w:b w:val="0"/>
                <w:sz w:val="17"/>
              </w:rPr>
              <w:t>Reader hardware/RF field</w:t>
            </w:r>
          </w:p>
        </w:tc>
      </w:tr>
      <w:tr>
        <w:tc>
          <w:tcPr>
            <w:tcW w:type="dxa" w:w="3408"/>
            <w:vAlign w:val="center"/>
          </w:tcPr>
          <w:p>
            <w:r/>
            <w:r>
              <w:rPr>
                <w:b w:val="0"/>
                <w:sz w:val="17"/>
              </w:rPr>
              <w:t>Handheld inventory</w:t>
            </w:r>
          </w:p>
        </w:tc>
        <w:tc>
          <w:tcPr>
            <w:tcW w:type="dxa" w:w="3408"/>
            <w:vAlign w:val="center"/>
          </w:tcPr>
          <w:p>
            <w:r/>
            <w:r>
              <w:rPr>
                <w:b w:val="0"/>
                <w:sz w:val="17"/>
              </w:rPr>
              <w:t>Bulk session classification, missing/found/unknown evidence, confirmation state</w:t>
            </w:r>
          </w:p>
        </w:tc>
        <w:tc>
          <w:tcPr>
            <w:tcW w:type="dxa" w:w="3408"/>
            <w:vAlign w:val="center"/>
          </w:tcPr>
          <w:p>
            <w:r/>
            <w:r>
              <w:rPr>
                <w:b w:val="0"/>
                <w:sz w:val="17"/>
              </w:rPr>
              <w:t>Physical handheld reader</w:t>
            </w:r>
          </w:p>
        </w:tc>
      </w:tr>
      <w:tr>
        <w:tc>
          <w:tcPr>
            <w:tcW w:type="dxa" w:w="3408"/>
            <w:vAlign w:val="center"/>
          </w:tcPr>
          <w:p>
            <w:r/>
            <w:r>
              <w:rPr>
                <w:b w:val="0"/>
                <w:sz w:val="17"/>
              </w:rPr>
              <w:t>Security gate</w:t>
            </w:r>
          </w:p>
        </w:tc>
        <w:tc>
          <w:tcPr>
            <w:tcW w:type="dxa" w:w="3408"/>
            <w:vAlign w:val="center"/>
          </w:tcPr>
          <w:p>
            <w:r/>
            <w:r>
              <w:rPr>
                <w:b w:val="0"/>
                <w:sz w:val="17"/>
              </w:rPr>
              <w:t>Authorization decision, security-bit input, accession, CCTV reference, notification queue</w:t>
            </w:r>
          </w:p>
        </w:tc>
        <w:tc>
          <w:tcPr>
            <w:tcW w:type="dxa" w:w="3408"/>
            <w:vAlign w:val="center"/>
          </w:tcPr>
          <w:p>
            <w:r/>
            <w:r>
              <w:rPr>
                <w:b w:val="0"/>
                <w:sz w:val="17"/>
              </w:rPr>
              <w:t>Gate antenna and camera</w:t>
            </w:r>
          </w:p>
        </w:tc>
      </w:tr>
      <w:tr>
        <w:tc>
          <w:tcPr>
            <w:tcW w:type="dxa" w:w="3408"/>
            <w:vAlign w:val="center"/>
          </w:tcPr>
          <w:p>
            <w:r/>
            <w:r>
              <w:rPr>
                <w:b w:val="0"/>
                <w:sz w:val="17"/>
              </w:rPr>
              <w:t>Smart card</w:t>
            </w:r>
          </w:p>
        </w:tc>
        <w:tc>
          <w:tcPr>
            <w:tcW w:type="dxa" w:w="3408"/>
            <w:vAlign w:val="center"/>
          </w:tcPr>
          <w:p>
            <w:r/>
            <w:r>
              <w:rPr>
                <w:b w:val="0"/>
                <w:sz w:val="17"/>
              </w:rPr>
              <w:t>Card-to-user mapping and token/RBAC boundary</w:t>
            </w:r>
          </w:p>
        </w:tc>
        <w:tc>
          <w:tcPr>
            <w:tcW w:type="dxa" w:w="3408"/>
            <w:vAlign w:val="center"/>
          </w:tcPr>
          <w:p>
            <w:r/>
            <w:r>
              <w:rPr>
                <w:b w:val="0"/>
                <w:sz w:val="17"/>
              </w:rPr>
              <w:t>Physical reader and card cryptography</w:t>
            </w:r>
          </w:p>
        </w:tc>
      </w:tr>
      <w:tr>
        <w:tc>
          <w:tcPr>
            <w:tcW w:type="dxa" w:w="3408"/>
            <w:vAlign w:val="center"/>
          </w:tcPr>
          <w:p>
            <w:r/>
            <w:r>
              <w:rPr>
                <w:b w:val="0"/>
                <w:sz w:val="17"/>
              </w:rPr>
              <w:t>NCIP2 / SIP2</w:t>
            </w:r>
          </w:p>
        </w:tc>
        <w:tc>
          <w:tcPr>
            <w:tcW w:type="dxa" w:w="3408"/>
            <w:vAlign w:val="center"/>
          </w:tcPr>
          <w:p>
            <w:r/>
            <w:r>
              <w:rPr>
                <w:b w:val="0"/>
                <w:sz w:val="17"/>
              </w:rPr>
              <w:t>Adapter boundary and mock circulation transport</w:t>
            </w:r>
          </w:p>
        </w:tc>
        <w:tc>
          <w:tcPr>
            <w:tcW w:type="dxa" w:w="3408"/>
            <w:vAlign w:val="center"/>
          </w:tcPr>
          <w:p>
            <w:r/>
            <w:r>
              <w:rPr>
                <w:b w:val="0"/>
                <w:sz w:val="17"/>
              </w:rPr>
              <w:t>Institutional transport/vendor endpoint</w:t>
            </w:r>
          </w:p>
        </w:tc>
      </w:tr>
      <w:tr>
        <w:tc>
          <w:tcPr>
            <w:tcW w:type="dxa" w:w="3408"/>
            <w:vAlign w:val="center"/>
          </w:tcPr>
          <w:p>
            <w:r/>
            <w:r>
              <w:rPr>
                <w:b w:val="0"/>
                <w:sz w:val="17"/>
              </w:rPr>
              <w:t>Notifications</w:t>
            </w:r>
          </w:p>
        </w:tc>
        <w:tc>
          <w:tcPr>
            <w:tcW w:type="dxa" w:w="3408"/>
            <w:vAlign w:val="center"/>
          </w:tcPr>
          <w:p>
            <w:r/>
            <w:r>
              <w:rPr>
                <w:b w:val="0"/>
                <w:sz w:val="17"/>
              </w:rPr>
              <w:t>Provider-neutral queue and adapter</w:t>
            </w:r>
          </w:p>
        </w:tc>
        <w:tc>
          <w:tcPr>
            <w:tcW w:type="dxa" w:w="3408"/>
            <w:vAlign w:val="center"/>
          </w:tcPr>
          <w:p>
            <w:r/>
            <w:r>
              <w:rPr>
                <w:b w:val="0"/>
                <w:sz w:val="17"/>
              </w:rPr>
              <w:t>Real SMTP/SMS/print delivery</w:t>
            </w:r>
          </w:p>
        </w:tc>
      </w:tr>
      <w:tr>
        <w:tc>
          <w:tcPr>
            <w:tcW w:type="dxa" w:w="3408"/>
            <w:vAlign w:val="center"/>
          </w:tcPr>
          <w:p>
            <w:r/>
            <w:r>
              <w:rPr>
                <w:b w:val="0"/>
                <w:sz w:val="17"/>
              </w:rPr>
              <w:t>Migration</w:t>
            </w:r>
          </w:p>
        </w:tc>
        <w:tc>
          <w:tcPr>
            <w:tcW w:type="dxa" w:w="3408"/>
            <w:vAlign w:val="center"/>
          </w:tcPr>
          <w:p>
            <w:r/>
            <w:r>
              <w:rPr>
                <w:b w:val="0"/>
                <w:sz w:val="17"/>
              </w:rPr>
              <w:t>CSV/XLSX validation, duplicate detection, row status and import/rollback status</w:t>
            </w:r>
          </w:p>
        </w:tc>
        <w:tc>
          <w:tcPr>
            <w:tcW w:type="dxa" w:w="3408"/>
            <w:vAlign w:val="center"/>
          </w:tcPr>
          <w:p>
            <w:r/>
            <w:r>
              <w:rPr>
                <w:b w:val="0"/>
                <w:sz w:val="17"/>
              </w:rPr>
              <w:t>Production legacy dataset</w:t>
            </w:r>
          </w:p>
        </w:tc>
      </w:tr>
      <w:tr>
        <w:tc>
          <w:tcPr>
            <w:tcW w:type="dxa" w:w="3408"/>
            <w:vAlign w:val="center"/>
          </w:tcPr>
          <w:p>
            <w:r/>
            <w:r>
              <w:rPr>
                <w:b w:val="0"/>
                <w:sz w:val="17"/>
              </w:rPr>
              <w:t>Database</w:t>
            </w:r>
          </w:p>
        </w:tc>
        <w:tc>
          <w:tcPr>
            <w:tcW w:type="dxa" w:w="3408"/>
            <w:vAlign w:val="center"/>
          </w:tcPr>
          <w:p>
            <w:r/>
            <w:r>
              <w:rPr>
                <w:b w:val="0"/>
                <w:sz w:val="17"/>
              </w:rPr>
              <w:t>SQLite local; PostgreSQL connection in Docker configuration</w:t>
            </w:r>
          </w:p>
        </w:tc>
        <w:tc>
          <w:tcPr>
            <w:tcW w:type="dxa" w:w="3408"/>
            <w:vAlign w:val="center"/>
          </w:tcPr>
          <w:p>
            <w:r/>
            <w:r>
              <w:rPr>
                <w:b w:val="0"/>
                <w:sz w:val="17"/>
              </w:rPr>
              <w:t>Production institutional database</w:t>
            </w:r>
          </w:p>
        </w:tc>
      </w:tr>
    </w:tbl>
    <w:p>
      <w:r>
        <w:t>The SOP explicitly requires adapter interfaces and working mocks when a physical device, vendor SDK, existing database schema or live service is unavailable. The boundary above is therefore a deliberate design choice, not a missing claim.</w:t>
      </w:r>
    </w:p>
    <w:p>
      <w:r>
        <w:br w:type="page"/>
      </w:r>
    </w:p>
    <w:p>
      <w:pPr>
        <w:pStyle w:val="Heading1"/>
        <w:spacing w:before="120" w:after="80"/>
      </w:pPr>
      <w:r>
        <w:t>3. Requirements Coverage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CE8EF"/>
          </w:tcPr>
          <w:p>
            <w:r/>
            <w:r>
              <w:rPr>
                <w:b/>
                <w:sz w:val="17"/>
              </w:rPr>
              <w:t>ID</w:t>
            </w:r>
          </w:p>
        </w:tc>
        <w:tc>
          <w:tcPr>
            <w:tcW w:type="dxa" w:w="3408"/>
            <w:vAlign w:val="center"/>
            <w:shd w:fill="DCE8EF"/>
          </w:tcPr>
          <w:p>
            <w:r/>
            <w:r>
              <w:rPr>
                <w:b/>
                <w:sz w:val="17"/>
              </w:rPr>
              <w:t>AISYS requirement</w:t>
            </w:r>
          </w:p>
        </w:tc>
        <w:tc>
          <w:tcPr>
            <w:tcW w:type="dxa" w:w="3408"/>
            <w:vAlign w:val="center"/>
            <w:shd w:fill="DCE8EF"/>
          </w:tcPr>
          <w:p>
            <w:r/>
            <w:r>
              <w:rPr>
                <w:b/>
                <w:sz w:val="17"/>
              </w:rPr>
              <w:t>v2.0.0 coverage</w:t>
            </w:r>
          </w:p>
        </w:tc>
      </w:tr>
      <w:tr>
        <w:tc>
          <w:tcPr>
            <w:tcW w:type="dxa" w:w="3408"/>
            <w:vAlign w:val="center"/>
          </w:tcPr>
          <w:p>
            <w:r/>
            <w:r>
              <w:rPr>
                <w:b w:val="0"/>
                <w:sz w:val="15"/>
              </w:rPr>
              <w:t>FR01</w:t>
            </w:r>
          </w:p>
        </w:tc>
        <w:tc>
          <w:tcPr>
            <w:tcW w:type="dxa" w:w="3408"/>
            <w:vAlign w:val="center"/>
          </w:tcPr>
          <w:p>
            <w:r/>
            <w:r>
              <w:rPr>
                <w:b w:val="0"/>
                <w:sz w:val="15"/>
              </w:rPr>
              <w:t>Core ILMS</w:t>
            </w:r>
          </w:p>
        </w:tc>
        <w:tc>
          <w:tcPr>
            <w:tcW w:type="dxa" w:w="3408"/>
            <w:vAlign w:val="center"/>
          </w:tcPr>
          <w:p>
            <w:r/>
            <w:r>
              <w:rPr>
                <w:b w:val="0"/>
                <w:sz w:val="15"/>
              </w:rPr>
              <w:t>Cataloguing, OPAC, virtual bookshelf API, acquisitions, serials, circulation, members, reports</w:t>
            </w:r>
          </w:p>
        </w:tc>
      </w:tr>
      <w:tr>
        <w:tc>
          <w:tcPr>
            <w:tcW w:type="dxa" w:w="3408"/>
            <w:vAlign w:val="center"/>
          </w:tcPr>
          <w:p>
            <w:r/>
            <w:r>
              <w:rPr>
                <w:b w:val="0"/>
                <w:sz w:val="15"/>
              </w:rPr>
              <w:t>FR02</w:t>
            </w:r>
          </w:p>
        </w:tc>
        <w:tc>
          <w:tcPr>
            <w:tcW w:type="dxa" w:w="3408"/>
            <w:vAlign w:val="center"/>
          </w:tcPr>
          <w:p>
            <w:r/>
            <w:r>
              <w:rPr>
                <w:b w:val="0"/>
                <w:sz w:val="15"/>
              </w:rPr>
              <w:t>Web/search</w:t>
            </w:r>
          </w:p>
        </w:tc>
        <w:tc>
          <w:tcPr>
            <w:tcW w:type="dxa" w:w="3408"/>
            <w:vAlign w:val="center"/>
          </w:tcPr>
          <w:p>
            <w:r/>
            <w:r>
              <w:rPr>
                <w:b w:val="0"/>
                <w:sz w:val="15"/>
              </w:rPr>
              <w:t>Staff web ILMS + OPAC + title/author/accession/category search</w:t>
            </w:r>
          </w:p>
        </w:tc>
      </w:tr>
      <w:tr>
        <w:tc>
          <w:tcPr>
            <w:tcW w:type="dxa" w:w="3408"/>
            <w:vAlign w:val="center"/>
          </w:tcPr>
          <w:p>
            <w:r/>
            <w:r>
              <w:rPr>
                <w:b w:val="0"/>
                <w:sz w:val="15"/>
              </w:rPr>
              <w:t>FR03</w:t>
            </w:r>
          </w:p>
        </w:tc>
        <w:tc>
          <w:tcPr>
            <w:tcW w:type="dxa" w:w="3408"/>
            <w:vAlign w:val="center"/>
          </w:tcPr>
          <w:p>
            <w:r/>
            <w:r>
              <w:rPr>
                <w:b w:val="0"/>
                <w:sz w:val="15"/>
              </w:rPr>
              <w:t>RFID interoperability</w:t>
            </w:r>
          </w:p>
        </w:tc>
        <w:tc>
          <w:tcPr>
            <w:tcW w:type="dxa" w:w="3408"/>
            <w:vAlign w:val="center"/>
          </w:tcPr>
          <w:p>
            <w:r/>
            <w:r>
              <w:rPr>
                <w:b w:val="0"/>
                <w:sz w:val="15"/>
              </w:rPr>
              <w:t>Staff/handheld/gate/smart-card/camera/printer/notification mock adapters + NCIP2/SIP2 boundaries</w:t>
            </w:r>
          </w:p>
        </w:tc>
      </w:tr>
      <w:tr>
        <w:tc>
          <w:tcPr>
            <w:tcW w:type="dxa" w:w="3408"/>
            <w:vAlign w:val="center"/>
          </w:tcPr>
          <w:p>
            <w:r/>
            <w:r>
              <w:rPr>
                <w:b w:val="0"/>
                <w:sz w:val="15"/>
              </w:rPr>
              <w:t>FR04</w:t>
            </w:r>
          </w:p>
        </w:tc>
        <w:tc>
          <w:tcPr>
            <w:tcW w:type="dxa" w:w="3408"/>
            <w:vAlign w:val="center"/>
          </w:tcPr>
          <w:p>
            <w:r/>
            <w:r>
              <w:rPr>
                <w:b w:val="0"/>
                <w:sz w:val="15"/>
              </w:rPr>
              <w:t>Circulation</w:t>
            </w:r>
          </w:p>
        </w:tc>
        <w:tc>
          <w:tcPr>
            <w:tcW w:type="dxa" w:w="3408"/>
            <w:vAlign w:val="center"/>
          </w:tcPr>
          <w:p>
            <w:r/>
            <w:r>
              <w:rPr>
                <w:b w:val="0"/>
                <w:sz w:val="15"/>
              </w:rPr>
              <w:t>Checkout, check-in, renewal, due date, reference restriction, blocked member, configurable fine limit, RBAC</w:t>
            </w:r>
          </w:p>
        </w:tc>
      </w:tr>
      <w:tr>
        <w:tc>
          <w:tcPr>
            <w:tcW w:type="dxa" w:w="3408"/>
            <w:vAlign w:val="center"/>
          </w:tcPr>
          <w:p>
            <w:r/>
            <w:r>
              <w:rPr>
                <w:b w:val="0"/>
                <w:sz w:val="15"/>
              </w:rPr>
              <w:t>FR05</w:t>
            </w:r>
          </w:p>
        </w:tc>
        <w:tc>
          <w:tcPr>
            <w:tcW w:type="dxa" w:w="3408"/>
            <w:vAlign w:val="center"/>
          </w:tcPr>
          <w:p>
            <w:r/>
            <w:r>
              <w:rPr>
                <w:b w:val="0"/>
                <w:sz w:val="15"/>
              </w:rPr>
              <w:t>Tagging</w:t>
            </w:r>
          </w:p>
        </w:tc>
        <w:tc>
          <w:tcPr>
            <w:tcW w:type="dxa" w:w="3408"/>
            <w:vAlign w:val="center"/>
          </w:tcPr>
          <w:p>
            <w:r/>
            <w:r>
              <w:rPr>
                <w:b w:val="0"/>
                <w:sz w:val="15"/>
              </w:rPr>
              <w:t>Validate item, one active tag per item, duplicate tag protection, last-seen monitoring, retirement</w:t>
            </w:r>
          </w:p>
        </w:tc>
      </w:tr>
      <w:tr>
        <w:tc>
          <w:tcPr>
            <w:tcW w:type="dxa" w:w="3408"/>
            <w:vAlign w:val="center"/>
          </w:tcPr>
          <w:p>
            <w:r/>
            <w:r>
              <w:rPr>
                <w:b w:val="0"/>
                <w:sz w:val="15"/>
              </w:rPr>
              <w:t>FR06</w:t>
            </w:r>
          </w:p>
        </w:tc>
        <w:tc>
          <w:tcPr>
            <w:tcW w:type="dxa" w:w="3408"/>
            <w:vAlign w:val="center"/>
          </w:tcPr>
          <w:p>
            <w:r/>
            <w:r>
              <w:rPr>
                <w:b w:val="0"/>
                <w:sz w:val="15"/>
              </w:rPr>
              <w:t>Inventory</w:t>
            </w:r>
          </w:p>
        </w:tc>
        <w:tc>
          <w:tcPr>
            <w:tcW w:type="dxa" w:w="3408"/>
            <w:vAlign w:val="center"/>
          </w:tcPr>
          <w:p>
            <w:r/>
            <w:r>
              <w:rPr>
                <w:b w:val="0"/>
                <w:sz w:val="15"/>
              </w:rPr>
              <w:t>Bulk shelf sessions, found/missing/unknown, visible confirmation and single-read misplaced classification</w:t>
            </w:r>
          </w:p>
        </w:tc>
      </w:tr>
      <w:tr>
        <w:tc>
          <w:tcPr>
            <w:tcW w:type="dxa" w:w="3408"/>
            <w:vAlign w:val="center"/>
          </w:tcPr>
          <w:p>
            <w:r/>
            <w:r>
              <w:rPr>
                <w:b w:val="0"/>
                <w:sz w:val="15"/>
              </w:rPr>
              <w:t>FR07</w:t>
            </w:r>
          </w:p>
        </w:tc>
        <w:tc>
          <w:tcPr>
            <w:tcW w:type="dxa" w:w="3408"/>
            <w:vAlign w:val="center"/>
          </w:tcPr>
          <w:p>
            <w:r/>
            <w:r>
              <w:rPr>
                <w:b w:val="0"/>
                <w:sz w:val="15"/>
              </w:rPr>
              <w:t>Security gate</w:t>
            </w:r>
          </w:p>
        </w:tc>
        <w:tc>
          <w:tcPr>
            <w:tcW w:type="dxa" w:w="3408"/>
            <w:vAlign w:val="center"/>
          </w:tcPr>
          <w:p>
            <w:r/>
            <w:r>
              <w:rPr>
                <w:b w:val="0"/>
                <w:sz w:val="15"/>
              </w:rPr>
              <w:t>Unauthorized decision, security bit, accession, CCTV reference, queued notification</w:t>
            </w:r>
          </w:p>
        </w:tc>
      </w:tr>
      <w:tr>
        <w:tc>
          <w:tcPr>
            <w:tcW w:type="dxa" w:w="3408"/>
            <w:vAlign w:val="center"/>
          </w:tcPr>
          <w:p>
            <w:r/>
            <w:r>
              <w:rPr>
                <w:b w:val="0"/>
                <w:sz w:val="15"/>
              </w:rPr>
              <w:t>FR08</w:t>
            </w:r>
          </w:p>
        </w:tc>
        <w:tc>
          <w:tcPr>
            <w:tcW w:type="dxa" w:w="3408"/>
            <w:vAlign w:val="center"/>
          </w:tcPr>
          <w:p>
            <w:r/>
            <w:r>
              <w:rPr>
                <w:b w:val="0"/>
                <w:sz w:val="15"/>
              </w:rPr>
              <w:t>Dashboard/reports</w:t>
            </w:r>
          </w:p>
        </w:tc>
        <w:tc>
          <w:tcPr>
            <w:tcW w:type="dxa" w:w="3408"/>
            <w:vAlign w:val="center"/>
          </w:tcPr>
          <w:p>
            <w:r/>
            <w:r>
              <w:rPr>
                <w:b w:val="0"/>
                <w:sz w:val="15"/>
              </w:rPr>
              <w:t>Operational metrics, circulation report, audit, RFID, gate and notification views</w:t>
            </w:r>
          </w:p>
        </w:tc>
      </w:tr>
      <w:tr>
        <w:tc>
          <w:tcPr>
            <w:tcW w:type="dxa" w:w="3408"/>
            <w:vAlign w:val="center"/>
          </w:tcPr>
          <w:p>
            <w:r/>
            <w:r>
              <w:rPr>
                <w:b w:val="0"/>
                <w:sz w:val="15"/>
              </w:rPr>
              <w:t>FR09</w:t>
            </w:r>
          </w:p>
        </w:tc>
        <w:tc>
          <w:tcPr>
            <w:tcW w:type="dxa" w:w="3408"/>
            <w:vAlign w:val="center"/>
          </w:tcPr>
          <w:p>
            <w:r/>
            <w:r>
              <w:rPr>
                <w:b w:val="0"/>
                <w:sz w:val="15"/>
              </w:rPr>
              <w:t>Notifications</w:t>
            </w:r>
          </w:p>
        </w:tc>
        <w:tc>
          <w:tcPr>
            <w:tcW w:type="dxa" w:w="3408"/>
            <w:vAlign w:val="center"/>
          </w:tcPr>
          <w:p>
            <w:r/>
            <w:r>
              <w:rPr>
                <w:b w:val="0"/>
                <w:sz w:val="15"/>
              </w:rPr>
              <w:t>Provider-neutral queue + mock adapter</w:t>
            </w:r>
          </w:p>
        </w:tc>
      </w:tr>
      <w:tr>
        <w:tc>
          <w:tcPr>
            <w:tcW w:type="dxa" w:w="3408"/>
            <w:vAlign w:val="center"/>
          </w:tcPr>
          <w:p>
            <w:r/>
            <w:r>
              <w:rPr>
                <w:b w:val="0"/>
                <w:sz w:val="15"/>
              </w:rPr>
              <w:t>FR10</w:t>
            </w:r>
          </w:p>
        </w:tc>
        <w:tc>
          <w:tcPr>
            <w:tcW w:type="dxa" w:w="3408"/>
            <w:vAlign w:val="center"/>
          </w:tcPr>
          <w:p>
            <w:r/>
            <w:r>
              <w:rPr>
                <w:b w:val="0"/>
                <w:sz w:val="15"/>
              </w:rPr>
              <w:t>Migration</w:t>
            </w:r>
          </w:p>
        </w:tc>
        <w:tc>
          <w:tcPr>
            <w:tcW w:type="dxa" w:w="3408"/>
            <w:vAlign w:val="center"/>
          </w:tcPr>
          <w:p>
            <w:r/>
            <w:r>
              <w:rPr>
                <w:b w:val="0"/>
                <w:sz w:val="15"/>
              </w:rPr>
              <w:t>CSV/XLSX dry-run, invalid/duplicate detection, migration rows, import and rollback status</w:t>
            </w:r>
          </w:p>
        </w:tc>
      </w:tr>
      <w:tr>
        <w:tc>
          <w:tcPr>
            <w:tcW w:type="dxa" w:w="3408"/>
            <w:vAlign w:val="center"/>
          </w:tcPr>
          <w:p>
            <w:r/>
            <w:r>
              <w:rPr>
                <w:b w:val="0"/>
                <w:sz w:val="15"/>
              </w:rPr>
              <w:t>FR11</w:t>
            </w:r>
          </w:p>
        </w:tc>
        <w:tc>
          <w:tcPr>
            <w:tcW w:type="dxa" w:w="3408"/>
            <w:vAlign w:val="center"/>
          </w:tcPr>
          <w:p>
            <w:r/>
            <w:r>
              <w:rPr>
                <w:b w:val="0"/>
                <w:sz w:val="15"/>
              </w:rPr>
              <w:t>Administration</w:t>
            </w:r>
          </w:p>
        </w:tc>
        <w:tc>
          <w:tcPr>
            <w:tcW w:type="dxa" w:w="3408"/>
            <w:vAlign w:val="center"/>
          </w:tcPr>
          <w:p>
            <w:r/>
            <w:r>
              <w:rPr>
                <w:b w:val="0"/>
                <w:sz w:val="15"/>
              </w:rPr>
              <w:t>User/role management, configurable parameters, audit, health/version</w:t>
            </w:r>
          </w:p>
        </w:tc>
      </w:tr>
      <w:tr>
        <w:tc>
          <w:tcPr>
            <w:tcW w:type="dxa" w:w="3408"/>
            <w:vAlign w:val="center"/>
          </w:tcPr>
          <w:p>
            <w:r/>
            <w:r>
              <w:rPr>
                <w:b w:val="0"/>
                <w:sz w:val="15"/>
              </w:rPr>
              <w:t>FR12</w:t>
            </w:r>
          </w:p>
        </w:tc>
        <w:tc>
          <w:tcPr>
            <w:tcW w:type="dxa" w:w="3408"/>
            <w:vAlign w:val="center"/>
          </w:tcPr>
          <w:p>
            <w:r/>
            <w:r>
              <w:rPr>
                <w:b w:val="0"/>
                <w:sz w:val="15"/>
              </w:rPr>
              <w:t>Offline lifecycle</w:t>
            </w:r>
          </w:p>
        </w:tc>
        <w:tc>
          <w:tcPr>
            <w:tcW w:type="dxa" w:w="3408"/>
            <w:vAlign w:val="center"/>
          </w:tcPr>
          <w:p>
            <w:r/>
            <w:r>
              <w:rPr>
                <w:b w:val="0"/>
                <w:sz w:val="15"/>
              </w:rPr>
              <w:t>Windows launcher, Docker/PostgreSQL deployment, offline bundle notes, backup/rollback helper</w:t>
            </w:r>
          </w:p>
        </w:tc>
      </w:tr>
      <w:tr>
        <w:tc>
          <w:tcPr>
            <w:tcW w:type="dxa" w:w="3408"/>
            <w:vAlign w:val="center"/>
          </w:tcPr>
          <w:p>
            <w:r/>
            <w:r>
              <w:rPr>
                <w:b w:val="0"/>
                <w:sz w:val="15"/>
              </w:rPr>
              <w:t>NFR01</w:t>
            </w:r>
          </w:p>
        </w:tc>
        <w:tc>
          <w:tcPr>
            <w:tcW w:type="dxa" w:w="3408"/>
            <w:vAlign w:val="center"/>
          </w:tcPr>
          <w:p>
            <w:r/>
            <w:r>
              <w:rPr>
                <w:b w:val="0"/>
                <w:sz w:val="15"/>
              </w:rPr>
              <w:t>Data integrity</w:t>
            </w:r>
          </w:p>
        </w:tc>
        <w:tc>
          <w:tcPr>
            <w:tcW w:type="dxa" w:w="3408"/>
            <w:vAlign w:val="center"/>
          </w:tcPr>
          <w:p>
            <w:r/>
            <w:r>
              <w:rPr>
                <w:b w:val="0"/>
                <w:sz w:val="15"/>
              </w:rPr>
              <w:t>Transactions, duplicate protection, backup/restore and migration rollback controls</w:t>
            </w:r>
          </w:p>
        </w:tc>
      </w:tr>
      <w:tr>
        <w:tc>
          <w:tcPr>
            <w:tcW w:type="dxa" w:w="3408"/>
            <w:vAlign w:val="center"/>
          </w:tcPr>
          <w:p>
            <w:r/>
            <w:r>
              <w:rPr>
                <w:b w:val="0"/>
                <w:sz w:val="15"/>
              </w:rPr>
              <w:t>NFR02</w:t>
            </w:r>
          </w:p>
        </w:tc>
        <w:tc>
          <w:tcPr>
            <w:tcW w:type="dxa" w:w="3408"/>
            <w:vAlign w:val="center"/>
          </w:tcPr>
          <w:p>
            <w:r/>
            <w:r>
              <w:rPr>
                <w:b w:val="0"/>
                <w:sz w:val="15"/>
              </w:rPr>
              <w:t>Security/privacy</w:t>
            </w:r>
          </w:p>
        </w:tc>
        <w:tc>
          <w:tcPr>
            <w:tcW w:type="dxa" w:w="3408"/>
            <w:vAlign w:val="center"/>
          </w:tcPr>
          <w:p>
            <w:r/>
            <w:r>
              <w:rPr>
                <w:b w:val="0"/>
                <w:sz w:val="15"/>
              </w:rPr>
              <w:t>bcrypt, JWT, RBAC, validation, audit, environment configuration, synthetic data</w:t>
            </w:r>
          </w:p>
        </w:tc>
      </w:tr>
      <w:tr>
        <w:tc>
          <w:tcPr>
            <w:tcW w:type="dxa" w:w="3408"/>
            <w:vAlign w:val="center"/>
          </w:tcPr>
          <w:p>
            <w:r/>
            <w:r>
              <w:rPr>
                <w:b w:val="0"/>
                <w:sz w:val="15"/>
              </w:rPr>
              <w:t>NFR03</w:t>
            </w:r>
          </w:p>
        </w:tc>
        <w:tc>
          <w:tcPr>
            <w:tcW w:type="dxa" w:w="3408"/>
            <w:vAlign w:val="center"/>
          </w:tcPr>
          <w:p>
            <w:r/>
            <w:r>
              <w:rPr>
                <w:b w:val="0"/>
                <w:sz w:val="15"/>
              </w:rPr>
              <w:t>Compatibility</w:t>
            </w:r>
          </w:p>
        </w:tc>
        <w:tc>
          <w:tcPr>
            <w:tcW w:type="dxa" w:w="3408"/>
            <w:vAlign w:val="center"/>
          </w:tcPr>
          <w:p>
            <w:r/>
            <w:r>
              <w:rPr>
                <w:b w:val="0"/>
                <w:sz w:val="15"/>
              </w:rPr>
              <w:t>Windows 11 local execution; Python 3.11; Docker/Compose</w:t>
            </w:r>
          </w:p>
        </w:tc>
      </w:tr>
      <w:tr>
        <w:tc>
          <w:tcPr>
            <w:tcW w:type="dxa" w:w="3408"/>
            <w:vAlign w:val="center"/>
          </w:tcPr>
          <w:p>
            <w:r/>
            <w:r>
              <w:rPr>
                <w:b w:val="0"/>
                <w:sz w:val="15"/>
              </w:rPr>
              <w:t>NFR04</w:t>
            </w:r>
          </w:p>
        </w:tc>
        <w:tc>
          <w:tcPr>
            <w:tcW w:type="dxa" w:w="3408"/>
            <w:vAlign w:val="center"/>
          </w:tcPr>
          <w:p>
            <w:r/>
            <w:r>
              <w:rPr>
                <w:b w:val="0"/>
                <w:sz w:val="15"/>
              </w:rPr>
              <w:t>Licensing</w:t>
            </w:r>
          </w:p>
        </w:tc>
        <w:tc>
          <w:tcPr>
            <w:tcW w:type="dxa" w:w="3408"/>
            <w:vAlign w:val="center"/>
          </w:tcPr>
          <w:p>
            <w:r/>
            <w:r>
              <w:rPr>
                <w:b w:val="0"/>
                <w:sz w:val="15"/>
              </w:rPr>
              <w:t>Pinned dependencies and SBOM/licensing documentation</w:t>
            </w:r>
          </w:p>
        </w:tc>
      </w:tr>
      <w:tr>
        <w:tc>
          <w:tcPr>
            <w:tcW w:type="dxa" w:w="3408"/>
            <w:vAlign w:val="center"/>
          </w:tcPr>
          <w:p>
            <w:r/>
            <w:r>
              <w:rPr>
                <w:b w:val="0"/>
                <w:sz w:val="15"/>
              </w:rPr>
              <w:t>NFR05</w:t>
            </w:r>
          </w:p>
        </w:tc>
        <w:tc>
          <w:tcPr>
            <w:tcW w:type="dxa" w:w="3408"/>
            <w:vAlign w:val="center"/>
          </w:tcPr>
          <w:p>
            <w:r/>
            <w:r>
              <w:rPr>
                <w:b w:val="0"/>
                <w:sz w:val="15"/>
              </w:rPr>
              <w:t>Testability</w:t>
            </w:r>
          </w:p>
        </w:tc>
        <w:tc>
          <w:tcPr>
            <w:tcW w:type="dxa" w:w="3408"/>
            <w:vAlign w:val="center"/>
          </w:tcPr>
          <w:p>
            <w:r/>
            <w:r>
              <w:rPr>
                <w:b w:val="0"/>
                <w:sz w:val="15"/>
              </w:rPr>
              <w:t>Pytest API/RBAC/RFID/circulation plus extended operational endpoint test and acceptance smoke script</w:t>
            </w:r>
          </w:p>
        </w:tc>
      </w:tr>
      <w:tr>
        <w:tc>
          <w:tcPr>
            <w:tcW w:type="dxa" w:w="3408"/>
            <w:vAlign w:val="center"/>
          </w:tcPr>
          <w:p>
            <w:r/>
            <w:r>
              <w:rPr>
                <w:b w:val="0"/>
                <w:sz w:val="15"/>
              </w:rPr>
              <w:t>NFR06</w:t>
            </w:r>
          </w:p>
        </w:tc>
        <w:tc>
          <w:tcPr>
            <w:tcW w:type="dxa" w:w="3408"/>
            <w:vAlign w:val="center"/>
          </w:tcPr>
          <w:p>
            <w:r/>
            <w:r>
              <w:rPr>
                <w:b w:val="0"/>
                <w:sz w:val="15"/>
              </w:rPr>
              <w:t>Maintainability</w:t>
            </w:r>
          </w:p>
        </w:tc>
        <w:tc>
          <w:tcPr>
            <w:tcW w:type="dxa" w:w="3408"/>
            <w:vAlign w:val="center"/>
          </w:tcPr>
          <w:p>
            <w:r/>
            <w:r>
              <w:rPr>
                <w:b w:val="0"/>
                <w:sz w:val="15"/>
              </w:rPr>
              <w:t>Service layer, adapters, typed schemas, Alembic baseline, external configuration</w:t>
            </w:r>
          </w:p>
        </w:tc>
      </w:tr>
      <w:tr>
        <w:tc>
          <w:tcPr>
            <w:tcW w:type="dxa" w:w="3408"/>
            <w:vAlign w:val="center"/>
          </w:tcPr>
          <w:p>
            <w:r/>
            <w:r>
              <w:rPr>
                <w:b w:val="0"/>
                <w:sz w:val="15"/>
              </w:rPr>
              <w:t>NFR07</w:t>
            </w:r>
          </w:p>
        </w:tc>
        <w:tc>
          <w:tcPr>
            <w:tcW w:type="dxa" w:w="3408"/>
            <w:vAlign w:val="center"/>
          </w:tcPr>
          <w:p>
            <w:r/>
            <w:r>
              <w:rPr>
                <w:b w:val="0"/>
                <w:sz w:val="15"/>
              </w:rPr>
              <w:t>Supportability</w:t>
            </w:r>
          </w:p>
        </w:tc>
        <w:tc>
          <w:tcPr>
            <w:tcW w:type="dxa" w:w="3408"/>
            <w:vAlign w:val="center"/>
          </w:tcPr>
          <w:p>
            <w:r/>
            <w:r>
              <w:rPr>
                <w:b w:val="0"/>
                <w:sz w:val="15"/>
              </w:rPr>
              <w:t>Health endpoint, operational docs and event/audit history</w:t>
            </w:r>
          </w:p>
        </w:tc>
      </w:tr>
      <w:tr>
        <w:tc>
          <w:tcPr>
            <w:tcW w:type="dxa" w:w="3408"/>
            <w:vAlign w:val="center"/>
          </w:tcPr>
          <w:p>
            <w:r/>
            <w:r>
              <w:rPr>
                <w:b w:val="0"/>
                <w:sz w:val="15"/>
              </w:rPr>
              <w:t>NFR08</w:t>
            </w:r>
          </w:p>
        </w:tc>
        <w:tc>
          <w:tcPr>
            <w:tcW w:type="dxa" w:w="3408"/>
            <w:vAlign w:val="center"/>
          </w:tcPr>
          <w:p>
            <w:r/>
            <w:r>
              <w:rPr>
                <w:b w:val="0"/>
                <w:sz w:val="15"/>
              </w:rPr>
              <w:t>Documentation</w:t>
            </w:r>
          </w:p>
        </w:tc>
        <w:tc>
          <w:tcPr>
            <w:tcW w:type="dxa" w:w="3408"/>
            <w:vAlign w:val="center"/>
          </w:tcPr>
          <w:p>
            <w:r/>
            <w:r>
              <w:rPr>
                <w:b w:val="0"/>
                <w:sz w:val="15"/>
              </w:rPr>
              <w:t>Architecture, deployment, admin, user, training, security, operations and acceptance docs</w:t>
            </w:r>
          </w:p>
        </w:tc>
      </w:tr>
      <w:tr>
        <w:tc>
          <w:tcPr>
            <w:tcW w:type="dxa" w:w="3408"/>
            <w:vAlign w:val="center"/>
          </w:tcPr>
          <w:p>
            <w:r/>
            <w:r>
              <w:rPr>
                <w:b w:val="0"/>
                <w:sz w:val="15"/>
              </w:rPr>
              <w:t>NFR09</w:t>
            </w:r>
          </w:p>
        </w:tc>
        <w:tc>
          <w:tcPr>
            <w:tcW w:type="dxa" w:w="3408"/>
            <w:vAlign w:val="center"/>
          </w:tcPr>
          <w:p>
            <w:r/>
            <w:r>
              <w:rPr>
                <w:b w:val="0"/>
                <w:sz w:val="15"/>
              </w:rPr>
              <w:t>Delivery</w:t>
            </w:r>
          </w:p>
        </w:tc>
        <w:tc>
          <w:tcPr>
            <w:tcW w:type="dxa" w:w="3408"/>
            <w:vAlign w:val="center"/>
          </w:tcPr>
          <w:p>
            <w:r/>
            <w:r>
              <w:rPr>
                <w:b w:val="0"/>
                <w:sz w:val="15"/>
              </w:rPr>
              <w:t>D0–D10 plan, known limitations and production backlog</w:t>
            </w:r>
          </w:p>
        </w:tc>
      </w:tr>
    </w:tbl>
    <w:p>
      <w:r>
        <w:br w:type="page"/>
      </w:r>
    </w:p>
    <w:p>
      <w:pPr>
        <w:pStyle w:val="Heading1"/>
        <w:spacing w:before="120" w:after="80"/>
      </w:pPr>
      <w:r>
        <w:t>4. Solution Architecture</w:t>
      </w:r>
    </w:p>
    <w:p>
      <w:r>
        <w:t>The implementation follows the seven-layer structure required by the SOP.</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CE8EF"/>
          </w:tcPr>
          <w:p>
            <w:r/>
            <w:r>
              <w:rPr>
                <w:b/>
                <w:sz w:val="17"/>
              </w:rPr>
              <w:t>Layer</w:t>
            </w:r>
          </w:p>
        </w:tc>
        <w:tc>
          <w:tcPr>
            <w:tcW w:type="dxa" w:w="3408"/>
            <w:vAlign w:val="center"/>
            <w:shd w:fill="DCE8EF"/>
          </w:tcPr>
          <w:p>
            <w:r/>
            <w:r>
              <w:rPr>
                <w:b/>
                <w:sz w:val="17"/>
              </w:rPr>
              <w:t>Responsibility</w:t>
            </w:r>
          </w:p>
        </w:tc>
        <w:tc>
          <w:tcPr>
            <w:tcW w:type="dxa" w:w="3408"/>
            <w:vAlign w:val="center"/>
            <w:shd w:fill="DCE8EF"/>
          </w:tcPr>
          <w:p>
            <w:r/>
            <w:r>
              <w:rPr>
                <w:b/>
                <w:sz w:val="17"/>
              </w:rPr>
              <w:t>Representative location</w:t>
            </w:r>
          </w:p>
        </w:tc>
      </w:tr>
      <w:tr>
        <w:tc>
          <w:tcPr>
            <w:tcW w:type="dxa" w:w="3408"/>
            <w:vAlign w:val="center"/>
          </w:tcPr>
          <w:p>
            <w:r/>
            <w:r>
              <w:rPr>
                <w:b w:val="0"/>
                <w:sz w:val="17"/>
              </w:rPr>
              <w:t>User layer</w:t>
            </w:r>
          </w:p>
        </w:tc>
        <w:tc>
          <w:tcPr>
            <w:tcW w:type="dxa" w:w="3408"/>
            <w:vAlign w:val="center"/>
          </w:tcPr>
          <w:p>
            <w:r/>
            <w:r>
              <w:rPr>
                <w:b w:val="0"/>
                <w:sz w:val="17"/>
              </w:rPr>
              <w:t>Staff ILMS console, dashboard, OPAC, reports and administration</w:t>
            </w:r>
          </w:p>
        </w:tc>
        <w:tc>
          <w:tcPr>
            <w:tcW w:type="dxa" w:w="3408"/>
            <w:vAlign w:val="center"/>
          </w:tcPr>
          <w:p>
            <w:r/>
            <w:r>
              <w:rPr>
                <w:b w:val="0"/>
                <w:sz w:val="17"/>
              </w:rPr>
              <w:t>app/templates/index.html; app/static/</w:t>
            </w:r>
          </w:p>
        </w:tc>
      </w:tr>
      <w:tr>
        <w:tc>
          <w:tcPr>
            <w:tcW w:type="dxa" w:w="3408"/>
            <w:vAlign w:val="center"/>
          </w:tcPr>
          <w:p>
            <w:r/>
            <w:r>
              <w:rPr>
                <w:b w:val="0"/>
                <w:sz w:val="17"/>
              </w:rPr>
              <w:t>Application layer</w:t>
            </w:r>
          </w:p>
        </w:tc>
        <w:tc>
          <w:tcPr>
            <w:tcW w:type="dxa" w:w="3408"/>
            <w:vAlign w:val="center"/>
          </w:tcPr>
          <w:p>
            <w:r/>
            <w:r>
              <w:rPr>
                <w:b w:val="0"/>
                <w:sz w:val="17"/>
              </w:rPr>
              <w:t>Cataloguing, members, circulation, migration, inventory, notifications, reporting and RBAC</w:t>
            </w:r>
          </w:p>
        </w:tc>
        <w:tc>
          <w:tcPr>
            <w:tcW w:type="dxa" w:w="3408"/>
            <w:vAlign w:val="center"/>
          </w:tcPr>
          <w:p>
            <w:r/>
            <w:r>
              <w:rPr>
                <w:b w:val="0"/>
                <w:sz w:val="17"/>
              </w:rPr>
              <w:t>app/main.py; app/services/</w:t>
            </w:r>
          </w:p>
        </w:tc>
      </w:tr>
      <w:tr>
        <w:tc>
          <w:tcPr>
            <w:tcW w:type="dxa" w:w="3408"/>
            <w:vAlign w:val="center"/>
          </w:tcPr>
          <w:p>
            <w:r/>
            <w:r>
              <w:rPr>
                <w:b w:val="0"/>
                <w:sz w:val="17"/>
              </w:rPr>
              <w:t>RFID middleware</w:t>
            </w:r>
          </w:p>
        </w:tc>
        <w:tc>
          <w:tcPr>
            <w:tcW w:type="dxa" w:w="3408"/>
            <w:vAlign w:val="center"/>
          </w:tcPr>
          <w:p>
            <w:r/>
            <w:r>
              <w:rPr>
                <w:b w:val="0"/>
                <w:sz w:val="17"/>
              </w:rPr>
              <w:t>Device-neutral reader, handheld, gate and smart-card event boundaries</w:t>
            </w:r>
          </w:p>
        </w:tc>
        <w:tc>
          <w:tcPr>
            <w:tcW w:type="dxa" w:w="3408"/>
            <w:vAlign w:val="center"/>
          </w:tcPr>
          <w:p>
            <w:r/>
            <w:r>
              <w:rPr>
                <w:b w:val="0"/>
                <w:sz w:val="17"/>
              </w:rPr>
              <w:t>app/adapters/contracts.py; app/adapters/mocks.py</w:t>
            </w:r>
          </w:p>
        </w:tc>
      </w:tr>
      <w:tr>
        <w:tc>
          <w:tcPr>
            <w:tcW w:type="dxa" w:w="3408"/>
            <w:vAlign w:val="center"/>
          </w:tcPr>
          <w:p>
            <w:r/>
            <w:r>
              <w:rPr>
                <w:b w:val="0"/>
                <w:sz w:val="17"/>
              </w:rPr>
              <w:t>Interoperability</w:t>
            </w:r>
          </w:p>
        </w:tc>
        <w:tc>
          <w:tcPr>
            <w:tcW w:type="dxa" w:w="3408"/>
            <w:vAlign w:val="center"/>
          </w:tcPr>
          <w:p>
            <w:r/>
            <w:r>
              <w:rPr>
                <w:b w:val="0"/>
                <w:sz w:val="17"/>
              </w:rPr>
              <w:t>NCIP2/SIP2 adapter boundaries with mock implementations</w:t>
            </w:r>
          </w:p>
        </w:tc>
        <w:tc>
          <w:tcPr>
            <w:tcW w:type="dxa" w:w="3408"/>
            <w:vAlign w:val="center"/>
          </w:tcPr>
          <w:p>
            <w:r/>
            <w:r>
              <w:rPr>
                <w:b w:val="0"/>
                <w:sz w:val="17"/>
              </w:rPr>
              <w:t>app/adapters/mocks.py; app/services/library.py</w:t>
            </w:r>
          </w:p>
        </w:tc>
      </w:tr>
      <w:tr>
        <w:tc>
          <w:tcPr>
            <w:tcW w:type="dxa" w:w="3408"/>
            <w:vAlign w:val="center"/>
          </w:tcPr>
          <w:p>
            <w:r/>
            <w:r>
              <w:rPr>
                <w:b w:val="0"/>
                <w:sz w:val="17"/>
              </w:rPr>
              <w:t>Data layer</w:t>
            </w:r>
          </w:p>
        </w:tc>
        <w:tc>
          <w:tcPr>
            <w:tcW w:type="dxa" w:w="3408"/>
            <w:vAlign w:val="center"/>
          </w:tcPr>
          <w:p>
            <w:r/>
            <w:r>
              <w:rPr>
                <w:b w:val="0"/>
                <w:sz w:val="17"/>
              </w:rPr>
              <w:t>Transactional SQLAlchemy models, audit, migration staging and backup/restore</w:t>
            </w:r>
          </w:p>
        </w:tc>
        <w:tc>
          <w:tcPr>
            <w:tcW w:type="dxa" w:w="3408"/>
            <w:vAlign w:val="center"/>
          </w:tcPr>
          <w:p>
            <w:r/>
            <w:r>
              <w:rPr>
                <w:b w:val="0"/>
                <w:sz w:val="17"/>
              </w:rPr>
              <w:t>app/models/; app/db/</w:t>
            </w:r>
          </w:p>
        </w:tc>
      </w:tr>
      <w:tr>
        <w:tc>
          <w:tcPr>
            <w:tcW w:type="dxa" w:w="3408"/>
            <w:vAlign w:val="center"/>
          </w:tcPr>
          <w:p>
            <w:r/>
            <w:r>
              <w:rPr>
                <w:b w:val="0"/>
                <w:sz w:val="17"/>
              </w:rPr>
              <w:t>Integration layer</w:t>
            </w:r>
          </w:p>
        </w:tc>
        <w:tc>
          <w:tcPr>
            <w:tcW w:type="dxa" w:w="3408"/>
            <w:vAlign w:val="center"/>
          </w:tcPr>
          <w:p>
            <w:r/>
            <w:r>
              <w:rPr>
                <w:b w:val="0"/>
                <w:sz w:val="17"/>
              </w:rPr>
              <w:t>Notification, CCTV, printer and external ILMS provider-neutral adapters</w:t>
            </w:r>
          </w:p>
        </w:tc>
        <w:tc>
          <w:tcPr>
            <w:tcW w:type="dxa" w:w="3408"/>
            <w:vAlign w:val="center"/>
          </w:tcPr>
          <w:p>
            <w:r/>
            <w:r>
              <w:rPr>
                <w:b w:val="0"/>
                <w:sz w:val="17"/>
              </w:rPr>
              <w:t>app/adapters/</w:t>
            </w:r>
          </w:p>
        </w:tc>
      </w:tr>
      <w:tr>
        <w:tc>
          <w:tcPr>
            <w:tcW w:type="dxa" w:w="3408"/>
            <w:vAlign w:val="center"/>
          </w:tcPr>
          <w:p>
            <w:r/>
            <w:r>
              <w:rPr>
                <w:b w:val="0"/>
                <w:sz w:val="17"/>
              </w:rPr>
              <w:t>Operations layer</w:t>
            </w:r>
          </w:p>
        </w:tc>
        <w:tc>
          <w:tcPr>
            <w:tcW w:type="dxa" w:w="3408"/>
            <w:vAlign w:val="center"/>
          </w:tcPr>
          <w:p>
            <w:r/>
            <w:r>
              <w:rPr>
                <w:b w:val="0"/>
                <w:sz w:val="17"/>
              </w:rPr>
              <w:t>Configuration, health, Docker, Windows launcher, offline helper, documentation</w:t>
            </w:r>
          </w:p>
        </w:tc>
        <w:tc>
          <w:tcPr>
            <w:tcW w:type="dxa" w:w="3408"/>
            <w:vAlign w:val="center"/>
          </w:tcPr>
          <w:p>
            <w:r/>
            <w:r>
              <w:rPr>
                <w:b w:val="0"/>
                <w:sz w:val="17"/>
              </w:rPr>
              <w:t>deploy/; scripts/; docs/</w:t>
            </w:r>
          </w:p>
        </w:tc>
      </w:tr>
    </w:tbl>
    <w:p>
      <w:pPr>
        <w:pStyle w:val="Heading2"/>
        <w:spacing w:before="120" w:after="80"/>
      </w:pPr>
      <w:r>
        <w:t>4.1 Technology decisions</w:t>
      </w:r>
    </w:p>
    <w:p>
      <w:pPr>
        <w:pStyle w:val="ListBullet"/>
      </w:pPr>
      <w:r>
        <w:t>Python 3.11 + FastAPI: compact service layer and strong validation for an isolated-site prototype.</w:t>
      </w:r>
    </w:p>
    <w:p>
      <w:pPr>
        <w:pStyle w:val="ListBullet"/>
      </w:pPr>
      <w:r>
        <w:t>SQLAlchemy 2 + SQLite by default: low-friction local/offline operation; Docker Compose supplies PostgreSQL for a production-shaped deployment path.</w:t>
      </w:r>
    </w:p>
    <w:p>
      <w:pPr>
        <w:pStyle w:val="ListBullet"/>
      </w:pPr>
      <w:r>
        <w:t>Pydantic 2: explicit request validation and typed API contracts.</w:t>
      </w:r>
    </w:p>
    <w:p>
      <w:pPr>
        <w:pStyle w:val="ListBullet"/>
      </w:pPr>
      <w:r>
        <w:t>JWT + bcrypt + role dependency: simple stateless staff authentication with server-side authorization.</w:t>
      </w:r>
    </w:p>
    <w:p>
      <w:pPr>
        <w:pStyle w:val="ListBullet"/>
      </w:pPr>
      <w:r>
        <w:t>Vanilla browser UI: avoids external CDN/runtime dependencies and keeps the evaluation build offline-capable.</w:t>
      </w:r>
    </w:p>
    <w:p>
      <w:pPr>
        <w:pStyle w:val="ListBullet"/>
      </w:pPr>
      <w:r>
        <w:t>OpenPyXL: spreadsheet migration without requiring a separate desktop migration tool.</w:t>
      </w:r>
    </w:p>
    <w:p>
      <w:r>
        <w:br w:type="page"/>
      </w:r>
    </w:p>
    <w:p>
      <w:pPr>
        <w:pStyle w:val="Heading1"/>
        <w:spacing w:before="120" w:after="80"/>
      </w:pPr>
      <w:r>
        <w:t>5. ILMS User Experience</w:t>
      </w:r>
    </w:p>
    <w:p>
      <w:r>
        <w:t>The v2 interface is intentionally closer to an established library management console than an AI/product landing page. The navigation is organized around staff work: Dashboard, Cataloguing &amp; Search, Circulation Desk, Members &amp; Fines, Acquisitions &amp; Serials, RFID Tagging, Stock Verification, Security Gate, Data Migration, Reports &amp; Audit, Administration and OPAC.</w:t>
      </w:r>
    </w:p>
    <w:p>
      <w:pPr>
        <w:pStyle w:val="ListBullet"/>
      </w:pPr>
      <w:r>
        <w:t>Dense data tables are used for records and history rather than large decorative metric cards.</w:t>
      </w:r>
    </w:p>
    <w:p>
      <w:pPr>
        <w:pStyle w:val="ListBullet"/>
      </w:pPr>
      <w:r>
        <w:t>Catalogue records open into a detail pane showing item status, RFID relationship and active loan.</w:t>
      </w:r>
    </w:p>
    <w:p>
      <w:pPr>
        <w:pStyle w:val="ListBullet"/>
      </w:pPr>
      <w:r>
        <w:t>Circulation is presented as a three-part desk: check-out, renew and check-in.</w:t>
      </w:r>
    </w:p>
    <w:p>
      <w:pPr>
        <w:pStyle w:val="ListBullet"/>
      </w:pPr>
      <w:r>
        <w:t>Members show active/blocked state, fines and block/unblock control.</w:t>
      </w:r>
    </w:p>
    <w:p>
      <w:pPr>
        <w:pStyle w:val="ListBullet"/>
      </w:pPr>
      <w:r>
        <w:t>RFID tagging separates validation from association, reflecting a staff tagging station workflow.</w:t>
      </w:r>
    </w:p>
    <w:p>
      <w:pPr>
        <w:pStyle w:val="ListBullet"/>
      </w:pPr>
      <w:r>
        <w:t>Inventory uses expected-vs-observed tags so missing items can be explicitly reported.</w:t>
      </w:r>
    </w:p>
    <w:p>
      <w:pPr>
        <w:pStyle w:val="ListBullet"/>
      </w:pPr>
      <w:r>
        <w:t>Security gate combines event evaluation, CCTV reference and notification queue.</w:t>
      </w:r>
    </w:p>
    <w:p>
      <w:pPr>
        <w:pStyle w:val="ListBullet"/>
      </w:pPr>
      <w:r>
        <w:t>Administration exposes roles and configurable fine/loan parameters.</w:t>
      </w:r>
    </w:p>
    <w:p>
      <w:pPr>
        <w:pStyle w:val="ListBullet"/>
      </w:pPr>
      <w:r>
        <w:t>The dashboard refreshes operational data periodically to behave as a live console.</w:t>
      </w:r>
    </w:p>
    <w:p>
      <w:r>
        <w:br w:type="page"/>
      </w:r>
    </w:p>
    <w:p>
      <w:pPr>
        <w:pStyle w:val="Heading1"/>
        <w:spacing w:before="120" w:after="80"/>
      </w:pPr>
      <w:r>
        <w:t>6. Acceptance Scenarios AC01–AC10</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CE8EF"/>
          </w:tcPr>
          <w:p>
            <w:r/>
            <w:r>
              <w:rPr>
                <w:b/>
                <w:sz w:val="17"/>
              </w:rPr>
              <w:t>AC</w:t>
            </w:r>
          </w:p>
        </w:tc>
        <w:tc>
          <w:tcPr>
            <w:tcW w:type="dxa" w:w="2556"/>
            <w:vAlign w:val="center"/>
            <w:shd w:fill="DCE8EF"/>
          </w:tcPr>
          <w:p>
            <w:r/>
            <w:r>
              <w:rPr>
                <w:b/>
                <w:sz w:val="17"/>
              </w:rPr>
              <w:t>Scenario</w:t>
            </w:r>
          </w:p>
        </w:tc>
        <w:tc>
          <w:tcPr>
            <w:tcW w:type="dxa" w:w="2556"/>
            <w:vAlign w:val="center"/>
            <w:shd w:fill="DCE8EF"/>
          </w:tcPr>
          <w:p>
            <w:r/>
            <w:r>
              <w:rPr>
                <w:b/>
                <w:sz w:val="17"/>
              </w:rPr>
              <w:t>Implemented workflow</w:t>
            </w:r>
          </w:p>
        </w:tc>
        <w:tc>
          <w:tcPr>
            <w:tcW w:type="dxa" w:w="2556"/>
            <w:vAlign w:val="center"/>
            <w:shd w:fill="DCE8EF"/>
          </w:tcPr>
          <w:p>
            <w:r/>
            <w:r>
              <w:rPr>
                <w:b/>
                <w:sz w:val="17"/>
              </w:rPr>
              <w:t>Evidence to capture</w:t>
            </w:r>
          </w:p>
        </w:tc>
      </w:tr>
      <w:tr>
        <w:tc>
          <w:tcPr>
            <w:tcW w:type="dxa" w:w="2556"/>
            <w:vAlign w:val="center"/>
          </w:tcPr>
          <w:p>
            <w:r/>
            <w:r>
              <w:rPr>
                <w:b w:val="0"/>
                <w:sz w:val="15"/>
              </w:rPr>
              <w:t>AC01</w:t>
            </w:r>
          </w:p>
        </w:tc>
        <w:tc>
          <w:tcPr>
            <w:tcW w:type="dxa" w:w="2556"/>
            <w:vAlign w:val="center"/>
          </w:tcPr>
          <w:p>
            <w:r/>
            <w:r>
              <w:rPr>
                <w:b w:val="0"/>
                <w:sz w:val="15"/>
              </w:rPr>
              <w:t>Spreadsheet migration</w:t>
            </w:r>
          </w:p>
        </w:tc>
        <w:tc>
          <w:tcPr>
            <w:tcW w:type="dxa" w:w="2556"/>
            <w:vAlign w:val="center"/>
          </w:tcPr>
          <w:p>
            <w:r/>
            <w:r>
              <w:rPr>
                <w:b w:val="0"/>
                <w:sz w:val="15"/>
              </w:rPr>
              <w:t>Upload → dry-run → invalid/duplicate classification → import → migration history/reconciliation</w:t>
            </w:r>
          </w:p>
        </w:tc>
        <w:tc>
          <w:tcPr>
            <w:tcW w:type="dxa" w:w="2556"/>
            <w:vAlign w:val="center"/>
          </w:tcPr>
          <w:p>
            <w:r/>
            <w:r>
              <w:rPr>
                <w:b w:val="0"/>
                <w:sz w:val="15"/>
              </w:rPr>
              <w:t>Screenshot of counts + rejected rows + target count</w:t>
            </w:r>
          </w:p>
        </w:tc>
      </w:tr>
      <w:tr>
        <w:tc>
          <w:tcPr>
            <w:tcW w:type="dxa" w:w="2556"/>
            <w:vAlign w:val="center"/>
          </w:tcPr>
          <w:p>
            <w:r/>
            <w:r>
              <w:rPr>
                <w:b w:val="0"/>
                <w:sz w:val="15"/>
              </w:rPr>
              <w:t>AC02</w:t>
            </w:r>
          </w:p>
        </w:tc>
        <w:tc>
          <w:tcPr>
            <w:tcW w:type="dxa" w:w="2556"/>
            <w:vAlign w:val="center"/>
          </w:tcPr>
          <w:p>
            <w:r/>
            <w:r>
              <w:rPr>
                <w:b w:val="0"/>
                <w:sz w:val="15"/>
              </w:rPr>
              <w:t>Bibliographic item + RFID</w:t>
            </w:r>
          </w:p>
        </w:tc>
        <w:tc>
          <w:tcPr>
            <w:tcW w:type="dxa" w:w="2556"/>
            <w:vAlign w:val="center"/>
          </w:tcPr>
          <w:p>
            <w:r/>
            <w:r>
              <w:rPr>
                <w:b w:val="0"/>
                <w:sz w:val="15"/>
              </w:rPr>
              <w:t>Locate/create item → validate → associate tag → show relationship</w:t>
            </w:r>
          </w:p>
        </w:tc>
        <w:tc>
          <w:tcPr>
            <w:tcW w:type="dxa" w:w="2556"/>
            <w:vAlign w:val="center"/>
          </w:tcPr>
          <w:p>
            <w:r/>
            <w:r>
              <w:rPr>
                <w:b w:val="0"/>
                <w:sz w:val="15"/>
              </w:rPr>
              <w:t>Catalogue detail + RFID tagging screen</w:t>
            </w:r>
          </w:p>
        </w:tc>
      </w:tr>
      <w:tr>
        <w:tc>
          <w:tcPr>
            <w:tcW w:type="dxa" w:w="2556"/>
            <w:vAlign w:val="center"/>
          </w:tcPr>
          <w:p>
            <w:r/>
            <w:r>
              <w:rPr>
                <w:b w:val="0"/>
                <w:sz w:val="15"/>
              </w:rPr>
              <w:t>AC03</w:t>
            </w:r>
          </w:p>
        </w:tc>
        <w:tc>
          <w:tcPr>
            <w:tcW w:type="dxa" w:w="2556"/>
            <w:vAlign w:val="center"/>
          </w:tcPr>
          <w:p>
            <w:r/>
            <w:r>
              <w:rPr>
                <w:b w:val="0"/>
                <w:sz w:val="15"/>
              </w:rPr>
              <w:t>Checkout/renew/check-in</w:t>
            </w:r>
          </w:p>
        </w:tc>
        <w:tc>
          <w:tcPr>
            <w:tcW w:type="dxa" w:w="2556"/>
            <w:vAlign w:val="center"/>
          </w:tcPr>
          <w:p>
            <w:r/>
            <w:r>
              <w:rPr>
                <w:b w:val="0"/>
                <w:sz w:val="15"/>
              </w:rPr>
              <w:t>NCIP2 checkout → SIP2 renew → NCIP2 check-in → audit</w:t>
            </w:r>
          </w:p>
        </w:tc>
        <w:tc>
          <w:tcPr>
            <w:tcW w:type="dxa" w:w="2556"/>
            <w:vAlign w:val="center"/>
          </w:tcPr>
          <w:p>
            <w:r/>
            <w:r>
              <w:rPr>
                <w:b w:val="0"/>
                <w:sz w:val="15"/>
              </w:rPr>
              <w:t>Circulation history + audit</w:t>
            </w:r>
          </w:p>
        </w:tc>
      </w:tr>
      <w:tr>
        <w:tc>
          <w:tcPr>
            <w:tcW w:type="dxa" w:w="2556"/>
            <w:vAlign w:val="center"/>
          </w:tcPr>
          <w:p>
            <w:r/>
            <w:r>
              <w:rPr>
                <w:b w:val="0"/>
                <w:sz w:val="15"/>
              </w:rPr>
              <w:t>AC04</w:t>
            </w:r>
          </w:p>
        </w:tc>
        <w:tc>
          <w:tcPr>
            <w:tcW w:type="dxa" w:w="2556"/>
            <w:vAlign w:val="center"/>
          </w:tcPr>
          <w:p>
            <w:r/>
            <w:r>
              <w:rPr>
                <w:b w:val="0"/>
                <w:sz w:val="15"/>
              </w:rPr>
              <w:t>Restrictions</w:t>
            </w:r>
          </w:p>
        </w:tc>
        <w:tc>
          <w:tcPr>
            <w:tcW w:type="dxa" w:w="2556"/>
            <w:vAlign w:val="center"/>
          </w:tcPr>
          <w:p>
            <w:r/>
            <w:r>
              <w:rPr>
                <w:b w:val="0"/>
                <w:sz w:val="15"/>
              </w:rPr>
              <w:t>Reference-only / blocked member / fine-limit refusal</w:t>
            </w:r>
          </w:p>
        </w:tc>
        <w:tc>
          <w:tcPr>
            <w:tcW w:type="dxa" w:w="2556"/>
            <w:vAlign w:val="center"/>
          </w:tcPr>
          <w:p>
            <w:r/>
            <w:r>
              <w:rPr>
                <w:b w:val="0"/>
                <w:sz w:val="15"/>
              </w:rPr>
              <w:t>Three refusal messages + audit</w:t>
            </w:r>
          </w:p>
        </w:tc>
      </w:tr>
      <w:tr>
        <w:tc>
          <w:tcPr>
            <w:tcW w:type="dxa" w:w="2556"/>
            <w:vAlign w:val="center"/>
          </w:tcPr>
          <w:p>
            <w:r/>
            <w:r>
              <w:rPr>
                <w:b w:val="0"/>
                <w:sz w:val="15"/>
              </w:rPr>
              <w:t>AC05</w:t>
            </w:r>
          </w:p>
        </w:tc>
        <w:tc>
          <w:tcPr>
            <w:tcW w:type="dxa" w:w="2556"/>
            <w:vAlign w:val="center"/>
          </w:tcPr>
          <w:p>
            <w:r/>
            <w:r>
              <w:rPr>
                <w:b w:val="0"/>
                <w:sz w:val="15"/>
              </w:rPr>
              <w:t>Handheld inventory</w:t>
            </w:r>
          </w:p>
        </w:tc>
        <w:tc>
          <w:tcPr>
            <w:tcW w:type="dxa" w:w="2556"/>
            <w:vAlign w:val="center"/>
          </w:tcPr>
          <w:p>
            <w:r/>
            <w:r>
              <w:rPr>
                <w:b w:val="0"/>
                <w:sz w:val="15"/>
              </w:rPr>
              <w:t>Expected tags vs observed tags → FOUND/MISSING/UNKNOWN; misplaced via expected shelf</w:t>
            </w:r>
          </w:p>
        </w:tc>
        <w:tc>
          <w:tcPr>
            <w:tcW w:type="dxa" w:w="2556"/>
            <w:vAlign w:val="center"/>
          </w:tcPr>
          <w:p>
            <w:r/>
            <w:r>
              <w:rPr>
                <w:b w:val="0"/>
                <w:sz w:val="15"/>
              </w:rPr>
              <w:t>Inventory summary + event table</w:t>
            </w:r>
          </w:p>
        </w:tc>
      </w:tr>
      <w:tr>
        <w:tc>
          <w:tcPr>
            <w:tcW w:type="dxa" w:w="2556"/>
            <w:vAlign w:val="center"/>
          </w:tcPr>
          <w:p>
            <w:r/>
            <w:r>
              <w:rPr>
                <w:b w:val="0"/>
                <w:sz w:val="15"/>
              </w:rPr>
              <w:t>AC06</w:t>
            </w:r>
          </w:p>
        </w:tc>
        <w:tc>
          <w:tcPr>
            <w:tcW w:type="dxa" w:w="2556"/>
            <w:vAlign w:val="center"/>
          </w:tcPr>
          <w:p>
            <w:r/>
            <w:r>
              <w:rPr>
                <w:b w:val="0"/>
                <w:sz w:val="15"/>
              </w:rPr>
              <w:t>Gate event</w:t>
            </w:r>
          </w:p>
        </w:tc>
        <w:tc>
          <w:tcPr>
            <w:tcW w:type="dxa" w:w="2556"/>
            <w:vAlign w:val="center"/>
          </w:tcPr>
          <w:p>
            <w:r/>
            <w:r>
              <w:rPr>
                <w:b w:val="0"/>
                <w:sz w:val="15"/>
              </w:rPr>
              <w:t>Armed tag → authorization decision → accession → CCTV ref → notification queue</w:t>
            </w:r>
          </w:p>
        </w:tc>
        <w:tc>
          <w:tcPr>
            <w:tcW w:type="dxa" w:w="2556"/>
            <w:vAlign w:val="center"/>
          </w:tcPr>
          <w:p>
            <w:r/>
            <w:r>
              <w:rPr>
                <w:b w:val="0"/>
                <w:sz w:val="15"/>
              </w:rPr>
              <w:t>Gate log + notification queue</w:t>
            </w:r>
          </w:p>
        </w:tc>
      </w:tr>
      <w:tr>
        <w:tc>
          <w:tcPr>
            <w:tcW w:type="dxa" w:w="2556"/>
            <w:vAlign w:val="center"/>
          </w:tcPr>
          <w:p>
            <w:r/>
            <w:r>
              <w:rPr>
                <w:b w:val="0"/>
                <w:sz w:val="15"/>
              </w:rPr>
              <w:t>AC07</w:t>
            </w:r>
          </w:p>
        </w:tc>
        <w:tc>
          <w:tcPr>
            <w:tcW w:type="dxa" w:w="2556"/>
            <w:vAlign w:val="center"/>
          </w:tcPr>
          <w:p>
            <w:r/>
            <w:r>
              <w:rPr>
                <w:b w:val="0"/>
                <w:sz w:val="15"/>
              </w:rPr>
              <w:t>Smart card + RBAC</w:t>
            </w:r>
          </w:p>
        </w:tc>
        <w:tc>
          <w:tcPr>
            <w:tcW w:type="dxa" w:w="2556"/>
            <w:vAlign w:val="center"/>
          </w:tcPr>
          <w:p>
            <w:r/>
            <w:r>
              <w:rPr>
                <w:b w:val="0"/>
                <w:sz w:val="15"/>
              </w:rPr>
              <w:t>Mapped card UID → identity; operator denied admin endpoint</w:t>
            </w:r>
          </w:p>
        </w:tc>
        <w:tc>
          <w:tcPr>
            <w:tcW w:type="dxa" w:w="2556"/>
            <w:vAlign w:val="center"/>
          </w:tcPr>
          <w:p>
            <w:r/>
            <w:r>
              <w:rPr>
                <w:b w:val="0"/>
                <w:sz w:val="15"/>
              </w:rPr>
              <w:t>Card acceptance + HTTP 403</w:t>
            </w:r>
          </w:p>
        </w:tc>
      </w:tr>
      <w:tr>
        <w:tc>
          <w:tcPr>
            <w:tcW w:type="dxa" w:w="2556"/>
            <w:vAlign w:val="center"/>
          </w:tcPr>
          <w:p>
            <w:r/>
            <w:r>
              <w:rPr>
                <w:b w:val="0"/>
                <w:sz w:val="15"/>
              </w:rPr>
              <w:t>AC08</w:t>
            </w:r>
          </w:p>
        </w:tc>
        <w:tc>
          <w:tcPr>
            <w:tcW w:type="dxa" w:w="2556"/>
            <w:vAlign w:val="center"/>
          </w:tcPr>
          <w:p>
            <w:r/>
            <w:r>
              <w:rPr>
                <w:b w:val="0"/>
                <w:sz w:val="15"/>
              </w:rPr>
              <w:t>Dashboard/reports</w:t>
            </w:r>
          </w:p>
        </w:tc>
        <w:tc>
          <w:tcPr>
            <w:tcW w:type="dxa" w:w="2556"/>
            <w:vAlign w:val="center"/>
          </w:tcPr>
          <w:p>
            <w:r/>
            <w:r>
              <w:rPr>
                <w:b w:val="0"/>
                <w:sz w:val="15"/>
              </w:rPr>
              <w:t>Operational metrics + circulation + audit + RFID/gate/notification evidence</w:t>
            </w:r>
          </w:p>
        </w:tc>
        <w:tc>
          <w:tcPr>
            <w:tcW w:type="dxa" w:w="2556"/>
            <w:vAlign w:val="center"/>
          </w:tcPr>
          <w:p>
            <w:r/>
            <w:r>
              <w:rPr>
                <w:b w:val="0"/>
                <w:sz w:val="15"/>
              </w:rPr>
              <w:t>Dashboard + report screenshots</w:t>
            </w:r>
          </w:p>
        </w:tc>
      </w:tr>
      <w:tr>
        <w:tc>
          <w:tcPr>
            <w:tcW w:type="dxa" w:w="2556"/>
            <w:vAlign w:val="center"/>
          </w:tcPr>
          <w:p>
            <w:r/>
            <w:r>
              <w:rPr>
                <w:b w:val="0"/>
                <w:sz w:val="15"/>
              </w:rPr>
              <w:t>AC09</w:t>
            </w:r>
          </w:p>
        </w:tc>
        <w:tc>
          <w:tcPr>
            <w:tcW w:type="dxa" w:w="2556"/>
            <w:vAlign w:val="center"/>
          </w:tcPr>
          <w:p>
            <w:r/>
            <w:r>
              <w:rPr>
                <w:b w:val="0"/>
                <w:sz w:val="15"/>
              </w:rPr>
              <w:t>Offline lifecycle</w:t>
            </w:r>
          </w:p>
        </w:tc>
        <w:tc>
          <w:tcPr>
            <w:tcW w:type="dxa" w:w="2556"/>
            <w:vAlign w:val="center"/>
          </w:tcPr>
          <w:p>
            <w:r/>
            <w:r>
              <w:rPr>
                <w:b w:val="0"/>
                <w:sz w:val="15"/>
              </w:rPr>
              <w:t>Offline install/update/rollback procedure with backup</w:t>
            </w:r>
          </w:p>
        </w:tc>
        <w:tc>
          <w:tcPr>
            <w:tcW w:type="dxa" w:w="2556"/>
            <w:vAlign w:val="center"/>
          </w:tcPr>
          <w:p>
            <w:r/>
            <w:r>
              <w:rPr>
                <w:b w:val="0"/>
                <w:sz w:val="15"/>
              </w:rPr>
              <w:t>Terminal output + health/version + data comparison</w:t>
            </w:r>
          </w:p>
        </w:tc>
      </w:tr>
      <w:tr>
        <w:tc>
          <w:tcPr>
            <w:tcW w:type="dxa" w:w="2556"/>
            <w:vAlign w:val="center"/>
          </w:tcPr>
          <w:p>
            <w:r/>
            <w:r>
              <w:rPr>
                <w:b w:val="0"/>
                <w:sz w:val="15"/>
              </w:rPr>
              <w:t>AC10</w:t>
            </w:r>
          </w:p>
        </w:tc>
        <w:tc>
          <w:tcPr>
            <w:tcW w:type="dxa" w:w="2556"/>
            <w:vAlign w:val="center"/>
          </w:tcPr>
          <w:p>
            <w:r/>
            <w:r>
              <w:rPr>
                <w:b w:val="0"/>
                <w:sz w:val="15"/>
              </w:rPr>
              <w:t>Backup/restore</w:t>
            </w:r>
          </w:p>
        </w:tc>
        <w:tc>
          <w:tcPr>
            <w:tcW w:type="dxa" w:w="2556"/>
            <w:vAlign w:val="center"/>
          </w:tcPr>
          <w:p>
            <w:r/>
            <w:r>
              <w:rPr>
                <w:b w:val="0"/>
                <w:sz w:val="15"/>
              </w:rPr>
              <w:t>Baseline → backup → simulated failure → restore → count/content verification</w:t>
            </w:r>
          </w:p>
        </w:tc>
        <w:tc>
          <w:tcPr>
            <w:tcW w:type="dxa" w:w="2556"/>
            <w:vAlign w:val="center"/>
          </w:tcPr>
          <w:p>
            <w:r/>
            <w:r>
              <w:rPr>
                <w:b w:val="0"/>
                <w:sz w:val="15"/>
              </w:rPr>
              <w:t>Backup manifest + before/after verification</w:t>
            </w:r>
          </w:p>
        </w:tc>
      </w:tr>
    </w:tbl>
    <w:p>
      <w:r>
        <w:br w:type="page"/>
      </w:r>
    </w:p>
    <w:p>
      <w:pPr>
        <w:pStyle w:val="Heading1"/>
        <w:spacing w:before="120" w:after="80"/>
      </w:pPr>
      <w:r>
        <w:t>7. AC01–AC04 Detailed Demonstration</w:t>
      </w:r>
    </w:p>
    <w:p>
      <w:pPr>
        <w:pStyle w:val="Heading2"/>
        <w:spacing w:before="120" w:after="80"/>
      </w:pPr>
      <w:r>
        <w:t>AC01 — Migration</w:t>
      </w:r>
    </w:p>
    <w:p>
      <w:pPr>
        <w:pStyle w:val="ListBullet"/>
      </w:pPr>
      <w:r>
        <w:t>Open Data Migration and select the supplied 20,000-row workbook.</w:t>
      </w:r>
    </w:p>
    <w:p>
      <w:pPr>
        <w:pStyle w:val="ListBullet"/>
      </w:pPr>
      <w:r>
        <w:t>Run Validate / dry-run. Confirm source, valid, invalid and duplicate counts.</w:t>
      </w:r>
    </w:p>
    <w:p>
      <w:pPr>
        <w:pStyle w:val="ListBullet"/>
      </w:pPr>
      <w:r>
        <w:t>Inspect migration history. Row-level records preserve row number, accession and error reason.</w:t>
      </w:r>
    </w:p>
    <w:p>
      <w:pPr>
        <w:pStyle w:val="ListBullet"/>
      </w:pPr>
      <w:r>
        <w:t>Run the import only on a clean valid test set. Confirm migrated count and completed status.</w:t>
      </w:r>
    </w:p>
    <w:p>
      <w:pPr>
        <w:pStyle w:val="ListBullet"/>
      </w:pPr>
      <w:r>
        <w:t>Use the migration run detail endpoint to compare source/run counts with the target database count.</w:t>
      </w:r>
    </w:p>
    <w:p>
      <w:pPr>
        <w:pStyle w:val="Heading2"/>
        <w:spacing w:before="120" w:after="80"/>
      </w:pPr>
      <w:r>
        <w:t>AC02 — Catalog + RFID</w:t>
      </w:r>
    </w:p>
    <w:p>
      <w:pPr>
        <w:pStyle w:val="ListBullet"/>
      </w:pPr>
      <w:r>
        <w:t>Create or locate an item in Cataloguing &amp; Search.</w:t>
      </w:r>
    </w:p>
    <w:p>
      <w:pPr>
        <w:pStyle w:val="ListBullet"/>
      </w:pPr>
      <w:r>
        <w:t>Open the record detail and confirm the item is not withdrawn/invalid.</w:t>
      </w:r>
    </w:p>
    <w:p>
      <w:pPr>
        <w:pStyle w:val="ListBullet"/>
      </w:pPr>
      <w:r>
        <w:t>Move to RFID Tagging, validate the record and associate a unique UID.</w:t>
      </w:r>
    </w:p>
    <w:p>
      <w:pPr>
        <w:pStyle w:val="ListBullet"/>
      </w:pPr>
      <w:r>
        <w:t>The backend rejects duplicate UIDs and rejects a second active tag for the same item.</w:t>
      </w:r>
    </w:p>
    <w:p>
      <w:pPr>
        <w:pStyle w:val="Heading2"/>
        <w:spacing w:before="120" w:after="80"/>
      </w:pPr>
      <w:r>
        <w:t>AC03 — Circulation</w:t>
      </w:r>
    </w:p>
    <w:p>
      <w:pPr>
        <w:pStyle w:val="ListBullet"/>
      </w:pPr>
      <w:r>
        <w:t>Issue an item through NCIP2.</w:t>
      </w:r>
    </w:p>
    <w:p>
      <w:pPr>
        <w:pStyle w:val="ListBullet"/>
      </w:pPr>
      <w:r>
        <w:t>Renew it through SIP2.</w:t>
      </w:r>
    </w:p>
    <w:p>
      <w:pPr>
        <w:pStyle w:val="ListBullet"/>
      </w:pPr>
      <w:r>
        <w:t>Return it through NCIP2.</w:t>
      </w:r>
    </w:p>
    <w:p>
      <w:pPr>
        <w:pStyle w:val="ListBullet"/>
      </w:pPr>
      <w:r>
        <w:t>The same server-side rules are used regardless of channel, and the circulation history retains the channel.</w:t>
      </w:r>
    </w:p>
    <w:p>
      <w:pPr>
        <w:pStyle w:val="Heading2"/>
        <w:spacing w:before="120" w:after="80"/>
      </w:pPr>
      <w:r>
        <w:t>AC04 — Restrictions</w:t>
      </w:r>
    </w:p>
    <w:p>
      <w:pPr>
        <w:pStyle w:val="ListBullet"/>
      </w:pPr>
      <w:r>
        <w:t>Mark a member blocked and attempt checkout.</w:t>
      </w:r>
    </w:p>
    <w:p>
      <w:pPr>
        <w:pStyle w:val="ListBullet"/>
      </w:pPr>
      <w:r>
        <w:t>Use a reference-only item and attempt checkout.</w:t>
      </w:r>
    </w:p>
    <w:p>
      <w:pPr>
        <w:pStyle w:val="ListBullet"/>
      </w:pPr>
      <w:r>
        <w:t>Set a member fine above the configurable limit in Administration and attempt checkout.</w:t>
      </w:r>
    </w:p>
    <w:p>
      <w:pPr>
        <w:pStyle w:val="ListBullet"/>
      </w:pPr>
      <w:r>
        <w:t>Each refusal is generated by the server-side circulation service.</w:t>
      </w:r>
    </w:p>
    <w:p>
      <w:r>
        <w:br w:type="page"/>
      </w:r>
    </w:p>
    <w:p>
      <w:pPr>
        <w:pStyle w:val="Heading1"/>
        <w:spacing w:before="120" w:after="80"/>
      </w:pPr>
      <w:r>
        <w:t>8. AC05–AC08 Detailed Demonstration</w:t>
      </w:r>
    </w:p>
    <w:p>
      <w:pPr>
        <w:pStyle w:val="Heading2"/>
        <w:spacing w:before="120" w:after="80"/>
      </w:pPr>
      <w:r>
        <w:t>AC05 — Inventory</w:t>
      </w:r>
    </w:p>
    <w:p>
      <w:pPr>
        <w:pStyle w:val="ListBullet"/>
      </w:pPr>
      <w:r>
        <w:t>Enter expected tag UIDs for a shelf and the UIDs actually observed by HH-01.</w:t>
      </w:r>
    </w:p>
    <w:p>
      <w:pPr>
        <w:pStyle w:val="ListBullet"/>
      </w:pPr>
      <w:r>
        <w:t>The session returns FOUND for known observed tags, MISSING for expected-but-not-read tags and UNKNOWN for unassociated tags.</w:t>
      </w:r>
    </w:p>
    <w:p>
      <w:pPr>
        <w:pStyle w:val="ListBullet"/>
      </w:pPr>
      <w:r>
        <w:t>Use the single-read workflow with a different expected shelf to demonstrate MISPLACED.</w:t>
      </w:r>
    </w:p>
    <w:p>
      <w:pPr>
        <w:pStyle w:val="ListBullet"/>
      </w:pPr>
      <w:r>
        <w:t>Each read becomes an inventory event with visible/audible confirmation state.</w:t>
      </w:r>
    </w:p>
    <w:p>
      <w:pPr>
        <w:pStyle w:val="Heading2"/>
        <w:spacing w:before="120" w:after="80"/>
      </w:pPr>
      <w:r>
        <w:t>AC06 — Security gate</w:t>
      </w:r>
    </w:p>
    <w:p>
      <w:pPr>
        <w:pStyle w:val="ListBullet"/>
      </w:pPr>
      <w:r>
        <w:t>Enter a tag UID and keep the security bit armed.</w:t>
      </w:r>
    </w:p>
    <w:p>
      <w:pPr>
        <w:pStyle w:val="ListBullet"/>
      </w:pPr>
      <w:r>
        <w:t>The service evaluates whether the item is currently issued.</w:t>
      </w:r>
    </w:p>
    <w:p>
      <w:pPr>
        <w:pStyle w:val="ListBullet"/>
      </w:pPr>
      <w:r>
        <w:t>An unauthorized event records the accession, CCTV reference and notification status.</w:t>
      </w:r>
    </w:p>
    <w:p>
      <w:pPr>
        <w:pStyle w:val="ListBullet"/>
      </w:pPr>
      <w:r>
        <w:t>The notification adapter is provider-neutral and mocked.</w:t>
      </w:r>
    </w:p>
    <w:p>
      <w:pPr>
        <w:pStyle w:val="Heading2"/>
        <w:spacing w:before="120" w:after="80"/>
      </w:pPr>
      <w:r>
        <w:t>AC07 — Smart card + RBAC</w:t>
      </w:r>
    </w:p>
    <w:p>
      <w:pPr>
        <w:pStyle w:val="ListBullet"/>
      </w:pPr>
      <w:r>
        <w:t>CARD-ADMIN-01 maps to admin; CARD-LIB-01 to librarian; CARD-OP-01 to operator.</w:t>
      </w:r>
    </w:p>
    <w:p>
      <w:pPr>
        <w:pStyle w:val="ListBullet"/>
      </w:pPr>
      <w:r>
        <w:t>The smart-card mock verifies the card-to-user mapping before the API accepts the identity.</w:t>
      </w:r>
    </w:p>
    <w:p>
      <w:pPr>
        <w:pStyle w:val="ListBullet"/>
      </w:pPr>
      <w:r>
        <w:t>Operator permissions do not include admin configuration; an admin endpoint returns HTTP 403.</w:t>
      </w:r>
    </w:p>
    <w:p>
      <w:pPr>
        <w:pStyle w:val="Heading2"/>
        <w:spacing w:before="120" w:after="80"/>
      </w:pPr>
      <w:r>
        <w:t>AC08 — Dashboard &amp; reports</w:t>
      </w:r>
    </w:p>
    <w:p>
      <w:pPr>
        <w:pStyle w:val="ListBullet"/>
      </w:pPr>
      <w:r>
        <w:t>Dashboard shows collection, members, availability, active loans, RFID, gate, notification and audit counts.</w:t>
      </w:r>
    </w:p>
    <w:p>
      <w:pPr>
        <w:pStyle w:val="ListBullet"/>
      </w:pPr>
      <w:r>
        <w:t>Reports show circulation and audit activity.</w:t>
      </w:r>
    </w:p>
    <w:p>
      <w:pPr>
        <w:pStyle w:val="ListBullet"/>
      </w:pPr>
      <w:r>
        <w:t>RFID, gate and notification screens provide operational traceability.</w:t>
      </w:r>
    </w:p>
    <w:p>
      <w:r>
        <w:br w:type="page"/>
      </w:r>
    </w:p>
    <w:p>
      <w:pPr>
        <w:pStyle w:val="Heading1"/>
        <w:spacing w:before="120" w:after="80"/>
      </w:pPr>
      <w:r>
        <w:t>9. AC09–AC10 Resilience</w:t>
      </w:r>
    </w:p>
    <w:p>
      <w:pPr>
        <w:pStyle w:val="Heading2"/>
        <w:spacing w:before="120" w:after="80"/>
      </w:pPr>
      <w:r>
        <w:t>AC09 — Offline lifecycle</w:t>
      </w:r>
    </w:p>
    <w:p>
      <w:r>
        <w:t>The candidate package contains Docker/Compose deployment assets, a Windows launcher, an offline bundle note and database backup/rollback helper. The final candidate evidence should be captured on the Windows machine with network access disabled. The evidence should show the installation state, update state, rollback state and data integrity.</w:t>
      </w:r>
    </w:p>
    <w:p>
      <w:pPr>
        <w:pStyle w:val="Heading2"/>
        <w:spacing w:before="120" w:after="80"/>
      </w:pPr>
      <w:r>
        <w:t>AC10 — Backup and restore</w:t>
      </w:r>
    </w:p>
    <w:p>
      <w:r>
        <w:t>The backup helper uses SQLite backup/copy mechanisms for the default local deployment. The Docker deployment is PostgreSQL-shaped and should use pg_dump/restore in a production environment. The acceptance drill should record baseline business counts, introduce a controlled failure, restore and compare the original counts/content.</w:t>
      </w:r>
    </w:p>
    <w:p>
      <w:pPr>
        <w:pStyle w:val="Heading2"/>
        <w:spacing w:before="120" w:after="80"/>
      </w:pPr>
      <w:r>
        <w:t>Evidence discipline</w:t>
      </w:r>
    </w:p>
    <w:p>
      <w:r>
        <w:t>No AC09/AC10 result is claimed in this document unless the candidate captures it locally. This is intentional: the AISYS SOP requires evidence rather than unsupported claims.</w:t>
      </w:r>
    </w:p>
    <w:p>
      <w:r>
        <w:br w:type="page"/>
      </w:r>
    </w:p>
    <w:p>
      <w:pPr>
        <w:pStyle w:val="Heading1"/>
        <w:spacing w:before="120" w:after="80"/>
      </w:pPr>
      <w:r>
        <w:t>10. Engineering Controls &amp; Security</w:t>
      </w:r>
    </w:p>
    <w:tbl>
      <w:tblPr>
        <w:tblStyle w:val="TableGrid"/>
        <w:tblW w:type="auto" w:w="0"/>
        <w:tblLook w:firstColumn="1" w:firstRow="1" w:lastColumn="0" w:lastRow="0" w:noHBand="0" w:noVBand="1" w:val="04A0"/>
      </w:tblPr>
      <w:tblGrid>
        <w:gridCol w:w="5112"/>
        <w:gridCol w:w="5112"/>
      </w:tblGrid>
      <w:tr>
        <w:tc>
          <w:tcPr>
            <w:tcW w:type="dxa" w:w="5112"/>
            <w:vAlign w:val="center"/>
            <w:shd w:fill="DCE8EF"/>
          </w:tcPr>
          <w:p>
            <w:r/>
            <w:r>
              <w:rPr>
                <w:b/>
                <w:sz w:val="17"/>
              </w:rPr>
              <w:t>SOP control</w:t>
            </w:r>
          </w:p>
        </w:tc>
        <w:tc>
          <w:tcPr>
            <w:tcW w:type="dxa" w:w="5112"/>
            <w:vAlign w:val="center"/>
            <w:shd w:fill="DCE8EF"/>
          </w:tcPr>
          <w:p>
            <w:r/>
            <w:r>
              <w:rPr>
                <w:b/>
                <w:sz w:val="17"/>
              </w:rPr>
              <w:t>Implementation</w:t>
            </w:r>
          </w:p>
        </w:tc>
      </w:tr>
      <w:tr>
        <w:tc>
          <w:tcPr>
            <w:tcW w:type="dxa" w:w="5112"/>
            <w:vAlign w:val="center"/>
          </w:tcPr>
          <w:p>
            <w:r/>
            <w:r>
              <w:rPr>
                <w:b/>
                <w:sz w:val="17"/>
              </w:rPr>
              <w:t>Version control</w:t>
            </w:r>
          </w:p>
        </w:tc>
        <w:tc>
          <w:tcPr>
            <w:tcW w:type="dxa" w:w="5112"/>
            <w:vAlign w:val="center"/>
          </w:tcPr>
          <w:p>
            <w:r/>
            <w:r>
              <w:rPr>
                <w:b w:val="0"/>
                <w:sz w:val="17"/>
              </w:rPr>
              <w:t>Repository includes CI configuration and release-oriented documentation; final evaluation tag should be created by the candidate.</w:t>
            </w:r>
          </w:p>
        </w:tc>
      </w:tr>
      <w:tr>
        <w:tc>
          <w:tcPr>
            <w:tcW w:type="dxa" w:w="5112"/>
            <w:vAlign w:val="center"/>
          </w:tcPr>
          <w:p>
            <w:r/>
            <w:r>
              <w:rPr>
                <w:b/>
                <w:sz w:val="17"/>
              </w:rPr>
              <w:t>Code quality</w:t>
            </w:r>
          </w:p>
        </w:tc>
        <w:tc>
          <w:tcPr>
            <w:tcW w:type="dxa" w:w="5112"/>
            <w:vAlign w:val="center"/>
          </w:tcPr>
          <w:p>
            <w:r/>
            <w:r>
              <w:rPr>
                <w:b w:val="0"/>
                <w:sz w:val="17"/>
              </w:rPr>
              <w:t>Compile checks, pytest suite, typed schemas, pinned requirements and GitHub Actions baseline.</w:t>
            </w:r>
          </w:p>
        </w:tc>
      </w:tr>
      <w:tr>
        <w:tc>
          <w:tcPr>
            <w:tcW w:type="dxa" w:w="5112"/>
            <w:vAlign w:val="center"/>
          </w:tcPr>
          <w:p>
            <w:r/>
            <w:r>
              <w:rPr>
                <w:b/>
                <w:sz w:val="17"/>
              </w:rPr>
              <w:t>Configuration</w:t>
            </w:r>
          </w:p>
        </w:tc>
        <w:tc>
          <w:tcPr>
            <w:tcW w:type="dxa" w:w="5112"/>
            <w:vAlign w:val="center"/>
          </w:tcPr>
          <w:p>
            <w:r/>
            <w:r>
              <w:rPr>
                <w:b w:val="0"/>
                <w:sz w:val="17"/>
              </w:rPr>
              <w:t>Environment values are externalized through settings/.env.example.</w:t>
            </w:r>
          </w:p>
        </w:tc>
      </w:tr>
      <w:tr>
        <w:tc>
          <w:tcPr>
            <w:tcW w:type="dxa" w:w="5112"/>
            <w:vAlign w:val="center"/>
          </w:tcPr>
          <w:p>
            <w:r/>
            <w:r>
              <w:rPr>
                <w:b/>
                <w:sz w:val="17"/>
              </w:rPr>
              <w:t>Secrets</w:t>
            </w:r>
          </w:p>
        </w:tc>
        <w:tc>
          <w:tcPr>
            <w:tcW w:type="dxa" w:w="5112"/>
            <w:vAlign w:val="center"/>
          </w:tcPr>
          <w:p>
            <w:r/>
            <w:r>
              <w:rPr>
                <w:b w:val="0"/>
                <w:sz w:val="17"/>
              </w:rPr>
              <w:t>Demo credentials are clearly identified as evaluation credentials; production secrets must be generated/managed outside source.</w:t>
            </w:r>
          </w:p>
        </w:tc>
      </w:tr>
      <w:tr>
        <w:tc>
          <w:tcPr>
            <w:tcW w:type="dxa" w:w="5112"/>
            <w:vAlign w:val="center"/>
          </w:tcPr>
          <w:p>
            <w:r/>
            <w:r>
              <w:rPr>
                <w:b/>
                <w:sz w:val="17"/>
              </w:rPr>
              <w:t>Data protection</w:t>
            </w:r>
          </w:p>
        </w:tc>
        <w:tc>
          <w:tcPr>
            <w:tcW w:type="dxa" w:w="5112"/>
            <w:vAlign w:val="center"/>
          </w:tcPr>
          <w:p>
            <w:r/>
            <w:r>
              <w:rPr>
                <w:b w:val="0"/>
                <w:sz w:val="17"/>
              </w:rPr>
              <w:t>Synthetic data only; audit records; least-privilege role dependencies.</w:t>
            </w:r>
          </w:p>
        </w:tc>
      </w:tr>
      <w:tr>
        <w:tc>
          <w:tcPr>
            <w:tcW w:type="dxa" w:w="5112"/>
            <w:vAlign w:val="center"/>
          </w:tcPr>
          <w:p>
            <w:r/>
            <w:r>
              <w:rPr>
                <w:b/>
                <w:sz w:val="17"/>
              </w:rPr>
              <w:t>Dependencies</w:t>
            </w:r>
          </w:p>
        </w:tc>
        <w:tc>
          <w:tcPr>
            <w:tcW w:type="dxa" w:w="5112"/>
            <w:vAlign w:val="center"/>
          </w:tcPr>
          <w:p>
            <w:r/>
            <w:r>
              <w:rPr>
                <w:b w:val="0"/>
                <w:sz w:val="17"/>
              </w:rPr>
              <w:t>requirements.txt pins versions; SBOM/licensing documentation included.</w:t>
            </w:r>
          </w:p>
        </w:tc>
      </w:tr>
      <w:tr>
        <w:tc>
          <w:tcPr>
            <w:tcW w:type="dxa" w:w="5112"/>
            <w:vAlign w:val="center"/>
          </w:tcPr>
          <w:p>
            <w:r/>
            <w:r>
              <w:rPr>
                <w:b/>
                <w:sz w:val="17"/>
              </w:rPr>
              <w:t>Defects</w:t>
            </w:r>
          </w:p>
        </w:tc>
        <w:tc>
          <w:tcPr>
            <w:tcW w:type="dxa" w:w="5112"/>
            <w:vAlign w:val="center"/>
          </w:tcPr>
          <w:p>
            <w:r/>
            <w:r>
              <w:rPr>
                <w:b w:val="0"/>
                <w:sz w:val="17"/>
              </w:rPr>
              <w:t>Known limitations and acceptance procedures provide a place to record severity, reproduction, fix and retest.</w:t>
            </w:r>
          </w:p>
        </w:tc>
      </w:tr>
      <w:tr>
        <w:tc>
          <w:tcPr>
            <w:tcW w:type="dxa" w:w="5112"/>
            <w:vAlign w:val="center"/>
          </w:tcPr>
          <w:p>
            <w:r/>
            <w:r>
              <w:rPr>
                <w:b/>
                <w:sz w:val="17"/>
              </w:rPr>
              <w:t>Change control</w:t>
            </w:r>
          </w:p>
        </w:tc>
        <w:tc>
          <w:tcPr>
            <w:tcW w:type="dxa" w:w="5112"/>
            <w:vAlign w:val="center"/>
          </w:tcPr>
          <w:p>
            <w:r/>
            <w:r>
              <w:rPr>
                <w:b w:val="0"/>
                <w:sz w:val="17"/>
              </w:rPr>
              <w:t>Traceability and acceptance documents are updated with the v2 feature set.</w:t>
            </w:r>
          </w:p>
        </w:tc>
      </w:tr>
    </w:tbl>
    <w:p>
      <w:pPr>
        <w:pStyle w:val="Heading2"/>
        <w:spacing w:before="120" w:after="80"/>
      </w:pPr>
      <w:r>
        <w:t>10.1 Security boundary</w:t>
      </w:r>
    </w:p>
    <w:p>
      <w:pPr>
        <w:pStyle w:val="ListBullet"/>
      </w:pPr>
      <w:r>
        <w:t>Authentication: OAuth2 password flow with JWT access tokens.</w:t>
      </w:r>
    </w:p>
    <w:p>
      <w:pPr>
        <w:pStyle w:val="ListBullet"/>
      </w:pPr>
      <w:r>
        <w:t>Password storage: bcrypt via Passlib.</w:t>
      </w:r>
    </w:p>
    <w:p>
      <w:pPr>
        <w:pStyle w:val="ListBullet"/>
      </w:pPr>
      <w:r>
        <w:t>Authorization: admin, librarian and operator roles enforced at API dependency level.</w:t>
      </w:r>
    </w:p>
    <w:p>
      <w:pPr>
        <w:pStyle w:val="ListBullet"/>
      </w:pPr>
      <w:r>
        <w:t>Input validation: Pydantic schemas, file-type checks and duplicate detection.</w:t>
      </w:r>
    </w:p>
    <w:p>
      <w:pPr>
        <w:pStyle w:val="ListBullet"/>
      </w:pPr>
      <w:r>
        <w:t>Audit: administrative, circulation, RFID, gate and smart-card checks are recorded.</w:t>
      </w:r>
    </w:p>
    <w:p>
      <w:pPr>
        <w:pStyle w:val="ListBullet"/>
      </w:pPr>
      <w:r>
        <w:t>Production hardening still required: rate limiting, MFA, token revocation, CSP, TLS enforcement and penetration testing.</w:t>
      </w:r>
    </w:p>
    <w:p>
      <w:r>
        <w:br w:type="page"/>
      </w:r>
    </w:p>
    <w:p>
      <w:pPr>
        <w:pStyle w:val="Heading1"/>
        <w:spacing w:before="120" w:after="80"/>
      </w:pPr>
      <w:r>
        <w:t>11. SOP Stages &amp; Deliverables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CE8EF"/>
          </w:tcPr>
          <w:p>
            <w:r/>
            <w:r>
              <w:rPr>
                <w:b/>
                <w:sz w:val="17"/>
              </w:rPr>
              <w:t>Stage / deliverable</w:t>
            </w:r>
          </w:p>
        </w:tc>
        <w:tc>
          <w:tcPr>
            <w:tcW w:type="dxa" w:w="3408"/>
            <w:vAlign w:val="center"/>
            <w:shd w:fill="DCE8EF"/>
          </w:tcPr>
          <w:p>
            <w:r/>
            <w:r>
              <w:rPr>
                <w:b/>
                <w:sz w:val="17"/>
              </w:rPr>
              <w:t>Expected output</w:t>
            </w:r>
          </w:p>
        </w:tc>
        <w:tc>
          <w:tcPr>
            <w:tcW w:type="dxa" w:w="3408"/>
            <w:vAlign w:val="center"/>
            <w:shd w:fill="DCE8EF"/>
          </w:tcPr>
          <w:p>
            <w:r/>
            <w:r>
              <w:rPr>
                <w:b/>
                <w:sz w:val="17"/>
              </w:rPr>
              <w:t>v2 package evidence</w:t>
            </w:r>
          </w:p>
        </w:tc>
      </w:tr>
      <w:tr>
        <w:tc>
          <w:tcPr>
            <w:tcW w:type="dxa" w:w="3408"/>
            <w:vAlign w:val="center"/>
          </w:tcPr>
          <w:p>
            <w:r/>
            <w:r>
              <w:rPr>
                <w:b w:val="0"/>
                <w:sz w:val="15"/>
              </w:rPr>
              <w:t>D0 Initiation</w:t>
            </w:r>
          </w:p>
        </w:tc>
        <w:tc>
          <w:tcPr>
            <w:tcW w:type="dxa" w:w="3408"/>
            <w:vAlign w:val="center"/>
          </w:tcPr>
          <w:p>
            <w:r/>
            <w:r>
              <w:rPr>
                <w:b w:val="0"/>
                <w:sz w:val="15"/>
              </w:rPr>
              <w:t>Repository, assumptions, risks, exclusions, synthetic data</w:t>
            </w:r>
          </w:p>
        </w:tc>
        <w:tc>
          <w:tcPr>
            <w:tcW w:type="dxa" w:w="3408"/>
            <w:vAlign w:val="center"/>
          </w:tcPr>
          <w:p>
            <w:r/>
            <w:r>
              <w:rPr>
                <w:b w:val="0"/>
                <w:sz w:val="15"/>
              </w:rPr>
              <w:t>README, engineering/review documentation</w:t>
            </w:r>
          </w:p>
        </w:tc>
      </w:tr>
      <w:tr>
        <w:tc>
          <w:tcPr>
            <w:tcW w:type="dxa" w:w="3408"/>
            <w:vAlign w:val="center"/>
          </w:tcPr>
          <w:p>
            <w:r/>
            <w:r>
              <w:rPr>
                <w:b w:val="0"/>
                <w:sz w:val="15"/>
              </w:rPr>
              <w:t>D1 Requirements</w:t>
            </w:r>
          </w:p>
        </w:tc>
        <w:tc>
          <w:tcPr>
            <w:tcW w:type="dxa" w:w="3408"/>
            <w:vAlign w:val="center"/>
          </w:tcPr>
          <w:p>
            <w:r/>
            <w:r>
              <w:rPr>
                <w:b w:val="0"/>
                <w:sz w:val="15"/>
              </w:rPr>
              <w:t>Use cases, data dictionary, traceability</w:t>
            </w:r>
          </w:p>
        </w:tc>
        <w:tc>
          <w:tcPr>
            <w:tcW w:type="dxa" w:w="3408"/>
            <w:vAlign w:val="center"/>
          </w:tcPr>
          <w:p>
            <w:r/>
            <w:r>
              <w:rPr>
                <w:b w:val="0"/>
                <w:sz w:val="15"/>
              </w:rPr>
              <w:t>docs/REQUIREMENTS_TRACEABILITY.md</w:t>
            </w:r>
          </w:p>
        </w:tc>
      </w:tr>
      <w:tr>
        <w:tc>
          <w:tcPr>
            <w:tcW w:type="dxa" w:w="3408"/>
            <w:vAlign w:val="center"/>
          </w:tcPr>
          <w:p>
            <w:r/>
            <w:r>
              <w:rPr>
                <w:b w:val="0"/>
                <w:sz w:val="15"/>
              </w:rPr>
              <w:t>D2 Architecture</w:t>
            </w:r>
          </w:p>
        </w:tc>
        <w:tc>
          <w:tcPr>
            <w:tcW w:type="dxa" w:w="3408"/>
            <w:vAlign w:val="center"/>
          </w:tcPr>
          <w:p>
            <w:r/>
            <w:r>
              <w:rPr>
                <w:b w:val="0"/>
                <w:sz w:val="15"/>
              </w:rPr>
              <w:t>Context/component/deployment/data/interface/security design</w:t>
            </w:r>
          </w:p>
        </w:tc>
        <w:tc>
          <w:tcPr>
            <w:tcW w:type="dxa" w:w="3408"/>
            <w:vAlign w:val="center"/>
          </w:tcPr>
          <w:p>
            <w:r/>
            <w:r>
              <w:rPr>
                <w:b w:val="0"/>
                <w:sz w:val="15"/>
              </w:rPr>
              <w:t>docs/ARCHITECTURE.md + this document</w:t>
            </w:r>
          </w:p>
        </w:tc>
      </w:tr>
      <w:tr>
        <w:tc>
          <w:tcPr>
            <w:tcW w:type="dxa" w:w="3408"/>
            <w:vAlign w:val="center"/>
          </w:tcPr>
          <w:p>
            <w:r/>
            <w:r>
              <w:rPr>
                <w:b w:val="0"/>
                <w:sz w:val="15"/>
              </w:rPr>
              <w:t>D3 Working prototype</w:t>
            </w:r>
          </w:p>
        </w:tc>
        <w:tc>
          <w:tcPr>
            <w:tcW w:type="dxa" w:w="3408"/>
            <w:vAlign w:val="center"/>
          </w:tcPr>
          <w:p>
            <w:r/>
            <w:r>
              <w:rPr>
                <w:b w:val="0"/>
                <w:sz w:val="15"/>
              </w:rPr>
              <w:t>Runnable application + mocks</w:t>
            </w:r>
          </w:p>
        </w:tc>
        <w:tc>
          <w:tcPr>
            <w:tcW w:type="dxa" w:w="3408"/>
            <w:vAlign w:val="center"/>
          </w:tcPr>
          <w:p>
            <w:r/>
            <w:r>
              <w:rPr>
                <w:b w:val="0"/>
                <w:sz w:val="15"/>
              </w:rPr>
              <w:t>app/, templates, static, adapters</w:t>
            </w:r>
          </w:p>
        </w:tc>
      </w:tr>
      <w:tr>
        <w:tc>
          <w:tcPr>
            <w:tcW w:type="dxa" w:w="3408"/>
            <w:vAlign w:val="center"/>
          </w:tcPr>
          <w:p>
            <w:r/>
            <w:r>
              <w:rPr>
                <w:b w:val="0"/>
                <w:sz w:val="15"/>
              </w:rPr>
              <w:t>D4 Source repository</w:t>
            </w:r>
          </w:p>
        </w:tc>
        <w:tc>
          <w:tcPr>
            <w:tcW w:type="dxa" w:w="3408"/>
            <w:vAlign w:val="center"/>
          </w:tcPr>
          <w:p>
            <w:r/>
            <w:r>
              <w:rPr>
                <w:b w:val="0"/>
                <w:sz w:val="15"/>
              </w:rPr>
              <w:t>Source, CI, pinned dependencies, configuration</w:t>
            </w:r>
          </w:p>
        </w:tc>
        <w:tc>
          <w:tcPr>
            <w:tcW w:type="dxa" w:w="3408"/>
            <w:vAlign w:val="center"/>
          </w:tcPr>
          <w:p>
            <w:r/>
            <w:r>
              <w:rPr>
                <w:b w:val="0"/>
                <w:sz w:val="15"/>
              </w:rPr>
              <w:t>GitHub workflow, requirements, .env.example</w:t>
            </w:r>
          </w:p>
        </w:tc>
      </w:tr>
      <w:tr>
        <w:tc>
          <w:tcPr>
            <w:tcW w:type="dxa" w:w="3408"/>
            <w:vAlign w:val="center"/>
          </w:tcPr>
          <w:p>
            <w:r/>
            <w:r>
              <w:rPr>
                <w:b w:val="0"/>
                <w:sz w:val="15"/>
              </w:rPr>
              <w:t>D5 Database/migration</w:t>
            </w:r>
          </w:p>
        </w:tc>
        <w:tc>
          <w:tcPr>
            <w:tcW w:type="dxa" w:w="3408"/>
            <w:vAlign w:val="center"/>
          </w:tcPr>
          <w:p>
            <w:r/>
            <w:r>
              <w:rPr>
                <w:b w:val="0"/>
                <w:sz w:val="15"/>
              </w:rPr>
              <w:t>Schema, migration utility, synthetic dataset, rollback</w:t>
            </w:r>
          </w:p>
        </w:tc>
        <w:tc>
          <w:tcPr>
            <w:tcW w:type="dxa" w:w="3408"/>
            <w:vAlign w:val="center"/>
          </w:tcPr>
          <w:p>
            <w:r/>
            <w:r>
              <w:rPr>
                <w:b w:val="0"/>
                <w:sz w:val="15"/>
              </w:rPr>
              <w:t>alembic/, sample/, scripts/migrate.py</w:t>
            </w:r>
          </w:p>
        </w:tc>
      </w:tr>
      <w:tr>
        <w:tc>
          <w:tcPr>
            <w:tcW w:type="dxa" w:w="3408"/>
            <w:vAlign w:val="center"/>
          </w:tcPr>
          <w:p>
            <w:r/>
            <w:r>
              <w:rPr>
                <w:b w:val="0"/>
                <w:sz w:val="15"/>
              </w:rPr>
              <w:t>D6 Test package</w:t>
            </w:r>
          </w:p>
        </w:tc>
        <w:tc>
          <w:tcPr>
            <w:tcW w:type="dxa" w:w="3408"/>
            <w:vAlign w:val="center"/>
          </w:tcPr>
          <w:p>
            <w:r/>
            <w:r>
              <w:rPr>
                <w:b w:val="0"/>
                <w:sz w:val="15"/>
              </w:rPr>
              <w:t>Automated tests, manual scenarios, UAT evidence</w:t>
            </w:r>
          </w:p>
        </w:tc>
        <w:tc>
          <w:tcPr>
            <w:tcW w:type="dxa" w:w="3408"/>
            <w:vAlign w:val="center"/>
          </w:tcPr>
          <w:p>
            <w:r/>
            <w:r>
              <w:rPr>
                <w:b w:val="0"/>
                <w:sz w:val="15"/>
              </w:rPr>
              <w:t>tests/, docs/TEST_PLAN.md, acceptance runbook</w:t>
            </w:r>
          </w:p>
        </w:tc>
      </w:tr>
      <w:tr>
        <w:tc>
          <w:tcPr>
            <w:tcW w:type="dxa" w:w="3408"/>
            <w:vAlign w:val="center"/>
          </w:tcPr>
          <w:p>
            <w:r/>
            <w:r>
              <w:rPr>
                <w:b w:val="0"/>
                <w:sz w:val="15"/>
              </w:rPr>
              <w:t>D7 Deployment</w:t>
            </w:r>
          </w:p>
        </w:tc>
        <w:tc>
          <w:tcPr>
            <w:tcW w:type="dxa" w:w="3408"/>
            <w:vAlign w:val="center"/>
          </w:tcPr>
          <w:p>
            <w:r/>
            <w:r>
              <w:rPr>
                <w:b w:val="0"/>
                <w:sz w:val="15"/>
              </w:rPr>
              <w:t>Offline/container package, backup/update/rollback</w:t>
            </w:r>
          </w:p>
        </w:tc>
        <w:tc>
          <w:tcPr>
            <w:tcW w:type="dxa" w:w="3408"/>
            <w:vAlign w:val="center"/>
          </w:tcPr>
          <w:p>
            <w:r/>
            <w:r>
              <w:rPr>
                <w:b w:val="0"/>
                <w:sz w:val="15"/>
              </w:rPr>
              <w:t>deploy/, START_AISYS.bat, scripts/backup.py, offline_update.py</w:t>
            </w:r>
          </w:p>
        </w:tc>
      </w:tr>
      <w:tr>
        <w:tc>
          <w:tcPr>
            <w:tcW w:type="dxa" w:w="3408"/>
            <w:vAlign w:val="center"/>
          </w:tcPr>
          <w:p>
            <w:r/>
            <w:r>
              <w:rPr>
                <w:b w:val="0"/>
                <w:sz w:val="15"/>
              </w:rPr>
              <w:t>D8 Operations docs</w:t>
            </w:r>
          </w:p>
        </w:tc>
        <w:tc>
          <w:tcPr>
            <w:tcW w:type="dxa" w:w="3408"/>
            <w:vAlign w:val="center"/>
          </w:tcPr>
          <w:p>
            <w:r/>
            <w:r>
              <w:rPr>
                <w:b w:val="0"/>
                <w:sz w:val="15"/>
              </w:rPr>
              <w:t>Admin/user/API/troubleshooting/training</w:t>
            </w:r>
          </w:p>
        </w:tc>
        <w:tc>
          <w:tcPr>
            <w:tcW w:type="dxa" w:w="3408"/>
            <w:vAlign w:val="center"/>
          </w:tcPr>
          <w:p>
            <w:r/>
            <w:r>
              <w:rPr>
                <w:b w:val="0"/>
                <w:sz w:val="15"/>
              </w:rPr>
              <w:t>docs/</w:t>
            </w:r>
          </w:p>
        </w:tc>
      </w:tr>
      <w:tr>
        <w:tc>
          <w:tcPr>
            <w:tcW w:type="dxa" w:w="3408"/>
            <w:vAlign w:val="center"/>
          </w:tcPr>
          <w:p>
            <w:r/>
            <w:r>
              <w:rPr>
                <w:b w:val="0"/>
                <w:sz w:val="15"/>
              </w:rPr>
              <w:t>D9 Demonstration</w:t>
            </w:r>
          </w:p>
        </w:tc>
        <w:tc>
          <w:tcPr>
            <w:tcW w:type="dxa" w:w="3408"/>
            <w:vAlign w:val="center"/>
          </w:tcPr>
          <w:p>
            <w:r/>
            <w:r>
              <w:rPr>
                <w:b w:val="0"/>
                <w:sz w:val="15"/>
              </w:rPr>
              <w:t>Live demo, limitations, production backlog</w:t>
            </w:r>
          </w:p>
        </w:tc>
        <w:tc>
          <w:tcPr>
            <w:tcW w:type="dxa" w:w="3408"/>
            <w:vAlign w:val="center"/>
          </w:tcPr>
          <w:p>
            <w:r/>
            <w:r>
              <w:rPr>
                <w:b w:val="0"/>
                <w:sz w:val="15"/>
              </w:rPr>
              <w:t>docs/ACCEPTANCE_DEMO.md + docs/KNOWN_LIMITATIONS.md</w:t>
            </w:r>
          </w:p>
        </w:tc>
      </w:tr>
    </w:tbl>
    <w:p>
      <w:r>
        <w:br w:type="page"/>
      </w:r>
    </w:p>
    <w:p>
      <w:pPr>
        <w:pStyle w:val="Heading1"/>
        <w:spacing w:before="120" w:after="80"/>
      </w:pPr>
      <w:r>
        <w:t>12. Test &amp; Validation Plan</w:t>
      </w:r>
    </w:p>
    <w:p>
      <w:r>
        <w:t>The baseline project previously passed 5/5 automated tests in the candidate's Windows environment. v2.0.0 extends the application and test suite, so the candidate must rerun pytest after extracting this final package. The package is syntax-validated with Python compileall and JavaScript syntax validation; the build environment used for package creation did not have network access to install the project's pinned dependencies, so no fabricated v2 pytest result is reported here.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CE8EF"/>
          </w:tcPr>
          <w:p>
            <w:r/>
            <w:r>
              <w:rPr>
                <w:b/>
                <w:sz w:val="17"/>
              </w:rPr>
              <w:t>Validation</w:t>
            </w:r>
          </w:p>
        </w:tc>
        <w:tc>
          <w:tcPr>
            <w:tcW w:type="dxa" w:w="3408"/>
            <w:vAlign w:val="center"/>
            <w:shd w:fill="DCE8EF"/>
          </w:tcPr>
          <w:p>
            <w:r/>
            <w:r>
              <w:rPr>
                <w:b/>
                <w:sz w:val="17"/>
              </w:rPr>
              <w:t>Command / action</w:t>
            </w:r>
          </w:p>
        </w:tc>
        <w:tc>
          <w:tcPr>
            <w:tcW w:type="dxa" w:w="3408"/>
            <w:vAlign w:val="center"/>
            <w:shd w:fill="DCE8EF"/>
          </w:tcPr>
          <w:p>
            <w:r/>
            <w:r>
              <w:rPr>
                <w:b/>
                <w:sz w:val="17"/>
              </w:rPr>
              <w:t>Expected evidence</w:t>
            </w:r>
          </w:p>
        </w:tc>
      </w:tr>
      <w:tr>
        <w:tc>
          <w:tcPr>
            <w:tcW w:type="dxa" w:w="3408"/>
            <w:vAlign w:val="center"/>
          </w:tcPr>
          <w:p>
            <w:r/>
            <w:r>
              <w:rPr>
                <w:b w:val="0"/>
                <w:sz w:val="16"/>
              </w:rPr>
              <w:t>Python syntax</w:t>
            </w:r>
          </w:p>
        </w:tc>
        <w:tc>
          <w:tcPr>
            <w:tcW w:type="dxa" w:w="3408"/>
            <w:vAlign w:val="center"/>
          </w:tcPr>
          <w:p>
            <w:r/>
            <w:r>
              <w:rPr>
                <w:b w:val="0"/>
                <w:sz w:val="16"/>
              </w:rPr>
              <w:t>python -m compileall app scripts</w:t>
            </w:r>
          </w:p>
        </w:tc>
        <w:tc>
          <w:tcPr>
            <w:tcW w:type="dxa" w:w="3408"/>
            <w:vAlign w:val="center"/>
          </w:tcPr>
          <w:p>
            <w:r/>
            <w:r>
              <w:rPr>
                <w:b w:val="0"/>
                <w:sz w:val="16"/>
              </w:rPr>
              <w:t>No compile errors</w:t>
            </w:r>
          </w:p>
        </w:tc>
      </w:tr>
      <w:tr>
        <w:tc>
          <w:tcPr>
            <w:tcW w:type="dxa" w:w="3408"/>
            <w:vAlign w:val="center"/>
          </w:tcPr>
          <w:p>
            <w:r/>
            <w:r>
              <w:rPr>
                <w:b w:val="0"/>
                <w:sz w:val="16"/>
              </w:rPr>
              <w:t>JavaScript syntax</w:t>
            </w:r>
          </w:p>
        </w:tc>
        <w:tc>
          <w:tcPr>
            <w:tcW w:type="dxa" w:w="3408"/>
            <w:vAlign w:val="center"/>
          </w:tcPr>
          <w:p>
            <w:r/>
            <w:r>
              <w:rPr>
                <w:b w:val="0"/>
                <w:sz w:val="16"/>
              </w:rPr>
              <w:t>node --check app/static/app.js</w:t>
            </w:r>
          </w:p>
        </w:tc>
        <w:tc>
          <w:tcPr>
            <w:tcW w:type="dxa" w:w="3408"/>
            <w:vAlign w:val="center"/>
          </w:tcPr>
          <w:p>
            <w:r/>
            <w:r>
              <w:rPr>
                <w:b w:val="0"/>
                <w:sz w:val="16"/>
              </w:rPr>
              <w:t>No syntax errors</w:t>
            </w:r>
          </w:p>
        </w:tc>
      </w:tr>
      <w:tr>
        <w:tc>
          <w:tcPr>
            <w:tcW w:type="dxa" w:w="3408"/>
            <w:vAlign w:val="center"/>
          </w:tcPr>
          <w:p>
            <w:r/>
            <w:r>
              <w:rPr>
                <w:b w:val="0"/>
                <w:sz w:val="16"/>
              </w:rPr>
              <w:t>Automated tests</w:t>
            </w:r>
          </w:p>
        </w:tc>
        <w:tc>
          <w:tcPr>
            <w:tcW w:type="dxa" w:w="3408"/>
            <w:vAlign w:val="center"/>
          </w:tcPr>
          <w:p>
            <w:r/>
            <w:r>
              <w:rPr>
                <w:b w:val="0"/>
                <w:sz w:val="16"/>
              </w:rPr>
              <w:t>pytest -q</w:t>
            </w:r>
          </w:p>
        </w:tc>
        <w:tc>
          <w:tcPr>
            <w:tcW w:type="dxa" w:w="3408"/>
            <w:vAlign w:val="center"/>
          </w:tcPr>
          <w:p>
            <w:r/>
            <w:r>
              <w:rPr>
                <w:b w:val="0"/>
                <w:sz w:val="16"/>
              </w:rPr>
              <w:t>All tests pass</w:t>
            </w:r>
          </w:p>
        </w:tc>
      </w:tr>
      <w:tr>
        <w:tc>
          <w:tcPr>
            <w:tcW w:type="dxa" w:w="3408"/>
            <w:vAlign w:val="center"/>
          </w:tcPr>
          <w:p>
            <w:r/>
            <w:r>
              <w:rPr>
                <w:b w:val="0"/>
                <w:sz w:val="16"/>
              </w:rPr>
              <w:t>Application startup</w:t>
            </w:r>
          </w:p>
        </w:tc>
        <w:tc>
          <w:tcPr>
            <w:tcW w:type="dxa" w:w="3408"/>
            <w:vAlign w:val="center"/>
          </w:tcPr>
          <w:p>
            <w:r/>
            <w:r>
              <w:rPr>
                <w:b w:val="0"/>
                <w:sz w:val="16"/>
              </w:rPr>
              <w:t>python -m uvicorn app.main:app --reload</w:t>
            </w:r>
          </w:p>
        </w:tc>
        <w:tc>
          <w:tcPr>
            <w:tcW w:type="dxa" w:w="3408"/>
            <w:vAlign w:val="center"/>
          </w:tcPr>
          <w:p>
            <w:r/>
            <w:r>
              <w:rPr>
                <w:b w:val="0"/>
                <w:sz w:val="16"/>
              </w:rPr>
              <w:t>Startup complete</w:t>
            </w:r>
          </w:p>
        </w:tc>
      </w:tr>
      <w:tr>
        <w:tc>
          <w:tcPr>
            <w:tcW w:type="dxa" w:w="3408"/>
            <w:vAlign w:val="center"/>
          </w:tcPr>
          <w:p>
            <w:r/>
            <w:r>
              <w:rPr>
                <w:b w:val="0"/>
                <w:sz w:val="16"/>
              </w:rPr>
              <w:t>API smoke</w:t>
            </w:r>
          </w:p>
        </w:tc>
        <w:tc>
          <w:tcPr>
            <w:tcW w:type="dxa" w:w="3408"/>
            <w:vAlign w:val="center"/>
          </w:tcPr>
          <w:p>
            <w:r/>
            <w:r>
              <w:rPr>
                <w:b w:val="0"/>
                <w:sz w:val="16"/>
              </w:rPr>
              <w:t>python scripts/acceptance_demo.py</w:t>
            </w:r>
          </w:p>
        </w:tc>
        <w:tc>
          <w:tcPr>
            <w:tcW w:type="dxa" w:w="3408"/>
            <w:vAlign w:val="center"/>
          </w:tcPr>
          <w:p>
            <w:r/>
            <w:r>
              <w:rPr>
                <w:b w:val="0"/>
                <w:sz w:val="16"/>
              </w:rPr>
              <w:t>AC02–AC08 smoke output</w:t>
            </w:r>
          </w:p>
        </w:tc>
      </w:tr>
      <w:tr>
        <w:tc>
          <w:tcPr>
            <w:tcW w:type="dxa" w:w="3408"/>
            <w:vAlign w:val="center"/>
          </w:tcPr>
          <w:p>
            <w:r/>
            <w:r>
              <w:rPr>
                <w:b w:val="0"/>
                <w:sz w:val="16"/>
              </w:rPr>
              <w:t>AC01</w:t>
            </w:r>
          </w:p>
        </w:tc>
        <w:tc>
          <w:tcPr>
            <w:tcW w:type="dxa" w:w="3408"/>
            <w:vAlign w:val="center"/>
          </w:tcPr>
          <w:p>
            <w:r/>
            <w:r>
              <w:rPr>
                <w:b w:val="0"/>
                <w:sz w:val="16"/>
              </w:rPr>
              <w:t>Browser migration workflow</w:t>
            </w:r>
          </w:p>
        </w:tc>
        <w:tc>
          <w:tcPr>
            <w:tcW w:type="dxa" w:w="3408"/>
            <w:vAlign w:val="center"/>
          </w:tcPr>
          <w:p>
            <w:r/>
            <w:r>
              <w:rPr>
                <w:b w:val="0"/>
                <w:sz w:val="16"/>
              </w:rPr>
              <w:t>Counts + row-level errors</w:t>
            </w:r>
          </w:p>
        </w:tc>
      </w:tr>
      <w:tr>
        <w:tc>
          <w:tcPr>
            <w:tcW w:type="dxa" w:w="3408"/>
            <w:vAlign w:val="center"/>
          </w:tcPr>
          <w:p>
            <w:r/>
            <w:r>
              <w:rPr>
                <w:b w:val="0"/>
                <w:sz w:val="16"/>
              </w:rPr>
              <w:t>AC04</w:t>
            </w:r>
          </w:p>
        </w:tc>
        <w:tc>
          <w:tcPr>
            <w:tcW w:type="dxa" w:w="3408"/>
            <w:vAlign w:val="center"/>
          </w:tcPr>
          <w:p>
            <w:r/>
            <w:r>
              <w:rPr>
                <w:b w:val="0"/>
                <w:sz w:val="16"/>
              </w:rPr>
              <w:t>Restrictions workflow</w:t>
            </w:r>
          </w:p>
        </w:tc>
        <w:tc>
          <w:tcPr>
            <w:tcW w:type="dxa" w:w="3408"/>
            <w:vAlign w:val="center"/>
          </w:tcPr>
          <w:p>
            <w:r/>
            <w:r>
              <w:rPr>
                <w:b w:val="0"/>
                <w:sz w:val="16"/>
              </w:rPr>
              <w:t>Three refusal cases</w:t>
            </w:r>
          </w:p>
        </w:tc>
      </w:tr>
      <w:tr>
        <w:tc>
          <w:tcPr>
            <w:tcW w:type="dxa" w:w="3408"/>
            <w:vAlign w:val="center"/>
          </w:tcPr>
          <w:p>
            <w:r/>
            <w:r>
              <w:rPr>
                <w:b w:val="0"/>
                <w:sz w:val="16"/>
              </w:rPr>
              <w:t>AC09</w:t>
            </w:r>
          </w:p>
        </w:tc>
        <w:tc>
          <w:tcPr>
            <w:tcW w:type="dxa" w:w="3408"/>
            <w:vAlign w:val="center"/>
          </w:tcPr>
          <w:p>
            <w:r/>
            <w:r>
              <w:rPr>
                <w:b w:val="0"/>
                <w:sz w:val="16"/>
              </w:rPr>
              <w:t>Offline drill</w:t>
            </w:r>
          </w:p>
        </w:tc>
        <w:tc>
          <w:tcPr>
            <w:tcW w:type="dxa" w:w="3408"/>
            <w:vAlign w:val="center"/>
          </w:tcPr>
          <w:p>
            <w:r/>
            <w:r>
              <w:rPr>
                <w:b w:val="0"/>
                <w:sz w:val="16"/>
              </w:rPr>
              <w:t>Install/update/rollback terminal evidence</w:t>
            </w:r>
          </w:p>
        </w:tc>
      </w:tr>
      <w:tr>
        <w:tc>
          <w:tcPr>
            <w:tcW w:type="dxa" w:w="3408"/>
            <w:vAlign w:val="center"/>
          </w:tcPr>
          <w:p>
            <w:r/>
            <w:r>
              <w:rPr>
                <w:b w:val="0"/>
                <w:sz w:val="16"/>
              </w:rPr>
              <w:t>AC10</w:t>
            </w:r>
          </w:p>
        </w:tc>
        <w:tc>
          <w:tcPr>
            <w:tcW w:type="dxa" w:w="3408"/>
            <w:vAlign w:val="center"/>
          </w:tcPr>
          <w:p>
            <w:r/>
            <w:r>
              <w:rPr>
                <w:b w:val="0"/>
                <w:sz w:val="16"/>
              </w:rPr>
              <w:t>Backup/restore drill</w:t>
            </w:r>
          </w:p>
        </w:tc>
        <w:tc>
          <w:tcPr>
            <w:tcW w:type="dxa" w:w="3408"/>
            <w:vAlign w:val="center"/>
          </w:tcPr>
          <w:p>
            <w:r/>
            <w:r>
              <w:rPr>
                <w:b w:val="0"/>
                <w:sz w:val="16"/>
              </w:rPr>
              <w:t>Before/after data integrity</w:t>
            </w:r>
          </w:p>
        </w:tc>
      </w:tr>
    </w:tbl>
    <w:p>
      <w:r>
        <w:br w:type="page"/>
      </w:r>
    </w:p>
    <w:p>
      <w:pPr>
        <w:pStyle w:val="Heading1"/>
        <w:spacing w:before="120" w:after="80"/>
      </w:pPr>
      <w:r>
        <w:t>13. Live Demonstration Script</w:t>
      </w:r>
    </w:p>
    <w:p>
      <w:r>
        <w:t>1. Sign in as admin and show the real-vs-mocked boundary.</w:t>
      </w:r>
    </w:p>
    <w:p>
      <w:r>
        <w:t>2. Open Dashboard and point out collection, members, availability, loans, RFID, gate, notifications and audit metrics.</w:t>
      </w:r>
    </w:p>
    <w:p>
      <w:r>
        <w:t>3. Cataloguing: search for an item, open detail and show availability/RFID relationship.</w:t>
      </w:r>
    </w:p>
    <w:p>
      <w:r>
        <w:t>4. RFID Tagging: validate an item and associate a tag.</w:t>
      </w:r>
    </w:p>
    <w:p>
      <w:r>
        <w:t>5. Circulation: checkout NCIP2 → renew SIP2 → check-in NCIP2.</w:t>
      </w:r>
    </w:p>
    <w:p>
      <w:r>
        <w:t>6. Members: block a member and demonstrate checkout rejection; demonstrate fine limit.</w:t>
      </w:r>
    </w:p>
    <w:p>
      <w:r>
        <w:t>7. Inventory: expected vs observed shelf scan; show missing and unknown.</w:t>
      </w:r>
    </w:p>
    <w:p>
      <w:r>
        <w:t>8. Security Gate: trigger unauthorized passage; show accession, CCTV reference and queued notification.</w:t>
      </w:r>
    </w:p>
    <w:p>
      <w:r>
        <w:t>9. Smart card: validate mapped card; demonstrate operator role and 403 on admin action.</w:t>
      </w:r>
    </w:p>
    <w:p>
      <w:r>
        <w:t>10. Migration: dry-run a source workbook and show validation/reconciliation.</w:t>
      </w:r>
    </w:p>
    <w:p>
      <w:r>
        <w:t>11. Reports: show circulation and audit evidence.</w:t>
      </w:r>
    </w:p>
    <w:p>
      <w:r>
        <w:t>12. Offline: demonstrate the documented backup/update/rollback procedure.</w:t>
      </w:r>
    </w:p>
    <w:p>
      <w:r>
        <w:t>13. Backup/restore: demonstrate controlled failure and recovery.</w:t>
      </w:r>
    </w:p>
    <w:p>
      <w:r>
        <w:t>14. Close with known limitations and production-completion backlog.</w:t>
      </w:r>
    </w:p>
    <w:p>
      <w:pPr>
        <w:pStyle w:val="Heading2"/>
        <w:spacing w:before="120" w:after="80"/>
      </w:pPr>
      <w:r>
        <w:t>13.1 Suggested narration</w:t>
      </w:r>
    </w:p>
    <w:p>
      <w:r>
        <w:t>The key engineering message is that this is not a UI-only prototype. The UI drives server-side library rules, transactional persistence and auditable events. External hardware and institutional systems are deliberately isolated behind adapter contracts so the same business logic can later be connected to approved vendor implementations.</w:t>
      </w:r>
    </w:p>
    <w:p>
      <w:r>
        <w:br w:type="page"/>
      </w:r>
    </w:p>
    <w:p>
      <w:pPr>
        <w:pStyle w:val="Heading1"/>
        <w:spacing w:before="120" w:after="80"/>
      </w:pPr>
      <w:r>
        <w:t>14. Known Limitations &amp; Production Readiness</w:t>
      </w:r>
    </w:p>
    <w:p>
      <w:pPr>
        <w:pStyle w:val="ListBullet"/>
      </w:pPr>
      <w:r>
        <w:t>Physical RFID devices, antennas and cards are not connected.</w:t>
      </w:r>
    </w:p>
    <w:p>
      <w:pPr>
        <w:pStyle w:val="ListBullet"/>
      </w:pPr>
      <w:r>
        <w:t>CCTV is a reference to a mock capture rather than a real camera image.</w:t>
      </w:r>
    </w:p>
    <w:p>
      <w:pPr>
        <w:pStyle w:val="ListBullet"/>
      </w:pPr>
      <w:r>
        <w:t>Email/SMS/print are queued/provider-neutral mocks rather than real deliveries.</w:t>
      </w:r>
    </w:p>
    <w:p>
      <w:pPr>
        <w:pStyle w:val="ListBullet"/>
      </w:pPr>
      <w:r>
        <w:t>NCIP2/SIP2 are adapter-level mocks; no vendor conformance or certification is claimed.</w:t>
      </w:r>
    </w:p>
    <w:p>
      <w:pPr>
        <w:pStyle w:val="ListBullet"/>
      </w:pPr>
      <w:r>
        <w:t>The local default database is SQLite; production deployment should use PostgreSQL and a controlled backup strategy.</w:t>
      </w:r>
    </w:p>
    <w:p>
      <w:pPr>
        <w:pStyle w:val="ListBullet"/>
      </w:pPr>
      <w:r>
        <w:t>Full MARC21/authority control, holds/reservations, inter-library loan, patron self-service and multi-branch support remain production backlog items.</w:t>
      </w:r>
    </w:p>
    <w:p>
      <w:pPr>
        <w:pStyle w:val="ListBullet"/>
      </w:pPr>
      <w:r>
        <w:t>Rate limiting, MFA, token revocation, CSP, mandatory TLS, penetration testing and formal librarian UAT remain production hardening.</w:t>
      </w:r>
    </w:p>
    <w:p>
      <w:pPr>
        <w:pStyle w:val="ListBullet"/>
      </w:pPr>
      <w:r>
        <w:t>Windows Server 2022 target execution must be verified in the target environment.</w:t>
      </w:r>
    </w:p>
    <w:p>
      <w:pPr>
        <w:pStyle w:val="ListBullet"/>
      </w:pPr>
      <w:r>
        <w:t>AC09 and AC10 final evidence must be captured locally before making a final pass claim.</w:t>
      </w:r>
    </w:p>
    <w:p>
      <w:pPr>
        <w:pStyle w:val="Heading2"/>
        <w:spacing w:before="120" w:after="80"/>
      </w:pPr>
      <w:r>
        <w:t>14.1 Production-completion backlog</w:t>
      </w:r>
    </w:p>
    <w:p>
      <w:pPr>
        <w:pStyle w:val="ListBullet"/>
      </w:pPr>
      <w:r>
        <w:t>Vendor ILMS connector and approved NCIP/SIP2 integration testing</w:t>
      </w:r>
    </w:p>
    <w:p>
      <w:pPr>
        <w:pStyle w:val="ListBullet"/>
      </w:pPr>
      <w:r>
        <w:t>Certified RFID reader/handheld/gate integration</w:t>
      </w:r>
    </w:p>
    <w:p>
      <w:pPr>
        <w:pStyle w:val="ListBullet"/>
      </w:pPr>
      <w:r>
        <w:t>Real smart-card provider and card security</w:t>
      </w:r>
    </w:p>
    <w:p>
      <w:pPr>
        <w:pStyle w:val="ListBullet"/>
      </w:pPr>
      <w:r>
        <w:t>Real CCTV/email/SMS/print adapters</w:t>
      </w:r>
    </w:p>
    <w:p>
      <w:pPr>
        <w:pStyle w:val="ListBullet"/>
      </w:pPr>
      <w:r>
        <w:t>Signed offline update packages and release approval</w:t>
      </w:r>
    </w:p>
    <w:p>
      <w:pPr>
        <w:pStyle w:val="ListBullet"/>
      </w:pPr>
      <w:r>
        <w:t>PostgreSQL production migration and disaster recovery</w:t>
      </w:r>
    </w:p>
    <w:p>
      <w:pPr>
        <w:pStyle w:val="ListBullet"/>
      </w:pPr>
      <w:r>
        <w:t>Performance/load/soak testing at library scale</w:t>
      </w:r>
    </w:p>
    <w:p>
      <w:pPr>
        <w:pStyle w:val="ListBullet"/>
      </w:pPr>
      <w:r>
        <w:t>Security assessment / penetration test</w:t>
      </w:r>
    </w:p>
    <w:p>
      <w:pPr>
        <w:pStyle w:val="ListBullet"/>
      </w:pPr>
      <w:r>
        <w:t>Librarian UAT sign-off and staff training</w:t>
      </w:r>
    </w:p>
    <w:p>
      <w:pPr>
        <w:pStyle w:val="ListBullet"/>
      </w:pPr>
      <w:r>
        <w:t>Real legacy spreadsheet migration and reconciliation</w:t>
      </w:r>
    </w:p>
    <w:p>
      <w:r>
        <w:br w:type="page"/>
      </w:r>
    </w:p>
    <w:p>
      <w:pPr>
        <w:pStyle w:val="Heading1"/>
        <w:spacing w:before="120" w:after="80"/>
      </w:pPr>
      <w:r>
        <w:t>15. Candidate Submission Checklist</w:t>
      </w:r>
    </w:p>
    <w:p>
      <w:r>
        <w:t>☐ Runnable v2.0.0 source ZIP</w:t>
      </w:r>
    </w:p>
    <w:p>
      <w:r>
        <w:t>☐ Technical submission document</w:t>
      </w:r>
    </w:p>
    <w:p>
      <w:r>
        <w:t>☐ Presentation</w:t>
      </w:r>
    </w:p>
    <w:p>
      <w:r>
        <w:t>☐ Requirements traceability matrix</w:t>
      </w:r>
    </w:p>
    <w:p>
      <w:r>
        <w:t>☐ Architecture and deployment documents</w:t>
      </w:r>
    </w:p>
    <w:p>
      <w:r>
        <w:t>☐ Automated test output from candidate Windows environment</w:t>
      </w:r>
    </w:p>
    <w:p>
      <w:r>
        <w:t>☐ AC01–AC10 screenshots / terminal evidence</w:t>
      </w:r>
    </w:p>
    <w:p>
      <w:r>
        <w:t>☐ Sample 20,000-row spreadsheet</w:t>
      </w:r>
    </w:p>
    <w:p>
      <w:r>
        <w:t>☐ Backup/restore evidence</w:t>
      </w:r>
    </w:p>
    <w:p>
      <w:r>
        <w:t>☐ Offline update/rollback evidence</w:t>
      </w:r>
    </w:p>
    <w:p>
      <w:r>
        <w:t>☐ Known limitations and production backlog</w:t>
      </w:r>
    </w:p>
    <w:p>
      <w:r>
        <w:t>☐ Repository / supporting links requested by AISYS</w:t>
      </w:r>
    </w:p>
    <w:p>
      <w:pPr>
        <w:pStyle w:val="Heading1"/>
        <w:spacing w:before="120" w:after="80"/>
      </w:pPr>
      <w:r>
        <w:t>Appendix A — Demo credentials and mock identities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CE8EF"/>
          </w:tcPr>
          <w:p>
            <w:r/>
            <w:r>
              <w:rPr>
                <w:b/>
                <w:sz w:val="17"/>
              </w:rPr>
              <w:t>Identity</w:t>
            </w:r>
          </w:p>
        </w:tc>
        <w:tc>
          <w:tcPr>
            <w:tcW w:type="dxa" w:w="3408"/>
            <w:vAlign w:val="center"/>
            <w:shd w:fill="DCE8EF"/>
          </w:tcPr>
          <w:p>
            <w:r/>
            <w:r>
              <w:rPr>
                <w:b/>
                <w:sz w:val="17"/>
              </w:rPr>
              <w:t>Credential / UID</w:t>
            </w:r>
          </w:p>
        </w:tc>
        <w:tc>
          <w:tcPr>
            <w:tcW w:type="dxa" w:w="3408"/>
            <w:vAlign w:val="center"/>
            <w:shd w:fill="DCE8EF"/>
          </w:tcPr>
          <w:p>
            <w:r/>
            <w:r>
              <w:rPr>
                <w:b/>
                <w:sz w:val="17"/>
              </w:rPr>
              <w:t>Purpose</w:t>
            </w:r>
          </w:p>
        </w:tc>
      </w:tr>
      <w:tr>
        <w:tc>
          <w:tcPr>
            <w:tcW w:type="dxa" w:w="3408"/>
            <w:vAlign w:val="center"/>
          </w:tcPr>
          <w:p>
            <w:r/>
            <w:r>
              <w:rPr>
                <w:b w:val="0"/>
                <w:sz w:val="17"/>
              </w:rPr>
              <w:t>admin</w:t>
            </w:r>
          </w:p>
        </w:tc>
        <w:tc>
          <w:tcPr>
            <w:tcW w:type="dxa" w:w="3408"/>
            <w:vAlign w:val="center"/>
          </w:tcPr>
          <w:p>
            <w:r/>
            <w:r>
              <w:rPr>
                <w:b w:val="0"/>
                <w:sz w:val="17"/>
              </w:rPr>
              <w:t>Admin@12345 / CARD-ADMIN-01</w:t>
            </w:r>
          </w:p>
        </w:tc>
        <w:tc>
          <w:tcPr>
            <w:tcW w:type="dxa" w:w="3408"/>
            <w:vAlign w:val="center"/>
          </w:tcPr>
          <w:p>
            <w:r/>
            <w:r>
              <w:rPr>
                <w:b w:val="0"/>
                <w:sz w:val="17"/>
              </w:rPr>
              <w:t>Full administration</w:t>
            </w:r>
          </w:p>
        </w:tc>
      </w:tr>
      <w:tr>
        <w:tc>
          <w:tcPr>
            <w:tcW w:type="dxa" w:w="3408"/>
            <w:vAlign w:val="center"/>
          </w:tcPr>
          <w:p>
            <w:r/>
            <w:r>
              <w:rPr>
                <w:b w:val="0"/>
                <w:sz w:val="17"/>
              </w:rPr>
              <w:t>librarian</w:t>
            </w:r>
          </w:p>
        </w:tc>
        <w:tc>
          <w:tcPr>
            <w:tcW w:type="dxa" w:w="3408"/>
            <w:vAlign w:val="center"/>
          </w:tcPr>
          <w:p>
            <w:r/>
            <w:r>
              <w:rPr>
                <w:b w:val="0"/>
                <w:sz w:val="17"/>
              </w:rPr>
              <w:t>Librarian@12345 / CARD-LIB-01</w:t>
            </w:r>
          </w:p>
        </w:tc>
        <w:tc>
          <w:tcPr>
            <w:tcW w:type="dxa" w:w="3408"/>
            <w:vAlign w:val="center"/>
          </w:tcPr>
          <w:p>
            <w:r/>
            <w:r>
              <w:rPr>
                <w:b w:val="0"/>
                <w:sz w:val="17"/>
              </w:rPr>
              <w:t>Library operations</w:t>
            </w:r>
          </w:p>
        </w:tc>
      </w:tr>
      <w:tr>
        <w:tc>
          <w:tcPr>
            <w:tcW w:type="dxa" w:w="3408"/>
            <w:vAlign w:val="center"/>
          </w:tcPr>
          <w:p>
            <w:r/>
            <w:r>
              <w:rPr>
                <w:b w:val="0"/>
                <w:sz w:val="17"/>
              </w:rPr>
              <w:t>operator</w:t>
            </w:r>
          </w:p>
        </w:tc>
        <w:tc>
          <w:tcPr>
            <w:tcW w:type="dxa" w:w="3408"/>
            <w:vAlign w:val="center"/>
          </w:tcPr>
          <w:p>
            <w:r/>
            <w:r>
              <w:rPr>
                <w:b w:val="0"/>
                <w:sz w:val="17"/>
              </w:rPr>
              <w:t>Operator@12345 / CARD-OP-01</w:t>
            </w:r>
          </w:p>
        </w:tc>
        <w:tc>
          <w:tcPr>
            <w:tcW w:type="dxa" w:w="3408"/>
            <w:vAlign w:val="center"/>
          </w:tcPr>
          <w:p>
            <w:r/>
            <w:r>
              <w:rPr>
                <w:b w:val="0"/>
                <w:sz w:val="17"/>
              </w:rPr>
              <w:t>Operational least privilege</w:t>
            </w:r>
          </w:p>
        </w:tc>
      </w:tr>
      <w:tr>
        <w:tc>
          <w:tcPr>
            <w:tcW w:type="dxa" w:w="3408"/>
            <w:vAlign w:val="center"/>
          </w:tcPr>
          <w:p>
            <w:r/>
            <w:r>
              <w:rPr>
                <w:b w:val="0"/>
                <w:sz w:val="17"/>
              </w:rPr>
              <w:t>RFID reader</w:t>
            </w:r>
          </w:p>
        </w:tc>
        <w:tc>
          <w:tcPr>
            <w:tcW w:type="dxa" w:w="3408"/>
            <w:vAlign w:val="center"/>
          </w:tcPr>
          <w:p>
            <w:r/>
            <w:r>
              <w:rPr>
                <w:b w:val="0"/>
                <w:sz w:val="17"/>
              </w:rPr>
              <w:t>STAFF-01 / HH-01</w:t>
            </w:r>
          </w:p>
        </w:tc>
        <w:tc>
          <w:tcPr>
            <w:tcW w:type="dxa" w:w="3408"/>
            <w:vAlign w:val="center"/>
          </w:tcPr>
          <w:p>
            <w:r/>
            <w:r>
              <w:rPr>
                <w:b w:val="0"/>
                <w:sz w:val="17"/>
              </w:rPr>
              <w:t>Mock staff/handheld boundary</w:t>
            </w:r>
          </w:p>
        </w:tc>
      </w:tr>
      <w:tr>
        <w:tc>
          <w:tcPr>
            <w:tcW w:type="dxa" w:w="3408"/>
            <w:vAlign w:val="center"/>
          </w:tcPr>
          <w:p>
            <w:r/>
            <w:r>
              <w:rPr>
                <w:b w:val="0"/>
                <w:sz w:val="17"/>
              </w:rPr>
              <w:t>Gate</w:t>
            </w:r>
          </w:p>
        </w:tc>
        <w:tc>
          <w:tcPr>
            <w:tcW w:type="dxa" w:w="3408"/>
            <w:vAlign w:val="center"/>
          </w:tcPr>
          <w:p>
            <w:r/>
            <w:r>
              <w:rPr>
                <w:b w:val="0"/>
                <w:sz w:val="17"/>
              </w:rPr>
              <w:t>GATE-01</w:t>
            </w:r>
          </w:p>
        </w:tc>
        <w:tc>
          <w:tcPr>
            <w:tcW w:type="dxa" w:w="3408"/>
            <w:vAlign w:val="center"/>
          </w:tcPr>
          <w:p>
            <w:r/>
            <w:r>
              <w:rPr>
                <w:b w:val="0"/>
                <w:sz w:val="17"/>
              </w:rPr>
              <w:t>Mock security gate</w:t>
            </w:r>
          </w:p>
        </w:tc>
      </w:tr>
      <w:tr>
        <w:tc>
          <w:tcPr>
            <w:tcW w:type="dxa" w:w="3408"/>
            <w:vAlign w:val="center"/>
          </w:tcPr>
          <w:p>
            <w:r/>
            <w:r>
              <w:rPr>
                <w:b w:val="0"/>
                <w:sz w:val="17"/>
              </w:rPr>
              <w:t>Camera</w:t>
            </w:r>
          </w:p>
        </w:tc>
        <w:tc>
          <w:tcPr>
            <w:tcW w:type="dxa" w:w="3408"/>
            <w:vAlign w:val="center"/>
          </w:tcPr>
          <w:p>
            <w:r/>
            <w:r>
              <w:rPr>
                <w:b w:val="0"/>
                <w:sz w:val="17"/>
              </w:rPr>
              <w:t>CAM-01</w:t>
            </w:r>
          </w:p>
        </w:tc>
        <w:tc>
          <w:tcPr>
            <w:tcW w:type="dxa" w:w="3408"/>
            <w:vAlign w:val="center"/>
          </w:tcPr>
          <w:p>
            <w:r/>
            <w:r>
              <w:rPr>
                <w:b w:val="0"/>
                <w:sz w:val="17"/>
              </w:rPr>
              <w:t>Mock CCTV boundary</w:t>
            </w:r>
          </w:p>
        </w:tc>
      </w:tr>
    </w:tbl>
    <w:p>
      <w:pPr>
        <w:pStyle w:val="Heading1"/>
        <w:spacing w:before="120" w:after="80"/>
      </w:pPr>
      <w:r>
        <w:t>Appendix B — Final statement</w:t>
      </w:r>
    </w:p>
    <w:p>
      <w:r>
        <w:t>The v2.0.0 package is intended to be evaluated as a serious ILMS prototype: operational workflows are represented as records, services, events and controls rather than decorative screens. The remaining gap between candidate prototype and production deployment is explicitly documented so that the evaluator can distinguish what is implemented, what is mocked, and what requires a real institutional integration.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