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B938" w14:textId="77777777" w:rsidR="00A44317" w:rsidRDefault="00000000">
      <w:pPr>
        <w:spacing w:after="40" w:line="264" w:lineRule="auto"/>
        <w:jc w:val="center"/>
      </w:pPr>
      <w:r>
        <w:rPr>
          <w:b/>
          <w:bCs/>
          <w:color w:val="B87A1E"/>
          <w:sz w:val="22"/>
          <w:szCs w:val="22"/>
        </w:rPr>
        <w:t>LECTURE SERIES · ISEA</w:t>
      </w:r>
    </w:p>
    <w:p w14:paraId="5BA05B6E" w14:textId="77777777" w:rsidR="00A44317" w:rsidRDefault="00000000">
      <w:pPr>
        <w:spacing w:after="60" w:line="264" w:lineRule="auto"/>
        <w:jc w:val="center"/>
      </w:pPr>
      <w:r>
        <w:rPr>
          <w:i/>
          <w:iCs/>
          <w:color w:val="16324C"/>
          <w:sz w:val="22"/>
          <w:szCs w:val="22"/>
        </w:rPr>
        <w:t>Intelligent Digital Forensics: LLMs, NLP, and Explainable AI for Cyber Investigations</w:t>
      </w:r>
    </w:p>
    <w:p w14:paraId="31E06CBE" w14:textId="77777777" w:rsidR="00A44317" w:rsidRDefault="00000000">
      <w:pPr>
        <w:spacing w:after="60" w:line="264" w:lineRule="auto"/>
        <w:jc w:val="center"/>
      </w:pPr>
      <w:r>
        <w:rPr>
          <w:b/>
          <w:bCs/>
          <w:color w:val="1A1A1A"/>
          <w:sz w:val="34"/>
          <w:szCs w:val="34"/>
        </w:rPr>
        <w:t>Session 6 Lab Manual</w:t>
      </w:r>
    </w:p>
    <w:p w14:paraId="09B89071" w14:textId="77777777" w:rsidR="00A44317" w:rsidRDefault="00000000">
      <w:pPr>
        <w:spacing w:after="140" w:line="264" w:lineRule="auto"/>
        <w:jc w:val="both"/>
      </w:pPr>
      <w:r>
        <w:rPr>
          <w:color w:val="1A1A1A"/>
          <w:sz w:val="26"/>
          <w:szCs w:val="26"/>
        </w:rPr>
        <w:t>Trustworthy AI, ethics, and responsible cybersecurity: from breaking a hiring model to writing the gates that would have caught it</w:t>
      </w:r>
    </w:p>
    <w:p w14:paraId="0889E33F" w14:textId="77777777" w:rsidR="00A44317" w:rsidRDefault="00000000">
      <w:pPr>
        <w:spacing w:after="120" w:line="264" w:lineRule="auto"/>
        <w:jc w:val="both"/>
      </w:pPr>
      <w:r>
        <w:rPr>
          <w:color w:val="1A1A1A"/>
        </w:rPr>
        <w:t xml:space="preserve">Two hands-on activities, seven parts. No coding, nothing to install, no account created — everything runs in an ordinary browser. </w:t>
      </w:r>
      <w:r>
        <w:rPr>
          <w:b/>
          <w:bCs/>
          <w:color w:val="1A1A1A"/>
        </w:rPr>
        <w:t xml:space="preserve">Every activity in this session is individual work: </w:t>
      </w:r>
      <w:r>
        <w:rPr>
          <w:color w:val="1A1A1A"/>
        </w:rPr>
        <w:t>your own browser, your own judgement, your own row on the shared scoreboard. In Activity 1 nothing you type leaves your device; in Activity 2 your row is visible to the room — that is the point of it.</w:t>
      </w:r>
    </w:p>
    <w:p w14:paraId="17CE422D" w14:textId="190D298E" w:rsidR="00A44317" w:rsidRDefault="00000000">
      <w:pPr>
        <w:spacing w:after="60" w:line="264" w:lineRule="auto"/>
        <w:jc w:val="both"/>
      </w:pPr>
      <w:r>
        <w:rPr>
          <w:b/>
          <w:bCs/>
          <w:color w:val="1A1A1A"/>
        </w:rPr>
        <w:t xml:space="preserve">The tools </w:t>
      </w:r>
      <w:r>
        <w:rPr>
          <w:color w:val="1A1A1A"/>
        </w:rPr>
        <w:t>(all free, all in the browser, all links opened and checked live):</w:t>
      </w:r>
    </w:p>
    <w:p w14:paraId="5ECD86DF" w14:textId="77777777" w:rsidR="00A44317" w:rsidRDefault="00000000">
      <w:pPr>
        <w:pStyle w:val="ListParagraph"/>
        <w:numPr>
          <w:ilvl w:val="0"/>
          <w:numId w:val="2"/>
        </w:numPr>
        <w:spacing w:after="60" w:line="264" w:lineRule="auto"/>
        <w:jc w:val="both"/>
      </w:pPr>
      <w:r>
        <w:rPr>
          <w:b/>
          <w:bCs/>
          <w:color w:val="1A1A1A"/>
        </w:rPr>
        <w:t xml:space="preserve">Survival of the Best Fit — </w:t>
      </w:r>
      <w:hyperlink r:id="rId7" w:history="1">
        <w:r>
          <w:rPr>
            <w:color w:val="51708D"/>
            <w:u w:val="single"/>
          </w:rPr>
          <w:t>https://www.survivalofthebestfit.com</w:t>
        </w:r>
      </w:hyperlink>
      <w:r>
        <w:rPr>
          <w:color w:val="1A1A1A"/>
        </w:rPr>
        <w:t xml:space="preserve">  (Activity 1, Part A)</w:t>
      </w:r>
    </w:p>
    <w:p w14:paraId="0DBC00A4" w14:textId="77777777" w:rsidR="00A44317" w:rsidRDefault="00000000">
      <w:pPr>
        <w:pStyle w:val="ListParagraph"/>
        <w:numPr>
          <w:ilvl w:val="0"/>
          <w:numId w:val="2"/>
        </w:numPr>
        <w:spacing w:after="60" w:line="264" w:lineRule="auto"/>
        <w:jc w:val="both"/>
      </w:pPr>
      <w:r>
        <w:rPr>
          <w:b/>
          <w:bCs/>
          <w:color w:val="1A1A1A"/>
        </w:rPr>
        <w:t xml:space="preserve">Measuring Fairness, Google PAIR — </w:t>
      </w:r>
      <w:hyperlink r:id="rId8" w:history="1">
        <w:r>
          <w:rPr>
            <w:color w:val="51708D"/>
            <w:u w:val="single"/>
          </w:rPr>
          <w:t>https://pair.withgoogle.com/explorables/measuring-fairness/</w:t>
        </w:r>
      </w:hyperlink>
      <w:r>
        <w:rPr>
          <w:color w:val="1A1A1A"/>
        </w:rPr>
        <w:t xml:space="preserve">  (Activity 1, Part B)</w:t>
      </w:r>
    </w:p>
    <w:p w14:paraId="00714F13" w14:textId="77777777" w:rsidR="00A44317" w:rsidRDefault="00000000">
      <w:pPr>
        <w:pStyle w:val="ListParagraph"/>
        <w:numPr>
          <w:ilvl w:val="0"/>
          <w:numId w:val="2"/>
        </w:numPr>
        <w:spacing w:after="60" w:line="264" w:lineRule="auto"/>
        <w:jc w:val="both"/>
      </w:pPr>
      <w:r>
        <w:rPr>
          <w:b/>
          <w:bCs/>
          <w:color w:val="1A1A1A"/>
        </w:rPr>
        <w:t xml:space="preserve">AI Incident Database — </w:t>
      </w:r>
      <w:hyperlink r:id="rId9" w:history="1">
        <w:r>
          <w:rPr>
            <w:color w:val="51708D"/>
            <w:u w:val="single"/>
          </w:rPr>
          <w:t>https://incidentdatabase.ai</w:t>
        </w:r>
      </w:hyperlink>
      <w:r>
        <w:rPr>
          <w:color w:val="1A1A1A"/>
        </w:rPr>
        <w:t xml:space="preserve">  (Activity 2, Round 1)</w:t>
      </w:r>
    </w:p>
    <w:p w14:paraId="15F347EC" w14:textId="77777777" w:rsidR="00A44317" w:rsidRDefault="00000000">
      <w:pPr>
        <w:pStyle w:val="ListParagraph"/>
        <w:numPr>
          <w:ilvl w:val="0"/>
          <w:numId w:val="2"/>
        </w:numPr>
        <w:spacing w:after="120" w:line="264" w:lineRule="auto"/>
        <w:jc w:val="both"/>
      </w:pPr>
      <w:r>
        <w:rPr>
          <w:b/>
          <w:bCs/>
          <w:color w:val="1A1A1A"/>
        </w:rPr>
        <w:t xml:space="preserve">One model card per scenario — </w:t>
      </w:r>
      <w:r>
        <w:rPr>
          <w:color w:val="1A1A1A"/>
        </w:rPr>
        <w:t>links on your scenario card in Part II (Activity 2, Round 3)</w:t>
      </w:r>
    </w:p>
    <w:p w14:paraId="311AEF2B" w14:textId="77777777" w:rsidR="00A44317" w:rsidRDefault="00000000">
      <w:pPr>
        <w:pStyle w:val="Heading1"/>
        <w:spacing w:before="260" w:after="120"/>
      </w:pPr>
      <w:r>
        <w:rPr>
          <w:b/>
          <w:bCs/>
          <w:color w:val="16324C"/>
          <w:sz w:val="30"/>
          <w:szCs w:val="30"/>
        </w:rPr>
        <w:t>How to use this manual</w:t>
      </w:r>
    </w:p>
    <w:p w14:paraId="71562012" w14:textId="77777777" w:rsidR="00A44317" w:rsidRDefault="00000000">
      <w:pPr>
        <w:spacing w:after="120" w:line="264" w:lineRule="auto"/>
        <w:jc w:val="both"/>
      </w:pPr>
      <w:r>
        <w:rPr>
          <w:color w:val="1A1A1A"/>
        </w:rPr>
        <w:t>Each part is a self-contained exercise. In the live session we run them to the clock — the deck says when; everything is repeated here, click by click, for self-paced work afterwards. The manual assumes nothing beyond a browser: a laptop with Chrome is the comfortable option, and every tool except the Part A game is equally usable on a phone.</w:t>
      </w:r>
    </w:p>
    <w:p w14:paraId="101933C3" w14:textId="77777777" w:rsidR="00A44317" w:rsidRDefault="00000000">
      <w:pPr>
        <w:spacing w:after="40" w:line="264" w:lineRule="auto"/>
        <w:jc w:val="both"/>
      </w:pPr>
      <w:r>
        <w:rPr>
          <w:b/>
          <w:bCs/>
          <w:color w:val="1A1A1A"/>
        </w:rPr>
        <w:t>Three conventions:</w:t>
      </w:r>
    </w:p>
    <w:p w14:paraId="31E37A36" w14:textId="77777777" w:rsidR="00A44317" w:rsidRDefault="00000000">
      <w:pPr>
        <w:pStyle w:val="ListParagraph"/>
        <w:numPr>
          <w:ilvl w:val="0"/>
          <w:numId w:val="2"/>
        </w:numPr>
        <w:spacing w:after="60" w:line="264" w:lineRule="auto"/>
        <w:jc w:val="both"/>
      </w:pPr>
      <w:r>
        <w:rPr>
          <w:b/>
          <w:bCs/>
          <w:color w:val="1A1A1A"/>
        </w:rPr>
        <w:t xml:space="preserve">Numbered steps </w:t>
      </w:r>
      <w:r>
        <w:rPr>
          <w:color w:val="1A1A1A"/>
        </w:rPr>
        <w:t>are actions you take in the browser, in order.</w:t>
      </w:r>
    </w:p>
    <w:p w14:paraId="7ED43032" w14:textId="77777777" w:rsidR="00A44317" w:rsidRDefault="00000000">
      <w:pPr>
        <w:pStyle w:val="ListParagraph"/>
        <w:numPr>
          <w:ilvl w:val="0"/>
          <w:numId w:val="2"/>
        </w:numPr>
        <w:spacing w:after="60" w:line="264" w:lineRule="auto"/>
        <w:jc w:val="both"/>
      </w:pPr>
      <w:r>
        <w:rPr>
          <w:b/>
          <w:bCs/>
          <w:color w:val="1A1A1A"/>
        </w:rPr>
        <w:t xml:space="preserve">What you should see </w:t>
      </w:r>
      <w:r>
        <w:rPr>
          <w:color w:val="1A1A1A"/>
        </w:rPr>
        <w:t xml:space="preserve">describes the state you reach. The interactives respond to </w:t>
      </w:r>
      <w:r>
        <w:rPr>
          <w:i/>
          <w:iCs/>
          <w:color w:val="1A1A1A"/>
        </w:rPr>
        <w:t>your</w:t>
      </w:r>
      <w:r>
        <w:rPr>
          <w:color w:val="1A1A1A"/>
        </w:rPr>
        <w:t xml:space="preserve"> choices, so your numbers will differ from your neighbour’s — the pattern should not.</w:t>
      </w:r>
    </w:p>
    <w:p w14:paraId="2D49F26A" w14:textId="77777777" w:rsidR="00A44317" w:rsidRDefault="00000000">
      <w:pPr>
        <w:pStyle w:val="ListParagraph"/>
        <w:numPr>
          <w:ilvl w:val="0"/>
          <w:numId w:val="2"/>
        </w:numPr>
        <w:spacing w:after="60" w:line="264" w:lineRule="auto"/>
        <w:jc w:val="both"/>
      </w:pPr>
      <w:r>
        <w:rPr>
          <w:b/>
          <w:bCs/>
          <w:color w:val="1A1A1A"/>
        </w:rPr>
        <w:t xml:space="preserve">Boxes: </w:t>
      </w:r>
      <w:r>
        <w:rPr>
          <w:color w:val="1A1A1A"/>
        </w:rPr>
        <w:t>navy = why the step matters · green = checkpoint before continuing · amber = optional stretch.</w:t>
      </w:r>
    </w:p>
    <w:p w14:paraId="08E596EA" w14:textId="77777777" w:rsidR="00A44317" w:rsidRDefault="00000000">
      <w:pPr>
        <w:spacing w:after="120" w:line="264" w:lineRule="auto"/>
        <w:jc w:val="both"/>
      </w:pPr>
      <w:r>
        <w:rPr>
          <w:b/>
          <w:bCs/>
          <w:color w:val="1A1A1A"/>
        </w:rPr>
        <w:t xml:space="preserve">The one rule of the scoreboard: </w:t>
      </w:r>
      <w:r>
        <w:rPr>
          <w:color w:val="1A1A1A"/>
        </w:rPr>
        <w:t>every part ends in words typed into your own row — the work is solo, and it is written down. The debrief and the harvest run from the sheet, not from memory; in this series, work that is not written down did not happen.</w:t>
      </w:r>
    </w:p>
    <w:p w14:paraId="6ADB50A5" w14:textId="77777777" w:rsidR="00A44317" w:rsidRDefault="00000000">
      <w:pPr>
        <w:pStyle w:val="Heading1"/>
        <w:spacing w:before="260" w:after="120"/>
      </w:pPr>
      <w:r>
        <w:rPr>
          <w:b/>
          <w:bCs/>
          <w:color w:val="16324C"/>
          <w:sz w:val="30"/>
          <w:szCs w:val="30"/>
        </w:rPr>
        <w:t>Before the labs · The vote</w:t>
      </w:r>
    </w:p>
    <w:p w14:paraId="7AB1A846" w14:textId="710A2FD7" w:rsidR="00A44317" w:rsidRDefault="00000000">
      <w:pPr>
        <w:spacing w:after="120" w:line="264" w:lineRule="auto"/>
        <w:jc w:val="both"/>
      </w:pPr>
      <w:r>
        <w:rPr>
          <w:color w:val="1A1A1A"/>
        </w:rPr>
        <w:t xml:space="preserve">The session opens on an offer: a vendor quotes </w:t>
      </w:r>
      <w:r>
        <w:rPr>
          <w:b/>
          <w:bCs/>
          <w:color w:val="1A1A1A"/>
        </w:rPr>
        <w:t>99.2% accuracy</w:t>
      </w:r>
      <w:r>
        <w:rPr>
          <w:color w:val="1A1A1A"/>
        </w:rPr>
        <w:t xml:space="preserve"> for a face-recognition system your unit could buy this year, benchmark unnamed, backlog real. You vote in writing</w:t>
      </w:r>
      <w:r w:rsidR="00DB59AA">
        <w:rPr>
          <w:color w:val="1A1A1A"/>
        </w:rPr>
        <w:t>:</w:t>
      </w:r>
      <w:r>
        <w:rPr>
          <w:color w:val="1A1A1A"/>
        </w:rPr>
        <w:t xml:space="preserve"> </w:t>
      </w:r>
      <w:r>
        <w:rPr>
          <w:b/>
          <w:bCs/>
          <w:color w:val="1A1A1A"/>
        </w:rPr>
        <w:t>SIGN / REFUSE / CONDITIONS</w:t>
      </w:r>
      <w:r w:rsidR="00A05D46">
        <w:rPr>
          <w:color w:val="1A1A1A"/>
        </w:rPr>
        <w:t xml:space="preserve">, </w:t>
      </w:r>
      <w:r>
        <w:rPr>
          <w:color w:val="1A1A1A"/>
        </w:rPr>
        <w:t>and if conditions, you write your single non-negotiable condition into your row before anyone speaks. That condition is re-tested at the end of Activity 1, once you have set a threshold with your own hands.</w:t>
      </w:r>
    </w:p>
    <w:tbl>
      <w:tblPr>
        <w:tblW w:w="9026" w:type="dxa"/>
        <w:tblBorders>
          <w:left w:val="single" w:sz="18" w:space="0" w:color="16324C"/>
        </w:tblBorders>
        <w:tblCellMar>
          <w:left w:w="10" w:type="dxa"/>
          <w:right w:w="10" w:type="dxa"/>
        </w:tblCellMar>
        <w:tblLook w:val="0000" w:firstRow="0" w:lastRow="0" w:firstColumn="0" w:lastColumn="0" w:noHBand="0" w:noVBand="0"/>
      </w:tblPr>
      <w:tblGrid>
        <w:gridCol w:w="9026"/>
      </w:tblGrid>
      <w:tr w:rsidR="00A44317" w14:paraId="43F47E4A" w14:textId="77777777">
        <w:tblPrEx>
          <w:tblCellMar>
            <w:top w:w="0" w:type="dxa"/>
            <w:bottom w:w="0" w:type="dxa"/>
          </w:tblCellMar>
        </w:tblPrEx>
        <w:tc>
          <w:tcPr>
            <w:tcW w:w="9026" w:type="dxa"/>
            <w:shd w:val="clear" w:color="auto" w:fill="EFF3F7"/>
            <w:tcMar>
              <w:top w:w="90" w:type="dxa"/>
              <w:left w:w="160" w:type="dxa"/>
              <w:bottom w:w="90" w:type="dxa"/>
              <w:right w:w="160" w:type="dxa"/>
            </w:tcMar>
          </w:tcPr>
          <w:p w14:paraId="0C9179A6" w14:textId="77777777" w:rsidR="00A44317" w:rsidRDefault="00000000">
            <w:pPr>
              <w:spacing w:line="264" w:lineRule="auto"/>
              <w:jc w:val="both"/>
            </w:pPr>
            <w:r>
              <w:rPr>
                <w:b/>
                <w:bCs/>
                <w:color w:val="16324C"/>
              </w:rPr>
              <w:t xml:space="preserve">Working self-paced? </w:t>
            </w:r>
            <w:r>
              <w:rPr>
                <w:color w:val="1A1A1A"/>
              </w:rPr>
              <w:t>Vote now, honestly, before reading further — and write the condition down. The manual only works unspoiled once: the whole of Part I is built to test whatever you just wrote.</w:t>
            </w:r>
          </w:p>
        </w:tc>
      </w:tr>
    </w:tbl>
    <w:p w14:paraId="159DC470" w14:textId="77777777" w:rsidR="00A44317" w:rsidRDefault="00A44317">
      <w:pPr>
        <w:spacing w:after="120"/>
      </w:pPr>
    </w:p>
    <w:p w14:paraId="6085B136" w14:textId="77777777" w:rsidR="00A44317" w:rsidRDefault="00000000">
      <w:r>
        <w:br w:type="page"/>
      </w:r>
    </w:p>
    <w:p w14:paraId="03EC4B20" w14:textId="77777777" w:rsidR="00A44317" w:rsidRDefault="00000000">
      <w:pPr>
        <w:pStyle w:val="Heading1"/>
        <w:spacing w:before="260" w:after="120"/>
      </w:pPr>
      <w:r>
        <w:rPr>
          <w:b/>
          <w:bCs/>
          <w:color w:val="16324C"/>
          <w:sz w:val="30"/>
          <w:szCs w:val="30"/>
        </w:rPr>
        <w:lastRenderedPageBreak/>
        <w:t>Part I · Break It</w:t>
      </w:r>
    </w:p>
    <w:p w14:paraId="1B0AAA52" w14:textId="18F72082" w:rsidR="00A44317" w:rsidRDefault="00000000">
      <w:pPr>
        <w:spacing w:after="120" w:line="264" w:lineRule="auto"/>
        <w:jc w:val="both"/>
      </w:pPr>
      <w:r>
        <w:rPr>
          <w:color w:val="1A1A1A"/>
        </w:rPr>
        <w:t>A model does not need bad intentions to end up unfair</w:t>
      </w:r>
      <w:r w:rsidR="00A05D46">
        <w:rPr>
          <w:color w:val="1A1A1A"/>
        </w:rPr>
        <w:t xml:space="preserve">; </w:t>
      </w:r>
      <w:r>
        <w:rPr>
          <w:color w:val="1A1A1A"/>
        </w:rPr>
        <w:t>it only needs you, working fast, on the data you happened to have. In this activity</w:t>
      </w:r>
      <w:r w:rsidR="00A05D46">
        <w:rPr>
          <w:color w:val="1A1A1A"/>
        </w:rPr>
        <w:t>,</w:t>
      </w:r>
      <w:r>
        <w:rPr>
          <w:color w:val="1A1A1A"/>
        </w:rPr>
        <w:t xml:space="preserve"> you build one such system, watch it break, and then take the threshold of a second system into your own hands. Three things you will be able to do afterwards: locate bias on the five-column map from </w:t>
      </w:r>
      <w:r>
        <w:rPr>
          <w:i/>
          <w:iCs/>
          <w:color w:val="1A1A1A"/>
        </w:rPr>
        <w:t>inside</w:t>
      </w:r>
      <w:r>
        <w:rPr>
          <w:color w:val="1A1A1A"/>
        </w:rPr>
        <w:t xml:space="preserve"> a system you helped build; describe threshold-setting as the distribution of harm between two groups of people; and say</w:t>
      </w:r>
      <w:r w:rsidR="00A05D46">
        <w:rPr>
          <w:color w:val="1A1A1A"/>
        </w:rPr>
        <w:t>,</w:t>
      </w:r>
      <w:r>
        <w:rPr>
          <w:color w:val="1A1A1A"/>
        </w:rPr>
        <w:t xml:space="preserve"> from manipulation, not from a slide, why competing fairness criteria cannot all hold at once.</w:t>
      </w:r>
    </w:p>
    <w:p w14:paraId="0334DF43" w14:textId="77777777" w:rsidR="00A44317" w:rsidRDefault="00000000">
      <w:pPr>
        <w:pStyle w:val="Heading2"/>
        <w:spacing w:before="220" w:after="100"/>
      </w:pPr>
      <w:r>
        <w:rPr>
          <w:b/>
          <w:bCs/>
          <w:color w:val="16324C"/>
          <w:sz w:val="25"/>
          <w:szCs w:val="25"/>
        </w:rPr>
        <w:t>Activity 1 · Break it yourself, then set the threshold</w:t>
      </w:r>
    </w:p>
    <w:p w14:paraId="1E65CE28" w14:textId="77777777" w:rsidR="00A44317" w:rsidRDefault="00000000">
      <w:pPr>
        <w:spacing w:after="100" w:line="264" w:lineRule="auto"/>
        <w:jc w:val="both"/>
      </w:pPr>
      <w:r>
        <w:rPr>
          <w:b/>
          <w:bCs/>
          <w:color w:val="2C6E56"/>
        </w:rPr>
        <w:t xml:space="preserve">Time: </w:t>
      </w:r>
      <w:r>
        <w:rPr>
          <w:color w:val="1A1A1A"/>
        </w:rPr>
        <w:t xml:space="preserve">≈ 30 min in session (2-min brief + 12 + 10 + 6)   </w:t>
      </w:r>
      <w:r>
        <w:rPr>
          <w:b/>
          <w:bCs/>
          <w:color w:val="2C6E56"/>
        </w:rPr>
        <w:t xml:space="preserve">Needs: </w:t>
      </w:r>
      <w:r>
        <w:rPr>
          <w:color w:val="1A1A1A"/>
        </w:rPr>
        <w:t xml:space="preserve">a browser; the cold-open vote written down   </w:t>
      </w:r>
      <w:r>
        <w:rPr>
          <w:b/>
          <w:bCs/>
          <w:color w:val="2C6E56"/>
        </w:rPr>
        <w:t xml:space="preserve">You produce: </w:t>
      </w:r>
      <w:r>
        <w:rPr>
          <w:color w:val="1A1A1A"/>
        </w:rPr>
        <w:t>a complete four-field row on the shared scoreboard</w:t>
      </w:r>
    </w:p>
    <w:p w14:paraId="42A28C95" w14:textId="289F8936" w:rsidR="00A44317" w:rsidRDefault="00000000">
      <w:pPr>
        <w:spacing w:before="160" w:after="80" w:line="264" w:lineRule="auto"/>
        <w:jc w:val="both"/>
      </w:pPr>
      <w:r>
        <w:rPr>
          <w:b/>
          <w:bCs/>
          <w:color w:val="B87A1E"/>
          <w:sz w:val="22"/>
          <w:szCs w:val="22"/>
        </w:rPr>
        <w:t xml:space="preserve">Part A · Survival of the Best Fit </w:t>
      </w:r>
      <w:proofErr w:type="gramStart"/>
      <w:r>
        <w:rPr>
          <w:b/>
          <w:bCs/>
          <w:color w:val="B87A1E"/>
          <w:sz w:val="22"/>
          <w:szCs w:val="22"/>
        </w:rPr>
        <w:t>—  12</w:t>
      </w:r>
      <w:proofErr w:type="gramEnd"/>
      <w:r>
        <w:rPr>
          <w:b/>
          <w:bCs/>
          <w:color w:val="B87A1E"/>
          <w:sz w:val="22"/>
          <w:szCs w:val="22"/>
        </w:rPr>
        <w:t xml:space="preserve"> min</w:t>
      </w:r>
    </w:p>
    <w:p w14:paraId="70F7F583" w14:textId="77777777" w:rsidR="00A44317" w:rsidRDefault="00000000">
      <w:pPr>
        <w:spacing w:after="60" w:line="264" w:lineRule="auto"/>
        <w:jc w:val="both"/>
      </w:pPr>
      <w:r>
        <w:rPr>
          <w:b/>
          <w:bCs/>
          <w:color w:val="1A1A1A"/>
        </w:rPr>
        <w:t xml:space="preserve">URL: </w:t>
      </w:r>
      <w:hyperlink r:id="rId10" w:history="1">
        <w:r>
          <w:rPr>
            <w:color w:val="51708D"/>
            <w:u w:val="single"/>
          </w:rPr>
          <w:t>https://www.survivaloftheb</w:t>
        </w:r>
        <w:r>
          <w:rPr>
            <w:color w:val="51708D"/>
            <w:u w:val="single"/>
          </w:rPr>
          <w:t>e</w:t>
        </w:r>
        <w:r>
          <w:rPr>
            <w:color w:val="51708D"/>
            <w:u w:val="single"/>
          </w:rPr>
          <w:t>stfit.com</w:t>
        </w:r>
      </w:hyperlink>
    </w:p>
    <w:p w14:paraId="73928412" w14:textId="77777777" w:rsidR="00A44317" w:rsidRDefault="00000000">
      <w:pPr>
        <w:spacing w:after="120" w:line="264" w:lineRule="auto"/>
        <w:jc w:val="both"/>
      </w:pPr>
      <w:r>
        <w:rPr>
          <w:color w:val="1A1A1A"/>
        </w:rPr>
        <w:t>A short browser game (a Mozilla Creative Media Awards project): you play a startup founder who automates hiring under time pressure, trains a model on your own past decisions plus a larger firm’s dataset, and then answers for who gets rejected. No login, nothing you do leaves the browser, sound optional. A laptop is the comfortable way to play it; it loads on a phone, but the controls are built for a bigger screen.</w:t>
      </w:r>
    </w:p>
    <w:p w14:paraId="56E18C84" w14:textId="20499082" w:rsidR="00A44317" w:rsidRDefault="00000000">
      <w:pPr>
        <w:spacing w:after="120" w:line="264" w:lineRule="auto"/>
        <w:jc w:val="both"/>
      </w:pPr>
      <w:r>
        <w:rPr>
          <w:b/>
          <w:bCs/>
          <w:color w:val="16324C"/>
        </w:rPr>
        <w:t xml:space="preserve">Step 1. </w:t>
      </w:r>
      <w:r>
        <w:rPr>
          <w:color w:val="1A1A1A"/>
        </w:rPr>
        <w:t xml:space="preserve">Open the link and play through, approving and rejecting under the timer </w:t>
      </w:r>
      <w:r>
        <w:rPr>
          <w:b/>
          <w:bCs/>
          <w:color w:val="1A1A1A"/>
        </w:rPr>
        <w:t xml:space="preserve">as you </w:t>
      </w:r>
      <w:proofErr w:type="gramStart"/>
      <w:r>
        <w:rPr>
          <w:b/>
          <w:bCs/>
          <w:color w:val="1A1A1A"/>
        </w:rPr>
        <w:t>actually would</w:t>
      </w:r>
      <w:proofErr w:type="gramEnd"/>
      <w:r>
        <w:rPr>
          <w:color w:val="1A1A1A"/>
        </w:rPr>
        <w:t>. The game only works if you are honest gaming</w:t>
      </w:r>
      <w:r w:rsidR="00DB59AA">
        <w:rPr>
          <w:color w:val="1A1A1A"/>
        </w:rPr>
        <w:t>;</w:t>
      </w:r>
      <w:r>
        <w:rPr>
          <w:color w:val="1A1A1A"/>
        </w:rPr>
        <w:t xml:space="preserve"> it teaches you nothing about yourself, which is the subject.</w:t>
      </w:r>
    </w:p>
    <w:p w14:paraId="25D88609" w14:textId="77777777" w:rsidR="00A44317" w:rsidRDefault="00000000">
      <w:pPr>
        <w:spacing w:after="120" w:line="264" w:lineRule="auto"/>
        <w:jc w:val="both"/>
      </w:pPr>
      <w:r>
        <w:rPr>
          <w:b/>
          <w:bCs/>
          <w:color w:val="16324C"/>
        </w:rPr>
        <w:t xml:space="preserve">Step 2. </w:t>
      </w:r>
      <w:r>
        <w:rPr>
          <w:color w:val="1A1A1A"/>
        </w:rPr>
        <w:t xml:space="preserve">When the complaints arrive, stop. Write one line: where on the five-column map did it break — </w:t>
      </w:r>
      <w:r>
        <w:rPr>
          <w:b/>
          <w:bCs/>
          <w:color w:val="1A1A1A"/>
        </w:rPr>
        <w:t>world, sample, labels, or features</w:t>
      </w:r>
      <w:r>
        <w:rPr>
          <w:color w:val="1A1A1A"/>
        </w:rPr>
        <w:t>? Pick one and be able to say why.</w:t>
      </w:r>
    </w:p>
    <w:p w14:paraId="7E9AD830" w14:textId="77777777" w:rsidR="00A44317" w:rsidRDefault="00000000">
      <w:pPr>
        <w:spacing w:after="120" w:line="264" w:lineRule="auto"/>
        <w:jc w:val="both"/>
      </w:pPr>
      <w:r>
        <w:rPr>
          <w:b/>
          <w:bCs/>
          <w:color w:val="16324C"/>
        </w:rPr>
        <w:t xml:space="preserve">Step 3. </w:t>
      </w:r>
      <w:r>
        <w:rPr>
          <w:color w:val="1A1A1A"/>
        </w:rPr>
        <w:t>Finished early? Move straight to Part B — do not wait for the room.</w:t>
      </w:r>
    </w:p>
    <w:tbl>
      <w:tblPr>
        <w:tblW w:w="9026" w:type="dxa"/>
        <w:tblBorders>
          <w:left w:val="single" w:sz="18" w:space="0" w:color="16324C"/>
        </w:tblBorders>
        <w:tblCellMar>
          <w:left w:w="10" w:type="dxa"/>
          <w:right w:w="10" w:type="dxa"/>
        </w:tblCellMar>
        <w:tblLook w:val="0000" w:firstRow="0" w:lastRow="0" w:firstColumn="0" w:lastColumn="0" w:noHBand="0" w:noVBand="0"/>
      </w:tblPr>
      <w:tblGrid>
        <w:gridCol w:w="9026"/>
      </w:tblGrid>
      <w:tr w:rsidR="00A44317" w14:paraId="52C9BEF2" w14:textId="77777777">
        <w:tblPrEx>
          <w:tblCellMar>
            <w:top w:w="0" w:type="dxa"/>
            <w:bottom w:w="0" w:type="dxa"/>
          </w:tblCellMar>
        </w:tblPrEx>
        <w:tc>
          <w:tcPr>
            <w:tcW w:w="9026" w:type="dxa"/>
            <w:shd w:val="clear" w:color="auto" w:fill="EFF3F7"/>
            <w:tcMar>
              <w:top w:w="90" w:type="dxa"/>
              <w:left w:w="160" w:type="dxa"/>
              <w:bottom w:w="90" w:type="dxa"/>
              <w:right w:w="160" w:type="dxa"/>
            </w:tcMar>
          </w:tcPr>
          <w:p w14:paraId="1564B03D" w14:textId="77777777" w:rsidR="00A44317" w:rsidRDefault="00000000">
            <w:pPr>
              <w:spacing w:line="264" w:lineRule="auto"/>
              <w:jc w:val="both"/>
            </w:pPr>
            <w:r>
              <w:rPr>
                <w:b/>
                <w:bCs/>
                <w:color w:val="16324C"/>
              </w:rPr>
              <w:t xml:space="preserve">What just happened, and why it matters. </w:t>
            </w:r>
            <w:r>
              <w:rPr>
                <w:color w:val="1A1A1A"/>
              </w:rPr>
              <w:t xml:space="preserve">Most rooms split between </w:t>
            </w:r>
            <w:r>
              <w:rPr>
                <w:b/>
                <w:bCs/>
                <w:color w:val="1A1A1A"/>
              </w:rPr>
              <w:t>labels</w:t>
            </w:r>
            <w:r>
              <w:rPr>
                <w:color w:val="1A1A1A"/>
              </w:rPr>
              <w:t xml:space="preserve"> (your own hurried decisions became the training data) and </w:t>
            </w:r>
            <w:r>
              <w:rPr>
                <w:b/>
                <w:bCs/>
                <w:color w:val="1A1A1A"/>
              </w:rPr>
              <w:t>sample</w:t>
            </w:r>
            <w:r>
              <w:rPr>
                <w:color w:val="1A1A1A"/>
              </w:rPr>
              <w:t xml:space="preserve"> (the borrowed, bigger dataset carried someone else’s pattern in). Both answers are defensible, and the argument between them is the payoff: ‘the data is biased’ is a diagnosis with five possible locations, and you have just watched bias move in through two of them — with you at the controls.</w:t>
            </w:r>
          </w:p>
        </w:tc>
      </w:tr>
    </w:tbl>
    <w:p w14:paraId="20AF18E4" w14:textId="77777777" w:rsidR="00A44317" w:rsidRDefault="00A44317">
      <w:pPr>
        <w:spacing w:after="120"/>
      </w:pPr>
    </w:p>
    <w:tbl>
      <w:tblPr>
        <w:tblW w:w="9026" w:type="dxa"/>
        <w:tblBorders>
          <w:left w:val="single" w:sz="18" w:space="0" w:color="2C6E56"/>
        </w:tblBorders>
        <w:tblCellMar>
          <w:left w:w="10" w:type="dxa"/>
          <w:right w:w="10" w:type="dxa"/>
        </w:tblCellMar>
        <w:tblLook w:val="0000" w:firstRow="0" w:lastRow="0" w:firstColumn="0" w:lastColumn="0" w:noHBand="0" w:noVBand="0"/>
      </w:tblPr>
      <w:tblGrid>
        <w:gridCol w:w="9026"/>
      </w:tblGrid>
      <w:tr w:rsidR="00A44317" w14:paraId="48DA2243" w14:textId="77777777">
        <w:tblPrEx>
          <w:tblCellMar>
            <w:top w:w="0" w:type="dxa"/>
            <w:bottom w:w="0" w:type="dxa"/>
          </w:tblCellMar>
        </w:tblPrEx>
        <w:tc>
          <w:tcPr>
            <w:tcW w:w="9026" w:type="dxa"/>
            <w:shd w:val="clear" w:color="auto" w:fill="EAF3EE"/>
            <w:tcMar>
              <w:top w:w="90" w:type="dxa"/>
              <w:left w:w="160" w:type="dxa"/>
              <w:bottom w:w="90" w:type="dxa"/>
              <w:right w:w="160" w:type="dxa"/>
            </w:tcMar>
          </w:tcPr>
          <w:p w14:paraId="785AA789" w14:textId="77777777" w:rsidR="00A44317" w:rsidRDefault="00000000">
            <w:pPr>
              <w:spacing w:line="264" w:lineRule="auto"/>
              <w:jc w:val="both"/>
            </w:pPr>
            <w:r>
              <w:rPr>
                <w:b/>
                <w:bCs/>
                <w:color w:val="2C6E56"/>
              </w:rPr>
              <w:t xml:space="preserve">✔ CHECKPOINT — </w:t>
            </w:r>
            <w:r>
              <w:rPr>
                <w:color w:val="1A1A1A"/>
              </w:rPr>
              <w:t xml:space="preserve">You played to the complaints, you named a column, and you can defend the choice in one sentence — including why it is </w:t>
            </w:r>
            <w:r>
              <w:rPr>
                <w:i/>
                <w:iCs/>
                <w:color w:val="1A1A1A"/>
              </w:rPr>
              <w:t>not</w:t>
            </w:r>
            <w:r>
              <w:rPr>
                <w:color w:val="1A1A1A"/>
              </w:rPr>
              <w:t xml:space="preserve"> one of the neighbouring columns.</w:t>
            </w:r>
          </w:p>
        </w:tc>
      </w:tr>
    </w:tbl>
    <w:p w14:paraId="736148F7" w14:textId="77777777" w:rsidR="00A44317" w:rsidRDefault="00A44317">
      <w:pPr>
        <w:spacing w:after="120"/>
      </w:pPr>
    </w:p>
    <w:p w14:paraId="763929C2" w14:textId="5BA6C9FB" w:rsidR="00A44317" w:rsidRDefault="00000000">
      <w:pPr>
        <w:spacing w:before="160" w:after="80" w:line="264" w:lineRule="auto"/>
        <w:jc w:val="both"/>
      </w:pPr>
      <w:r>
        <w:rPr>
          <w:b/>
          <w:bCs/>
          <w:color w:val="B87A1E"/>
          <w:sz w:val="22"/>
          <w:szCs w:val="22"/>
        </w:rPr>
        <w:t>Part B · Measuring Fairness (Google PAIR) — 10 min</w:t>
      </w:r>
    </w:p>
    <w:p w14:paraId="0A03E566" w14:textId="77777777" w:rsidR="00A44317" w:rsidRDefault="00000000">
      <w:pPr>
        <w:spacing w:after="60" w:line="264" w:lineRule="auto"/>
        <w:jc w:val="both"/>
      </w:pPr>
      <w:r>
        <w:rPr>
          <w:b/>
          <w:bCs/>
          <w:color w:val="1A1A1A"/>
        </w:rPr>
        <w:t xml:space="preserve">URL: </w:t>
      </w:r>
      <w:hyperlink r:id="rId11" w:history="1">
        <w:r>
          <w:rPr>
            <w:color w:val="51708D"/>
            <w:u w:val="single"/>
          </w:rPr>
          <w:t>https://pair.withgoogle.com/explorables/measuring-fairness/</w:t>
        </w:r>
      </w:hyperlink>
    </w:p>
    <w:p w14:paraId="52843F83" w14:textId="70802857" w:rsidR="00A44317" w:rsidRDefault="00000000">
      <w:pPr>
        <w:spacing w:after="120" w:line="264" w:lineRule="auto"/>
        <w:jc w:val="both"/>
      </w:pPr>
      <w:r>
        <w:rPr>
          <w:color w:val="1A1A1A"/>
        </w:rPr>
        <w:t>An interactive explorable: a simulated illness-screening model, a decision threshold you drag yourself, and then a population that splits into two groups you are asked to treat fairly. This is the deck’s error-bearers argument</w:t>
      </w:r>
      <w:r w:rsidR="00A05D46">
        <w:rPr>
          <w:color w:val="1A1A1A"/>
        </w:rPr>
        <w:t>:</w:t>
      </w:r>
      <w:r>
        <w:rPr>
          <w:color w:val="1A1A1A"/>
        </w:rPr>
        <w:t xml:space="preserve"> </w:t>
      </w:r>
      <w:r>
        <w:rPr>
          <w:i/>
          <w:iCs/>
          <w:color w:val="1A1A1A"/>
        </w:rPr>
        <w:t>a threshold decides, in advance, how to distribute harm</w:t>
      </w:r>
      <w:r w:rsidR="00DB59AA">
        <w:rPr>
          <w:color w:val="1A1A1A"/>
        </w:rPr>
        <w:t>,</w:t>
      </w:r>
      <w:r>
        <w:rPr>
          <w:color w:val="1A1A1A"/>
        </w:rPr>
        <w:t xml:space="preserve"> done with your own hands instead of taken on trust.</w:t>
      </w:r>
    </w:p>
    <w:p w14:paraId="36856D0A" w14:textId="0C8865DD" w:rsidR="00A44317" w:rsidRDefault="00000000">
      <w:pPr>
        <w:spacing w:after="120" w:line="264" w:lineRule="auto"/>
        <w:jc w:val="both"/>
      </w:pPr>
      <w:r>
        <w:rPr>
          <w:b/>
          <w:bCs/>
          <w:color w:val="16324C"/>
        </w:rPr>
        <w:t xml:space="preserve">Step 1. </w:t>
      </w:r>
      <w:r>
        <w:rPr>
          <w:color w:val="1A1A1A"/>
        </w:rPr>
        <w:t>Scroll slowly and work every slider. Do not skim to the end</w:t>
      </w:r>
      <w:r w:rsidR="00DB59AA">
        <w:rPr>
          <w:color w:val="1A1A1A"/>
        </w:rPr>
        <w:t xml:space="preserve"> as</w:t>
      </w:r>
      <w:r>
        <w:rPr>
          <w:color w:val="1A1A1A"/>
        </w:rPr>
        <w:t xml:space="preserve"> the explorable earns its conclusions one interaction at a time.</w:t>
      </w:r>
    </w:p>
    <w:p w14:paraId="37B4FA6A" w14:textId="77777777" w:rsidR="00A44317" w:rsidRDefault="00000000">
      <w:pPr>
        <w:spacing w:after="120" w:line="264" w:lineRule="auto"/>
        <w:jc w:val="both"/>
      </w:pPr>
      <w:r>
        <w:rPr>
          <w:b/>
          <w:bCs/>
          <w:color w:val="16324C"/>
        </w:rPr>
        <w:t xml:space="preserve">Step 2. </w:t>
      </w:r>
      <w:r>
        <w:rPr>
          <w:b/>
          <w:bCs/>
          <w:color w:val="1A1A1A"/>
        </w:rPr>
        <w:t xml:space="preserve">Task A: </w:t>
      </w:r>
      <w:r>
        <w:rPr>
          <w:color w:val="1A1A1A"/>
        </w:rPr>
        <w:t>set the threshold so that almost no sick person is missed. Write down who now bears the false positives, and roughly how many.</w:t>
      </w:r>
    </w:p>
    <w:p w14:paraId="34F78FEC" w14:textId="77777777" w:rsidR="00A44317" w:rsidRDefault="00000000">
      <w:pPr>
        <w:spacing w:after="120" w:line="264" w:lineRule="auto"/>
        <w:jc w:val="both"/>
      </w:pPr>
      <w:r>
        <w:rPr>
          <w:b/>
          <w:bCs/>
          <w:color w:val="16324C"/>
        </w:rPr>
        <w:lastRenderedPageBreak/>
        <w:t xml:space="preserve">Step 3. </w:t>
      </w:r>
      <w:r>
        <w:rPr>
          <w:b/>
          <w:bCs/>
          <w:color w:val="1A1A1A"/>
        </w:rPr>
        <w:t xml:space="preserve">Task B: </w:t>
      </w:r>
      <w:r>
        <w:rPr>
          <w:color w:val="1A1A1A"/>
        </w:rPr>
        <w:t>when the two-group view appears, try to equalise treatment across the groups. Record what breaks each time you equalise one metric.</w:t>
      </w:r>
    </w:p>
    <w:p w14:paraId="18591B4A" w14:textId="77777777" w:rsidR="00A44317" w:rsidRDefault="00000000">
      <w:pPr>
        <w:spacing w:after="120" w:line="264" w:lineRule="auto"/>
        <w:jc w:val="both"/>
      </w:pPr>
      <w:r>
        <w:rPr>
          <w:b/>
          <w:bCs/>
          <w:color w:val="16324C"/>
        </w:rPr>
        <w:t xml:space="preserve">Step 4. </w:t>
      </w:r>
      <w:r>
        <w:rPr>
          <w:b/>
          <w:bCs/>
          <w:color w:val="1A1A1A"/>
        </w:rPr>
        <w:t xml:space="preserve">Task C: </w:t>
      </w:r>
      <w:r>
        <w:rPr>
          <w:color w:val="1A1A1A"/>
        </w:rPr>
        <w:t xml:space="preserve">pick the fairness criterion </w:t>
      </w:r>
      <w:r>
        <w:rPr>
          <w:b/>
          <w:bCs/>
          <w:color w:val="1A1A1A"/>
        </w:rPr>
        <w:t>you</w:t>
      </w:r>
      <w:r>
        <w:rPr>
          <w:color w:val="1A1A1A"/>
        </w:rPr>
        <w:t xml:space="preserve"> would </w:t>
      </w:r>
      <w:proofErr w:type="gramStart"/>
      <w:r>
        <w:rPr>
          <w:color w:val="1A1A1A"/>
        </w:rPr>
        <w:t>actually defend</w:t>
      </w:r>
      <w:proofErr w:type="gramEnd"/>
      <w:r>
        <w:rPr>
          <w:color w:val="1A1A1A"/>
        </w:rPr>
        <w:t xml:space="preserve"> in this scenario, and one line on why.</w:t>
      </w:r>
    </w:p>
    <w:tbl>
      <w:tblPr>
        <w:tblW w:w="9026" w:type="dxa"/>
        <w:tblBorders>
          <w:left w:val="single" w:sz="18" w:space="0" w:color="16324C"/>
        </w:tblBorders>
        <w:tblCellMar>
          <w:left w:w="10" w:type="dxa"/>
          <w:right w:w="10" w:type="dxa"/>
        </w:tblCellMar>
        <w:tblLook w:val="0000" w:firstRow="0" w:lastRow="0" w:firstColumn="0" w:lastColumn="0" w:noHBand="0" w:noVBand="0"/>
      </w:tblPr>
      <w:tblGrid>
        <w:gridCol w:w="9026"/>
      </w:tblGrid>
      <w:tr w:rsidR="00A44317" w14:paraId="0AD61F9A" w14:textId="77777777">
        <w:tblPrEx>
          <w:tblCellMar>
            <w:top w:w="0" w:type="dxa"/>
            <w:bottom w:w="0" w:type="dxa"/>
          </w:tblCellMar>
        </w:tblPrEx>
        <w:tc>
          <w:tcPr>
            <w:tcW w:w="9026" w:type="dxa"/>
            <w:shd w:val="clear" w:color="auto" w:fill="EFF3F7"/>
            <w:tcMar>
              <w:top w:w="90" w:type="dxa"/>
              <w:left w:w="160" w:type="dxa"/>
              <w:bottom w:w="90" w:type="dxa"/>
              <w:right w:w="160" w:type="dxa"/>
            </w:tcMar>
          </w:tcPr>
          <w:p w14:paraId="2D78B575" w14:textId="77777777" w:rsidR="00A44317" w:rsidRDefault="00000000">
            <w:pPr>
              <w:spacing w:line="264" w:lineRule="auto"/>
              <w:jc w:val="both"/>
            </w:pPr>
            <w:r>
              <w:rPr>
                <w:b/>
                <w:bCs/>
                <w:color w:val="16324C"/>
              </w:rPr>
              <w:t xml:space="preserve">What just happened, and why it matters. </w:t>
            </w:r>
            <w:r>
              <w:rPr>
                <w:color w:val="1A1A1A"/>
              </w:rPr>
              <w:t>You have discovered by manipulation what Debrief A will state as a result: competing fairness criteria cannot all be satisfied at once, so the choice among them is a documented judgement call — not a computation, and not something a vendor can make for you. Which is exactly why the session keeps asking you to write yours down.</w:t>
            </w:r>
          </w:p>
        </w:tc>
      </w:tr>
    </w:tbl>
    <w:p w14:paraId="5386FF1B" w14:textId="77777777" w:rsidR="00A44317" w:rsidRDefault="00A44317">
      <w:pPr>
        <w:spacing w:after="120"/>
      </w:pPr>
    </w:p>
    <w:tbl>
      <w:tblPr>
        <w:tblW w:w="9026" w:type="dxa"/>
        <w:tblBorders>
          <w:left w:val="single" w:sz="18" w:space="0" w:color="2C6E56"/>
        </w:tblBorders>
        <w:tblCellMar>
          <w:left w:w="10" w:type="dxa"/>
          <w:right w:w="10" w:type="dxa"/>
        </w:tblCellMar>
        <w:tblLook w:val="0000" w:firstRow="0" w:lastRow="0" w:firstColumn="0" w:lastColumn="0" w:noHBand="0" w:noVBand="0"/>
      </w:tblPr>
      <w:tblGrid>
        <w:gridCol w:w="9026"/>
      </w:tblGrid>
      <w:tr w:rsidR="00A44317" w14:paraId="7499022D" w14:textId="77777777">
        <w:tblPrEx>
          <w:tblCellMar>
            <w:top w:w="0" w:type="dxa"/>
            <w:bottom w:w="0" w:type="dxa"/>
          </w:tblCellMar>
        </w:tblPrEx>
        <w:tc>
          <w:tcPr>
            <w:tcW w:w="9026" w:type="dxa"/>
            <w:shd w:val="clear" w:color="auto" w:fill="EAF3EE"/>
            <w:tcMar>
              <w:top w:w="90" w:type="dxa"/>
              <w:left w:w="160" w:type="dxa"/>
              <w:bottom w:w="90" w:type="dxa"/>
              <w:right w:w="160" w:type="dxa"/>
            </w:tcMar>
          </w:tcPr>
          <w:p w14:paraId="7CF5966E" w14:textId="30FE9EA2" w:rsidR="00A44317" w:rsidRDefault="00000000">
            <w:pPr>
              <w:spacing w:line="264" w:lineRule="auto"/>
              <w:jc w:val="both"/>
            </w:pPr>
            <w:r>
              <w:rPr>
                <w:b/>
                <w:bCs/>
                <w:color w:val="2C6E56"/>
              </w:rPr>
              <w:t xml:space="preserve">✔ CHECKPOINT — </w:t>
            </w:r>
            <w:r>
              <w:rPr>
                <w:color w:val="1A1A1A"/>
              </w:rPr>
              <w:t>You can say who paid under your Task A threshold</w:t>
            </w:r>
            <w:r w:rsidR="00A05D46">
              <w:rPr>
                <w:color w:val="1A1A1A"/>
              </w:rPr>
              <w:t xml:space="preserve"> and </w:t>
            </w:r>
            <w:r>
              <w:rPr>
                <w:color w:val="1A1A1A"/>
              </w:rPr>
              <w:t>name one thing that broke in Task B</w:t>
            </w:r>
          </w:p>
        </w:tc>
      </w:tr>
    </w:tbl>
    <w:p w14:paraId="2CF5813E" w14:textId="77777777" w:rsidR="00A44317" w:rsidRDefault="00A44317">
      <w:pPr>
        <w:spacing w:after="120"/>
      </w:pPr>
    </w:p>
    <w:tbl>
      <w:tblPr>
        <w:tblW w:w="9026" w:type="dxa"/>
        <w:tblBorders>
          <w:left w:val="single" w:sz="18" w:space="0" w:color="B87A1E"/>
        </w:tblBorders>
        <w:tblCellMar>
          <w:left w:w="10" w:type="dxa"/>
          <w:right w:w="10" w:type="dxa"/>
        </w:tblCellMar>
        <w:tblLook w:val="0000" w:firstRow="0" w:lastRow="0" w:firstColumn="0" w:lastColumn="0" w:noHBand="0" w:noVBand="0"/>
      </w:tblPr>
      <w:tblGrid>
        <w:gridCol w:w="9026"/>
      </w:tblGrid>
      <w:tr w:rsidR="00A44317" w14:paraId="04AF7155" w14:textId="77777777">
        <w:tblPrEx>
          <w:tblCellMar>
            <w:top w:w="0" w:type="dxa"/>
            <w:bottom w:w="0" w:type="dxa"/>
          </w:tblCellMar>
        </w:tblPrEx>
        <w:tc>
          <w:tcPr>
            <w:tcW w:w="9026" w:type="dxa"/>
            <w:shd w:val="clear" w:color="auto" w:fill="F2F5F8"/>
            <w:tcMar>
              <w:top w:w="90" w:type="dxa"/>
              <w:left w:w="160" w:type="dxa"/>
              <w:bottom w:w="90" w:type="dxa"/>
              <w:right w:w="160" w:type="dxa"/>
            </w:tcMar>
          </w:tcPr>
          <w:p w14:paraId="187968A0" w14:textId="30782E2B" w:rsidR="00A44317" w:rsidRDefault="00000000" w:rsidP="00A05D46">
            <w:pPr>
              <w:spacing w:line="264" w:lineRule="auto"/>
              <w:jc w:val="both"/>
            </w:pPr>
            <w:r>
              <w:rPr>
                <w:b/>
                <w:bCs/>
                <w:color w:val="B87A1E"/>
              </w:rPr>
              <w:t xml:space="preserve">Stretch — fast finishers only: What-If Tool, COMPAS demo. </w:t>
            </w:r>
            <w:r>
              <w:rPr>
                <w:color w:val="1A1A1A"/>
              </w:rPr>
              <w:t xml:space="preserve">Open </w:t>
            </w:r>
            <w:hyperlink r:id="rId12" w:history="1">
              <w:r>
                <w:rPr>
                  <w:color w:val="51708D"/>
                  <w:u w:val="single"/>
                </w:rPr>
                <w:t>https://pair-code.github.io/what-if-tool/demos/compas.html</w:t>
              </w:r>
            </w:hyperlink>
            <w:r>
              <w:rPr>
                <w:color w:val="1A1A1A"/>
              </w:rPr>
              <w:t xml:space="preserve"> · go to the Performance &amp; Fairness tab and slice the dataset by a demographic field · compare the ‘Single threshold’ optimisation against ‘Demographic parity’ and watch the per-slice thresholds move apart </w:t>
            </w:r>
          </w:p>
        </w:tc>
      </w:tr>
    </w:tbl>
    <w:p w14:paraId="599B8DFD" w14:textId="77777777" w:rsidR="00A44317" w:rsidRDefault="00A44317">
      <w:pPr>
        <w:spacing w:after="120"/>
      </w:pPr>
    </w:p>
    <w:p w14:paraId="0001FD53" w14:textId="77777777" w:rsidR="00DB59AA" w:rsidRDefault="00DB59AA">
      <w:pPr>
        <w:pStyle w:val="Heading1"/>
        <w:spacing w:before="260" w:after="120"/>
        <w:rPr>
          <w:b/>
          <w:bCs/>
          <w:color w:val="16324C"/>
          <w:sz w:val="30"/>
          <w:szCs w:val="30"/>
        </w:rPr>
      </w:pPr>
    </w:p>
    <w:p w14:paraId="6B38C981" w14:textId="77777777" w:rsidR="00DB59AA" w:rsidRDefault="00DB59AA">
      <w:pPr>
        <w:pStyle w:val="Heading1"/>
        <w:spacing w:before="260" w:after="120"/>
        <w:rPr>
          <w:b/>
          <w:bCs/>
          <w:color w:val="16324C"/>
          <w:sz w:val="30"/>
          <w:szCs w:val="30"/>
        </w:rPr>
      </w:pPr>
    </w:p>
    <w:p w14:paraId="526D5245" w14:textId="77777777" w:rsidR="00DB59AA" w:rsidRDefault="00DB59AA">
      <w:pPr>
        <w:pStyle w:val="Heading1"/>
        <w:spacing w:before="260" w:after="120"/>
        <w:rPr>
          <w:b/>
          <w:bCs/>
          <w:color w:val="16324C"/>
          <w:sz w:val="30"/>
          <w:szCs w:val="30"/>
        </w:rPr>
      </w:pPr>
    </w:p>
    <w:p w14:paraId="7E12F3D9" w14:textId="77777777" w:rsidR="00DB59AA" w:rsidRDefault="00DB59AA">
      <w:pPr>
        <w:pStyle w:val="Heading1"/>
        <w:spacing w:before="260" w:after="120"/>
        <w:rPr>
          <w:b/>
          <w:bCs/>
          <w:color w:val="16324C"/>
          <w:sz w:val="30"/>
          <w:szCs w:val="30"/>
        </w:rPr>
      </w:pPr>
    </w:p>
    <w:p w14:paraId="02DF8F8E" w14:textId="77777777" w:rsidR="00DB59AA" w:rsidRDefault="00DB59AA">
      <w:pPr>
        <w:pStyle w:val="Heading1"/>
        <w:spacing w:before="260" w:after="120"/>
        <w:rPr>
          <w:b/>
          <w:bCs/>
          <w:color w:val="16324C"/>
          <w:sz w:val="30"/>
          <w:szCs w:val="30"/>
        </w:rPr>
      </w:pPr>
    </w:p>
    <w:p w14:paraId="0241FC4A" w14:textId="77777777" w:rsidR="00DB59AA" w:rsidRDefault="00DB59AA">
      <w:pPr>
        <w:pStyle w:val="Heading1"/>
        <w:spacing w:before="260" w:after="120"/>
        <w:rPr>
          <w:b/>
          <w:bCs/>
          <w:color w:val="16324C"/>
          <w:sz w:val="30"/>
          <w:szCs w:val="30"/>
        </w:rPr>
      </w:pPr>
    </w:p>
    <w:p w14:paraId="7D50852D" w14:textId="77777777" w:rsidR="00DB59AA" w:rsidRDefault="00DB59AA">
      <w:pPr>
        <w:pStyle w:val="Heading1"/>
        <w:spacing w:before="260" w:after="120"/>
        <w:rPr>
          <w:b/>
          <w:bCs/>
          <w:color w:val="16324C"/>
          <w:sz w:val="30"/>
          <w:szCs w:val="30"/>
        </w:rPr>
      </w:pPr>
    </w:p>
    <w:p w14:paraId="712D8311" w14:textId="77777777" w:rsidR="00DB59AA" w:rsidRDefault="00DB59AA">
      <w:pPr>
        <w:pStyle w:val="Heading1"/>
        <w:spacing w:before="260" w:after="120"/>
        <w:rPr>
          <w:b/>
          <w:bCs/>
          <w:color w:val="16324C"/>
          <w:sz w:val="30"/>
          <w:szCs w:val="30"/>
        </w:rPr>
      </w:pPr>
    </w:p>
    <w:p w14:paraId="714CB9F2" w14:textId="77777777" w:rsidR="00DB59AA" w:rsidRDefault="00DB59AA">
      <w:pPr>
        <w:pStyle w:val="Heading1"/>
        <w:spacing w:before="260" w:after="120"/>
        <w:rPr>
          <w:b/>
          <w:bCs/>
          <w:color w:val="16324C"/>
          <w:sz w:val="30"/>
          <w:szCs w:val="30"/>
        </w:rPr>
      </w:pPr>
    </w:p>
    <w:p w14:paraId="6C574BDA" w14:textId="77777777" w:rsidR="00DB59AA" w:rsidRDefault="00DB59AA">
      <w:pPr>
        <w:pStyle w:val="Heading1"/>
        <w:spacing w:before="260" w:after="120"/>
        <w:rPr>
          <w:b/>
          <w:bCs/>
          <w:color w:val="16324C"/>
          <w:sz w:val="30"/>
          <w:szCs w:val="30"/>
        </w:rPr>
      </w:pPr>
    </w:p>
    <w:p w14:paraId="361E697F" w14:textId="77777777" w:rsidR="00DB59AA" w:rsidRDefault="00DB59AA">
      <w:pPr>
        <w:pStyle w:val="Heading1"/>
        <w:spacing w:before="260" w:after="120"/>
        <w:rPr>
          <w:b/>
          <w:bCs/>
          <w:color w:val="16324C"/>
          <w:sz w:val="30"/>
          <w:szCs w:val="30"/>
        </w:rPr>
      </w:pPr>
    </w:p>
    <w:p w14:paraId="76341D49" w14:textId="77777777" w:rsidR="00DB59AA" w:rsidRDefault="00DB59AA">
      <w:pPr>
        <w:pStyle w:val="Heading1"/>
        <w:spacing w:before="260" w:after="120"/>
        <w:rPr>
          <w:b/>
          <w:bCs/>
          <w:color w:val="16324C"/>
          <w:sz w:val="30"/>
          <w:szCs w:val="30"/>
        </w:rPr>
      </w:pPr>
    </w:p>
    <w:p w14:paraId="6D0AB1BA" w14:textId="6A13D1C9" w:rsidR="00DB59AA" w:rsidRDefault="00DB59AA">
      <w:pPr>
        <w:pStyle w:val="Heading1"/>
        <w:spacing w:before="260" w:after="120"/>
        <w:rPr>
          <w:b/>
          <w:bCs/>
          <w:color w:val="16324C"/>
          <w:sz w:val="30"/>
          <w:szCs w:val="30"/>
        </w:rPr>
      </w:pPr>
    </w:p>
    <w:p w14:paraId="35591061" w14:textId="77777777" w:rsidR="00C739E9" w:rsidRDefault="00C739E9">
      <w:pPr>
        <w:pStyle w:val="Heading1"/>
        <w:spacing w:before="260" w:after="120"/>
        <w:rPr>
          <w:b/>
          <w:bCs/>
          <w:color w:val="16324C"/>
          <w:sz w:val="30"/>
          <w:szCs w:val="30"/>
        </w:rPr>
      </w:pPr>
    </w:p>
    <w:p w14:paraId="7810070E" w14:textId="62A204EF" w:rsidR="00A44317" w:rsidRDefault="00000000">
      <w:pPr>
        <w:pStyle w:val="Heading1"/>
        <w:spacing w:before="260" w:after="120"/>
      </w:pPr>
      <w:r>
        <w:rPr>
          <w:b/>
          <w:bCs/>
          <w:color w:val="16324C"/>
          <w:sz w:val="30"/>
          <w:szCs w:val="30"/>
        </w:rPr>
        <w:lastRenderedPageBreak/>
        <w:t>Part II · Govern It</w:t>
      </w:r>
    </w:p>
    <w:p w14:paraId="19EB9B3A" w14:textId="76BBF748" w:rsidR="00A44317" w:rsidRDefault="00000000">
      <w:pPr>
        <w:spacing w:after="120" w:line="264" w:lineRule="auto"/>
        <w:jc w:val="both"/>
      </w:pPr>
      <w:r>
        <w:rPr>
          <w:color w:val="1A1A1A"/>
        </w:rPr>
        <w:t>Activity 1 broke a system; Activity 2 makes one defensible. You take a single deployment scenario and work it through four rounds</w:t>
      </w:r>
      <w:r w:rsidR="00C739E9">
        <w:rPr>
          <w:color w:val="1A1A1A"/>
        </w:rPr>
        <w:t>:</w:t>
      </w:r>
      <w:r>
        <w:rPr>
          <w:color w:val="1A1A1A"/>
        </w:rPr>
        <w:t xml:space="preserve"> identify, assess, specify, propose</w:t>
      </w:r>
      <w:r w:rsidR="00C739E9">
        <w:rPr>
          <w:color w:val="1A1A1A"/>
        </w:rPr>
        <w:t>,</w:t>
      </w:r>
      <w:r>
        <w:rPr>
          <w:color w:val="1A1A1A"/>
        </w:rPr>
        <w:t xml:space="preserve"> ending with three rows of a gate table you could hand to your own director. Every round is anchored to a live artefact: a documented incident, a published model card, a typed row.</w:t>
      </w:r>
    </w:p>
    <w:p w14:paraId="7EAEC347" w14:textId="77777777" w:rsidR="00A44317" w:rsidRDefault="00000000">
      <w:pPr>
        <w:pStyle w:val="Heading2"/>
        <w:spacing w:before="220" w:after="100"/>
      </w:pPr>
      <w:r>
        <w:rPr>
          <w:b/>
          <w:bCs/>
          <w:color w:val="16324C"/>
          <w:sz w:val="25"/>
          <w:szCs w:val="25"/>
        </w:rPr>
        <w:t>Activity 2 · One scenario, four rounds, your own row</w:t>
      </w:r>
    </w:p>
    <w:p w14:paraId="11867860" w14:textId="240A86EF" w:rsidR="00A44317" w:rsidRDefault="00000000">
      <w:pPr>
        <w:spacing w:after="100" w:line="264" w:lineRule="auto"/>
        <w:jc w:val="both"/>
      </w:pPr>
      <w:r>
        <w:rPr>
          <w:b/>
          <w:bCs/>
          <w:color w:val="2C6E56"/>
        </w:rPr>
        <w:t xml:space="preserve">Time: </w:t>
      </w:r>
      <w:r>
        <w:rPr>
          <w:color w:val="1A1A1A"/>
        </w:rPr>
        <w:t xml:space="preserve">30 min </w:t>
      </w:r>
      <w:r>
        <w:rPr>
          <w:b/>
          <w:bCs/>
          <w:color w:val="2C6E56"/>
        </w:rPr>
        <w:t xml:space="preserve">Needs: </w:t>
      </w:r>
      <w:r>
        <w:rPr>
          <w:color w:val="1A1A1A"/>
        </w:rPr>
        <w:t xml:space="preserve">Activity 1 done; your scenario card below   </w:t>
      </w:r>
      <w:r>
        <w:rPr>
          <w:b/>
          <w:bCs/>
          <w:color w:val="2C6E56"/>
        </w:rPr>
        <w:t xml:space="preserve">You </w:t>
      </w:r>
      <w:proofErr w:type="gramStart"/>
      <w:r>
        <w:rPr>
          <w:b/>
          <w:bCs/>
          <w:color w:val="2C6E56"/>
        </w:rPr>
        <w:t>produce</w:t>
      </w:r>
      <w:proofErr w:type="gramEnd"/>
      <w:r>
        <w:rPr>
          <w:b/>
          <w:bCs/>
          <w:color w:val="2C6E56"/>
        </w:rPr>
        <w:t xml:space="preserve">: </w:t>
      </w:r>
      <w:r>
        <w:rPr>
          <w:color w:val="1A1A1A"/>
        </w:rPr>
        <w:t>an incident, ranked concerns, three transparency requirements, three gate rows, one one-month action</w:t>
      </w:r>
    </w:p>
    <w:p w14:paraId="6EC4BED5" w14:textId="77777777" w:rsidR="00A44317" w:rsidRDefault="00000000">
      <w:pPr>
        <w:spacing w:before="160" w:after="80" w:line="264" w:lineRule="auto"/>
        <w:jc w:val="both"/>
      </w:pPr>
      <w:r>
        <w:rPr>
          <w:b/>
          <w:bCs/>
          <w:color w:val="B87A1E"/>
          <w:sz w:val="22"/>
          <w:szCs w:val="22"/>
        </w:rPr>
        <w:t>The rules, before you start</w:t>
      </w:r>
    </w:p>
    <w:p w14:paraId="0CD9E7EB" w14:textId="77777777" w:rsidR="00A44317" w:rsidRDefault="00000000">
      <w:pPr>
        <w:pStyle w:val="ListParagraph"/>
        <w:numPr>
          <w:ilvl w:val="0"/>
          <w:numId w:val="2"/>
        </w:numPr>
        <w:spacing w:after="60" w:line="264" w:lineRule="auto"/>
        <w:jc w:val="both"/>
      </w:pPr>
      <w:r>
        <w:rPr>
          <w:b/>
          <w:bCs/>
          <w:color w:val="1A1A1A"/>
        </w:rPr>
        <w:t xml:space="preserve">You may not conclude ‘do not build it’. </w:t>
      </w:r>
      <w:r>
        <w:rPr>
          <w:color w:val="1A1A1A"/>
        </w:rPr>
        <w:t xml:space="preserve">That verdict is </w:t>
      </w:r>
      <w:proofErr w:type="gramStart"/>
      <w:r>
        <w:rPr>
          <w:color w:val="1A1A1A"/>
        </w:rPr>
        <w:t>available in reality, but</w:t>
      </w:r>
      <w:proofErr w:type="gramEnd"/>
      <w:r>
        <w:rPr>
          <w:color w:val="1A1A1A"/>
        </w:rPr>
        <w:t xml:space="preserve"> it ends the exercise in the first two minutes. Assume it is going ahead; your job is to make it defensible.</w:t>
      </w:r>
    </w:p>
    <w:p w14:paraId="1EA2E3A3" w14:textId="77777777" w:rsidR="00A44317" w:rsidRDefault="00000000">
      <w:pPr>
        <w:pStyle w:val="ListParagraph"/>
        <w:numPr>
          <w:ilvl w:val="0"/>
          <w:numId w:val="2"/>
        </w:numPr>
        <w:spacing w:after="60" w:line="264" w:lineRule="auto"/>
        <w:jc w:val="both"/>
      </w:pPr>
      <w:r>
        <w:rPr>
          <w:b/>
          <w:bCs/>
          <w:color w:val="1A1A1A"/>
        </w:rPr>
        <w:t xml:space="preserve">Pick ONE scenario — </w:t>
      </w:r>
      <w:r>
        <w:rPr>
          <w:color w:val="1A1A1A"/>
        </w:rPr>
        <w:t>the one closest to your own work; if none is, take B. The harvest is more useful when the room splits across all three problems, so if everyone around you picked A, be the contrarian.</w:t>
      </w:r>
    </w:p>
    <w:p w14:paraId="6A039FB5" w14:textId="77777777" w:rsidR="00A44317" w:rsidRDefault="00000000">
      <w:pPr>
        <w:pStyle w:val="ListParagraph"/>
        <w:numPr>
          <w:ilvl w:val="0"/>
          <w:numId w:val="2"/>
        </w:numPr>
        <w:spacing w:after="60" w:line="264" w:lineRule="auto"/>
        <w:jc w:val="both"/>
      </w:pPr>
      <w:r>
        <w:rPr>
          <w:b/>
          <w:bCs/>
          <w:color w:val="1A1A1A"/>
        </w:rPr>
        <w:t xml:space="preserve">Torn between two defensible positions? </w:t>
      </w:r>
      <w:r>
        <w:rPr>
          <w:color w:val="1A1A1A"/>
        </w:rPr>
        <w:t>Record both rather than forcing a winner — an honest tension in your row beats a tidy answer, and the harvest treats it as a finding.</w:t>
      </w:r>
    </w:p>
    <w:p w14:paraId="2812C523" w14:textId="77777777" w:rsidR="00A44317" w:rsidRDefault="00000000">
      <w:pPr>
        <w:pStyle w:val="ListParagraph"/>
        <w:numPr>
          <w:ilvl w:val="0"/>
          <w:numId w:val="2"/>
        </w:numPr>
        <w:spacing w:after="120" w:line="264" w:lineRule="auto"/>
        <w:jc w:val="both"/>
      </w:pPr>
      <w:r>
        <w:rPr>
          <w:b/>
          <w:bCs/>
          <w:color w:val="1A1A1A"/>
        </w:rPr>
        <w:t xml:space="preserve">Type as you go. </w:t>
      </w:r>
      <w:r>
        <w:rPr>
          <w:color w:val="1A1A1A"/>
        </w:rPr>
        <w:t>Every round’s output goes into your row the moment you have it. The harvest runs from the sheet, not from memory.</w:t>
      </w:r>
    </w:p>
    <w:p w14:paraId="73219625" w14:textId="77777777" w:rsidR="00A44317" w:rsidRDefault="00000000">
      <w:pPr>
        <w:spacing w:before="160" w:after="80" w:line="264" w:lineRule="auto"/>
        <w:jc w:val="both"/>
      </w:pPr>
      <w:r>
        <w:rPr>
          <w:b/>
          <w:bCs/>
          <w:color w:val="B87A1E"/>
          <w:sz w:val="22"/>
          <w:szCs w:val="22"/>
        </w:rPr>
        <w:t>The four rounds</w:t>
      </w:r>
    </w:p>
    <w:tbl>
      <w:tblPr>
        <w:tblW w:w="9026" w:type="dxa"/>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CellMar>
          <w:left w:w="10" w:type="dxa"/>
          <w:right w:w="10" w:type="dxa"/>
        </w:tblCellMar>
        <w:tblLook w:val="0000" w:firstRow="0" w:lastRow="0" w:firstColumn="0" w:lastColumn="0" w:noHBand="0" w:noVBand="0"/>
      </w:tblPr>
      <w:tblGrid>
        <w:gridCol w:w="1250"/>
        <w:gridCol w:w="850"/>
        <w:gridCol w:w="6926"/>
      </w:tblGrid>
      <w:tr w:rsidR="00A44317" w14:paraId="2C5462F3" w14:textId="77777777">
        <w:tblPrEx>
          <w:tblCellMar>
            <w:top w:w="0" w:type="dxa"/>
            <w:bottom w:w="0" w:type="dxa"/>
          </w:tblCellMar>
        </w:tblPrEx>
        <w:trPr>
          <w:tblHeader/>
        </w:trPr>
        <w:tc>
          <w:tcPr>
            <w:tcW w:w="1250" w:type="dxa"/>
            <w:shd w:val="clear" w:color="auto" w:fill="16324C"/>
            <w:tcMar>
              <w:top w:w="70" w:type="dxa"/>
              <w:left w:w="110" w:type="dxa"/>
              <w:bottom w:w="70" w:type="dxa"/>
              <w:right w:w="110" w:type="dxa"/>
            </w:tcMar>
          </w:tcPr>
          <w:p w14:paraId="6A89FFC0" w14:textId="77777777" w:rsidR="00A44317" w:rsidRDefault="00000000">
            <w:pPr>
              <w:spacing w:line="252" w:lineRule="auto"/>
            </w:pPr>
            <w:r>
              <w:rPr>
                <w:b/>
                <w:bCs/>
                <w:color w:val="FFFFFF"/>
                <w:sz w:val="19"/>
                <w:szCs w:val="19"/>
              </w:rPr>
              <w:t>Round</w:t>
            </w:r>
          </w:p>
        </w:tc>
        <w:tc>
          <w:tcPr>
            <w:tcW w:w="850" w:type="dxa"/>
            <w:shd w:val="clear" w:color="auto" w:fill="16324C"/>
            <w:tcMar>
              <w:top w:w="70" w:type="dxa"/>
              <w:left w:w="110" w:type="dxa"/>
              <w:bottom w:w="70" w:type="dxa"/>
              <w:right w:w="110" w:type="dxa"/>
            </w:tcMar>
          </w:tcPr>
          <w:p w14:paraId="4B2561C2" w14:textId="77777777" w:rsidR="00A44317" w:rsidRDefault="00000000">
            <w:pPr>
              <w:spacing w:line="252" w:lineRule="auto"/>
            </w:pPr>
            <w:r>
              <w:rPr>
                <w:b/>
                <w:bCs/>
                <w:color w:val="FFFFFF"/>
                <w:sz w:val="19"/>
                <w:szCs w:val="19"/>
              </w:rPr>
              <w:t>Time</w:t>
            </w:r>
          </w:p>
        </w:tc>
        <w:tc>
          <w:tcPr>
            <w:tcW w:w="6926" w:type="dxa"/>
            <w:shd w:val="clear" w:color="auto" w:fill="16324C"/>
            <w:tcMar>
              <w:top w:w="70" w:type="dxa"/>
              <w:left w:w="110" w:type="dxa"/>
              <w:bottom w:w="70" w:type="dxa"/>
              <w:right w:w="110" w:type="dxa"/>
            </w:tcMar>
          </w:tcPr>
          <w:p w14:paraId="742436BA" w14:textId="77777777" w:rsidR="00A44317" w:rsidRDefault="00000000">
            <w:pPr>
              <w:spacing w:line="252" w:lineRule="auto"/>
            </w:pPr>
            <w:r>
              <w:rPr>
                <w:b/>
                <w:bCs/>
                <w:color w:val="FFFFFF"/>
                <w:sz w:val="19"/>
                <w:szCs w:val="19"/>
              </w:rPr>
              <w:t>Task — and the output your row needs</w:t>
            </w:r>
          </w:p>
        </w:tc>
      </w:tr>
      <w:tr w:rsidR="00A44317" w14:paraId="7E252B3F" w14:textId="77777777">
        <w:tblPrEx>
          <w:tblCellMar>
            <w:top w:w="0" w:type="dxa"/>
            <w:bottom w:w="0" w:type="dxa"/>
          </w:tblCellMar>
        </w:tblPrEx>
        <w:tc>
          <w:tcPr>
            <w:tcW w:w="1250" w:type="dxa"/>
            <w:tcMar>
              <w:top w:w="70" w:type="dxa"/>
              <w:left w:w="110" w:type="dxa"/>
              <w:bottom w:w="70" w:type="dxa"/>
              <w:right w:w="110" w:type="dxa"/>
            </w:tcMar>
          </w:tcPr>
          <w:p w14:paraId="3C64D4FA" w14:textId="77777777" w:rsidR="00A44317" w:rsidRDefault="00000000">
            <w:pPr>
              <w:spacing w:line="252" w:lineRule="auto"/>
            </w:pPr>
            <w:r>
              <w:rPr>
                <w:color w:val="1A1A1A"/>
                <w:sz w:val="19"/>
                <w:szCs w:val="19"/>
              </w:rPr>
              <w:t>1 · Identify</w:t>
            </w:r>
          </w:p>
        </w:tc>
        <w:tc>
          <w:tcPr>
            <w:tcW w:w="850" w:type="dxa"/>
            <w:tcMar>
              <w:top w:w="70" w:type="dxa"/>
              <w:left w:w="110" w:type="dxa"/>
              <w:bottom w:w="70" w:type="dxa"/>
              <w:right w:w="110" w:type="dxa"/>
            </w:tcMar>
          </w:tcPr>
          <w:p w14:paraId="034B465A" w14:textId="77777777" w:rsidR="00A44317" w:rsidRDefault="00000000">
            <w:pPr>
              <w:spacing w:line="252" w:lineRule="auto"/>
            </w:pPr>
            <w:r>
              <w:rPr>
                <w:color w:val="1A1A1A"/>
                <w:sz w:val="19"/>
                <w:szCs w:val="19"/>
              </w:rPr>
              <w:t>7 min</w:t>
            </w:r>
          </w:p>
        </w:tc>
        <w:tc>
          <w:tcPr>
            <w:tcW w:w="6926" w:type="dxa"/>
            <w:tcMar>
              <w:top w:w="70" w:type="dxa"/>
              <w:left w:w="110" w:type="dxa"/>
              <w:bottom w:w="70" w:type="dxa"/>
              <w:right w:w="110" w:type="dxa"/>
            </w:tcMar>
          </w:tcPr>
          <w:p w14:paraId="79D6A1C4" w14:textId="3A873717" w:rsidR="00A44317" w:rsidRDefault="00000000">
            <w:pPr>
              <w:spacing w:after="40" w:line="264" w:lineRule="auto"/>
              <w:jc w:val="both"/>
            </w:pPr>
            <w:r>
              <w:rPr>
                <w:color w:val="1A1A1A"/>
              </w:rPr>
              <w:t xml:space="preserve">Search </w:t>
            </w:r>
            <w:hyperlink r:id="rId13" w:history="1">
              <w:r>
                <w:rPr>
                  <w:color w:val="51708D"/>
                  <w:u w:val="single"/>
                </w:rPr>
                <w:t>incidentdat</w:t>
              </w:r>
              <w:r>
                <w:rPr>
                  <w:color w:val="51708D"/>
                  <w:u w:val="single"/>
                </w:rPr>
                <w:t>a</w:t>
              </w:r>
              <w:r>
                <w:rPr>
                  <w:color w:val="51708D"/>
                  <w:u w:val="single"/>
                </w:rPr>
                <w:t>base.ai</w:t>
              </w:r>
            </w:hyperlink>
            <w:r>
              <w:rPr>
                <w:color w:val="1A1A1A"/>
              </w:rPr>
              <w:t xml:space="preserve"> with your scenario card’s terms. Pick ONE documented incident closest to your proposal and note, in a line, what </w:t>
            </w:r>
            <w:proofErr w:type="gramStart"/>
            <w:r>
              <w:rPr>
                <w:color w:val="1A1A1A"/>
              </w:rPr>
              <w:t>actually failed</w:t>
            </w:r>
            <w:proofErr w:type="gramEnd"/>
            <w:r>
              <w:rPr>
                <w:color w:val="1A1A1A"/>
              </w:rPr>
              <w:t xml:space="preserve"> there. Then apply the proportionality test</w:t>
            </w:r>
            <w:r w:rsidR="00A05D46">
              <w:rPr>
                <w:color w:val="1A1A1A"/>
              </w:rPr>
              <w:t>:</w:t>
            </w:r>
            <w:r>
              <w:rPr>
                <w:color w:val="1A1A1A"/>
              </w:rPr>
              <w:t xml:space="preserve"> legality, legitimate aim, proportionality, safeguards to your own scenario, and name the error each way: who bears the false positive, who bears the false negative, who never consented to being examined at all.</w:t>
            </w:r>
          </w:p>
          <w:p w14:paraId="3A08C974" w14:textId="77777777" w:rsidR="00A44317" w:rsidRDefault="00000000">
            <w:pPr>
              <w:spacing w:line="264" w:lineRule="auto"/>
              <w:jc w:val="both"/>
            </w:pPr>
            <w:r>
              <w:rPr>
                <w:b/>
                <w:bCs/>
                <w:color w:val="1A1A1A"/>
              </w:rPr>
              <w:t xml:space="preserve">Output: </w:t>
            </w:r>
            <w:r>
              <w:rPr>
                <w:color w:val="1A1A1A"/>
              </w:rPr>
              <w:t>one named incident + your three most serious concerns, ranked. Rank them; do not list ten.</w:t>
            </w:r>
          </w:p>
        </w:tc>
      </w:tr>
      <w:tr w:rsidR="00A44317" w14:paraId="519A108C" w14:textId="77777777">
        <w:tblPrEx>
          <w:tblCellMar>
            <w:top w:w="0" w:type="dxa"/>
            <w:bottom w:w="0" w:type="dxa"/>
          </w:tblCellMar>
        </w:tblPrEx>
        <w:tc>
          <w:tcPr>
            <w:tcW w:w="1250" w:type="dxa"/>
            <w:tcMar>
              <w:top w:w="70" w:type="dxa"/>
              <w:left w:w="110" w:type="dxa"/>
              <w:bottom w:w="70" w:type="dxa"/>
              <w:right w:w="110" w:type="dxa"/>
            </w:tcMar>
          </w:tcPr>
          <w:p w14:paraId="72F9145B" w14:textId="77777777" w:rsidR="00A44317" w:rsidRDefault="00000000">
            <w:pPr>
              <w:spacing w:line="252" w:lineRule="auto"/>
            </w:pPr>
            <w:r>
              <w:rPr>
                <w:color w:val="1A1A1A"/>
                <w:sz w:val="19"/>
                <w:szCs w:val="19"/>
              </w:rPr>
              <w:t>2 · Assess</w:t>
            </w:r>
          </w:p>
        </w:tc>
        <w:tc>
          <w:tcPr>
            <w:tcW w:w="850" w:type="dxa"/>
            <w:tcMar>
              <w:top w:w="70" w:type="dxa"/>
              <w:left w:w="110" w:type="dxa"/>
              <w:bottom w:w="70" w:type="dxa"/>
              <w:right w:w="110" w:type="dxa"/>
            </w:tcMar>
          </w:tcPr>
          <w:p w14:paraId="588EECA8" w14:textId="77777777" w:rsidR="00A44317" w:rsidRDefault="00000000">
            <w:pPr>
              <w:spacing w:line="252" w:lineRule="auto"/>
            </w:pPr>
            <w:r>
              <w:rPr>
                <w:color w:val="1A1A1A"/>
                <w:sz w:val="19"/>
                <w:szCs w:val="19"/>
              </w:rPr>
              <w:t>7 min</w:t>
            </w:r>
          </w:p>
        </w:tc>
        <w:tc>
          <w:tcPr>
            <w:tcW w:w="6926" w:type="dxa"/>
            <w:tcMar>
              <w:top w:w="70" w:type="dxa"/>
              <w:left w:w="110" w:type="dxa"/>
              <w:bottom w:w="70" w:type="dxa"/>
              <w:right w:w="110" w:type="dxa"/>
            </w:tcMar>
          </w:tcPr>
          <w:p w14:paraId="7E19BDC6" w14:textId="42E74961" w:rsidR="00A44317" w:rsidRDefault="00000000">
            <w:pPr>
              <w:spacing w:after="40" w:line="264" w:lineRule="auto"/>
              <w:jc w:val="both"/>
            </w:pPr>
            <w:r>
              <w:rPr>
                <w:color w:val="1A1A1A"/>
              </w:rPr>
              <w:t xml:space="preserve">Heads down, no browser. Privacy: which interest is engaged — confidentiality, purpose limitation, or contextual integrity (Appendix B has the plain-words versions)? Bias: where does it enter on the five-column </w:t>
            </w:r>
            <w:proofErr w:type="gramStart"/>
            <w:r>
              <w:rPr>
                <w:color w:val="1A1A1A"/>
              </w:rPr>
              <w:t>map  world</w:t>
            </w:r>
            <w:proofErr w:type="gramEnd"/>
            <w:r>
              <w:rPr>
                <w:color w:val="1A1A1A"/>
              </w:rPr>
              <w:t>, sample, labels, features, or threshold? Fairness: which criterion would you adopt, knowing from Part B that you cannot have them all?</w:t>
            </w:r>
          </w:p>
          <w:p w14:paraId="3C923F7A" w14:textId="77777777" w:rsidR="00A44317" w:rsidRDefault="00000000">
            <w:pPr>
              <w:spacing w:line="264" w:lineRule="auto"/>
              <w:jc w:val="both"/>
            </w:pPr>
            <w:r>
              <w:rPr>
                <w:b/>
                <w:bCs/>
                <w:color w:val="1A1A1A"/>
              </w:rPr>
              <w:t xml:space="preserve">Output: </w:t>
            </w:r>
            <w:r>
              <w:rPr>
                <w:color w:val="1A1A1A"/>
              </w:rPr>
              <w:t>one named privacy risk and one named bias entry point, each with a location — not a general worry.</w:t>
            </w:r>
          </w:p>
        </w:tc>
      </w:tr>
      <w:tr w:rsidR="00A44317" w14:paraId="6C5291BD" w14:textId="77777777">
        <w:tblPrEx>
          <w:tblCellMar>
            <w:top w:w="0" w:type="dxa"/>
            <w:bottom w:w="0" w:type="dxa"/>
          </w:tblCellMar>
        </w:tblPrEx>
        <w:tc>
          <w:tcPr>
            <w:tcW w:w="1250" w:type="dxa"/>
            <w:tcMar>
              <w:top w:w="70" w:type="dxa"/>
              <w:left w:w="110" w:type="dxa"/>
              <w:bottom w:w="70" w:type="dxa"/>
              <w:right w:w="110" w:type="dxa"/>
            </w:tcMar>
          </w:tcPr>
          <w:p w14:paraId="1E79B3E9" w14:textId="77777777" w:rsidR="00A44317" w:rsidRDefault="00000000">
            <w:pPr>
              <w:spacing w:line="252" w:lineRule="auto"/>
            </w:pPr>
            <w:r>
              <w:rPr>
                <w:color w:val="1A1A1A"/>
                <w:sz w:val="19"/>
                <w:szCs w:val="19"/>
              </w:rPr>
              <w:t>3 · Specify</w:t>
            </w:r>
          </w:p>
        </w:tc>
        <w:tc>
          <w:tcPr>
            <w:tcW w:w="850" w:type="dxa"/>
            <w:tcMar>
              <w:top w:w="70" w:type="dxa"/>
              <w:left w:w="110" w:type="dxa"/>
              <w:bottom w:w="70" w:type="dxa"/>
              <w:right w:w="110" w:type="dxa"/>
            </w:tcMar>
          </w:tcPr>
          <w:p w14:paraId="3DF7BE72" w14:textId="77777777" w:rsidR="00A44317" w:rsidRDefault="00000000">
            <w:pPr>
              <w:spacing w:line="252" w:lineRule="auto"/>
            </w:pPr>
            <w:r>
              <w:rPr>
                <w:color w:val="1A1A1A"/>
                <w:sz w:val="19"/>
                <w:szCs w:val="19"/>
              </w:rPr>
              <w:t>8 min</w:t>
            </w:r>
          </w:p>
        </w:tc>
        <w:tc>
          <w:tcPr>
            <w:tcW w:w="6926" w:type="dxa"/>
            <w:tcMar>
              <w:top w:w="70" w:type="dxa"/>
              <w:left w:w="110" w:type="dxa"/>
              <w:bottom w:w="70" w:type="dxa"/>
              <w:right w:w="110" w:type="dxa"/>
            </w:tcMar>
          </w:tcPr>
          <w:p w14:paraId="6451FC38" w14:textId="77777777" w:rsidR="00A44317" w:rsidRDefault="00000000">
            <w:pPr>
              <w:spacing w:after="40" w:line="264" w:lineRule="auto"/>
              <w:jc w:val="both"/>
            </w:pPr>
            <w:r>
              <w:rPr>
                <w:color w:val="1A1A1A"/>
              </w:rPr>
              <w:t>Open your scenario’s assigned model card (link on your card) and score it against the six trustworthiness properties using the checklist below: which are documented, which are simply absent? Every absence becomes a transparency requirement — what must the subject be told, what must be documented internally before approval, what must be disclosable if the output is challenged in proceedings, and is that in the vendor contract?</w:t>
            </w:r>
          </w:p>
          <w:p w14:paraId="3845E442" w14:textId="77777777" w:rsidR="00A44317" w:rsidRDefault="00000000">
            <w:pPr>
              <w:spacing w:line="264" w:lineRule="auto"/>
              <w:jc w:val="both"/>
            </w:pPr>
            <w:r>
              <w:rPr>
                <w:b/>
                <w:bCs/>
                <w:color w:val="1A1A1A"/>
              </w:rPr>
              <w:t xml:space="preserve">Output: </w:t>
            </w:r>
            <w:r>
              <w:rPr>
                <w:color w:val="1A1A1A"/>
              </w:rPr>
              <w:t>three transparency requirements, each with an audience attached.</w:t>
            </w:r>
          </w:p>
        </w:tc>
      </w:tr>
      <w:tr w:rsidR="00A44317" w14:paraId="30D67CDE" w14:textId="77777777">
        <w:tblPrEx>
          <w:tblCellMar>
            <w:top w:w="0" w:type="dxa"/>
            <w:bottom w:w="0" w:type="dxa"/>
          </w:tblCellMar>
        </w:tblPrEx>
        <w:tc>
          <w:tcPr>
            <w:tcW w:w="1250" w:type="dxa"/>
            <w:tcMar>
              <w:top w:w="70" w:type="dxa"/>
              <w:left w:w="110" w:type="dxa"/>
              <w:bottom w:w="70" w:type="dxa"/>
              <w:right w:w="110" w:type="dxa"/>
            </w:tcMar>
          </w:tcPr>
          <w:p w14:paraId="36ADF0BA" w14:textId="77777777" w:rsidR="00A44317" w:rsidRDefault="00000000">
            <w:pPr>
              <w:spacing w:line="252" w:lineRule="auto"/>
            </w:pPr>
            <w:r>
              <w:rPr>
                <w:color w:val="1A1A1A"/>
                <w:sz w:val="19"/>
                <w:szCs w:val="19"/>
              </w:rPr>
              <w:t>4 · Propose</w:t>
            </w:r>
          </w:p>
        </w:tc>
        <w:tc>
          <w:tcPr>
            <w:tcW w:w="850" w:type="dxa"/>
            <w:tcMar>
              <w:top w:w="70" w:type="dxa"/>
              <w:left w:w="110" w:type="dxa"/>
              <w:bottom w:w="70" w:type="dxa"/>
              <w:right w:w="110" w:type="dxa"/>
            </w:tcMar>
          </w:tcPr>
          <w:p w14:paraId="49F8ED28" w14:textId="77777777" w:rsidR="00A44317" w:rsidRDefault="00000000">
            <w:pPr>
              <w:spacing w:line="252" w:lineRule="auto"/>
            </w:pPr>
            <w:r>
              <w:rPr>
                <w:color w:val="1A1A1A"/>
                <w:sz w:val="19"/>
                <w:szCs w:val="19"/>
              </w:rPr>
              <w:t>8 min</w:t>
            </w:r>
          </w:p>
        </w:tc>
        <w:tc>
          <w:tcPr>
            <w:tcW w:w="6926" w:type="dxa"/>
            <w:tcMar>
              <w:top w:w="70" w:type="dxa"/>
              <w:left w:w="110" w:type="dxa"/>
              <w:bottom w:w="70" w:type="dxa"/>
              <w:right w:w="110" w:type="dxa"/>
            </w:tcMar>
          </w:tcPr>
          <w:p w14:paraId="6DAEEC59" w14:textId="77777777" w:rsidR="00A44317" w:rsidRDefault="00000000">
            <w:pPr>
              <w:spacing w:after="40" w:line="264" w:lineRule="auto"/>
              <w:jc w:val="both"/>
            </w:pPr>
            <w:r>
              <w:rPr>
                <w:color w:val="1A1A1A"/>
              </w:rPr>
              <w:t>Three rows of the gate table — principle, required artefact, gate it must pass, named owner, review or expiry date. At least one control must be non-</w:t>
            </w:r>
            <w:r>
              <w:rPr>
                <w:color w:val="1A1A1A"/>
              </w:rPr>
              <w:lastRenderedPageBreak/>
              <w:t>technical (an authorisation step, a review cycle, a named owner), and at least one row must carry an expiry: when is this re-authorised, and who restates the justification?</w:t>
            </w:r>
          </w:p>
          <w:p w14:paraId="6AAE03D9" w14:textId="77777777" w:rsidR="00A44317" w:rsidRDefault="00000000">
            <w:pPr>
              <w:spacing w:line="264" w:lineRule="auto"/>
              <w:jc w:val="both"/>
            </w:pPr>
            <w:r>
              <w:rPr>
                <w:b/>
                <w:bCs/>
                <w:color w:val="1A1A1A"/>
              </w:rPr>
              <w:t xml:space="preserve">Output: </w:t>
            </w:r>
            <w:r>
              <w:rPr>
                <w:color w:val="1A1A1A"/>
              </w:rPr>
              <w:t>three gate rows, written as though you will hand them to your own director on Monday.</w:t>
            </w:r>
          </w:p>
        </w:tc>
      </w:tr>
    </w:tbl>
    <w:p w14:paraId="2F810CBE" w14:textId="77777777" w:rsidR="00A44317" w:rsidRDefault="00A44317">
      <w:pPr>
        <w:spacing w:after="120"/>
      </w:pPr>
    </w:p>
    <w:tbl>
      <w:tblPr>
        <w:tblW w:w="9026" w:type="dxa"/>
        <w:tblBorders>
          <w:left w:val="single" w:sz="18" w:space="0" w:color="16324C"/>
        </w:tblBorders>
        <w:tblCellMar>
          <w:left w:w="10" w:type="dxa"/>
          <w:right w:w="10" w:type="dxa"/>
        </w:tblCellMar>
        <w:tblLook w:val="0000" w:firstRow="0" w:lastRow="0" w:firstColumn="0" w:lastColumn="0" w:noHBand="0" w:noVBand="0"/>
      </w:tblPr>
      <w:tblGrid>
        <w:gridCol w:w="9026"/>
      </w:tblGrid>
      <w:tr w:rsidR="00A44317" w14:paraId="1FADFB6D" w14:textId="77777777">
        <w:tblPrEx>
          <w:tblCellMar>
            <w:top w:w="0" w:type="dxa"/>
            <w:bottom w:w="0" w:type="dxa"/>
          </w:tblCellMar>
        </w:tblPrEx>
        <w:tc>
          <w:tcPr>
            <w:tcW w:w="9026" w:type="dxa"/>
            <w:shd w:val="clear" w:color="auto" w:fill="EFF3F7"/>
            <w:tcMar>
              <w:top w:w="90" w:type="dxa"/>
              <w:left w:w="160" w:type="dxa"/>
              <w:bottom w:w="90" w:type="dxa"/>
              <w:right w:w="160" w:type="dxa"/>
            </w:tcMar>
          </w:tcPr>
          <w:p w14:paraId="04D2A26E" w14:textId="77777777" w:rsidR="00A44317" w:rsidRDefault="00000000">
            <w:pPr>
              <w:spacing w:line="264" w:lineRule="auto"/>
              <w:jc w:val="both"/>
            </w:pPr>
            <w:r>
              <w:rPr>
                <w:b/>
                <w:bCs/>
                <w:color w:val="16324C"/>
              </w:rPr>
              <w:t xml:space="preserve">Why the incident anchor matters. </w:t>
            </w:r>
            <w:r>
              <w:rPr>
                <w:color w:val="1A1A1A"/>
              </w:rPr>
              <w:t>A concern with a documented precedent attached survives a sceptical director; a remembered anecdote does not. Round 1’s single named incident is what turns the rest of your row from opinion into argument.</w:t>
            </w:r>
          </w:p>
        </w:tc>
      </w:tr>
    </w:tbl>
    <w:p w14:paraId="7093578A" w14:textId="77777777" w:rsidR="00A44317" w:rsidRDefault="00A44317">
      <w:pPr>
        <w:spacing w:after="120"/>
      </w:pPr>
    </w:p>
    <w:p w14:paraId="5F924C41" w14:textId="77777777" w:rsidR="00A44317" w:rsidRDefault="00000000">
      <w:pPr>
        <w:pStyle w:val="Heading2"/>
        <w:spacing w:before="220" w:after="100"/>
      </w:pPr>
      <w:r>
        <w:rPr>
          <w:b/>
          <w:bCs/>
          <w:color w:val="16324C"/>
          <w:sz w:val="25"/>
          <w:szCs w:val="25"/>
        </w:rPr>
        <w:t>Scenario cards</w:t>
      </w:r>
    </w:p>
    <w:p w14:paraId="0A845506" w14:textId="77777777" w:rsidR="00A44317" w:rsidRDefault="00000000">
      <w:pPr>
        <w:spacing w:before="160" w:after="80" w:line="264" w:lineRule="auto"/>
        <w:jc w:val="both"/>
      </w:pPr>
      <w:r>
        <w:rPr>
          <w:b/>
          <w:bCs/>
          <w:color w:val="B87A1E"/>
          <w:sz w:val="22"/>
          <w:szCs w:val="22"/>
        </w:rPr>
        <w:t>Scenario A — Insider-threat monitoring</w:t>
      </w:r>
    </w:p>
    <w:p w14:paraId="11BE80E1" w14:textId="77777777" w:rsidR="00A44317" w:rsidRDefault="00000000">
      <w:pPr>
        <w:spacing w:after="120" w:line="264" w:lineRule="auto"/>
        <w:jc w:val="both"/>
      </w:pPr>
      <w:r>
        <w:rPr>
          <w:color w:val="1A1A1A"/>
        </w:rPr>
        <w:t>Your organisation proposes an AI system analysing employee communications and system behaviour to flag possible insider threats. It will process everyone continuously.</w:t>
      </w:r>
    </w:p>
    <w:p w14:paraId="5462E5F8" w14:textId="77777777" w:rsidR="00A44317" w:rsidRDefault="00000000">
      <w:pPr>
        <w:pStyle w:val="ListParagraph"/>
        <w:numPr>
          <w:ilvl w:val="0"/>
          <w:numId w:val="2"/>
        </w:numPr>
        <w:spacing w:after="60" w:line="264" w:lineRule="auto"/>
        <w:jc w:val="both"/>
      </w:pPr>
      <w:r>
        <w:rPr>
          <w:b/>
          <w:bCs/>
          <w:color w:val="1A1A1A"/>
        </w:rPr>
        <w:t xml:space="preserve">Round 1 </w:t>
      </w:r>
      <w:proofErr w:type="gramStart"/>
      <w:r>
        <w:rPr>
          <w:b/>
          <w:bCs/>
          <w:color w:val="1A1A1A"/>
        </w:rPr>
        <w:t>searches</w:t>
      </w:r>
      <w:proofErr w:type="gramEnd"/>
      <w:r>
        <w:rPr>
          <w:b/>
          <w:bCs/>
          <w:color w:val="1A1A1A"/>
        </w:rPr>
        <w:t xml:space="preserve">: </w:t>
      </w:r>
      <w:r>
        <w:rPr>
          <w:color w:val="1A1A1A"/>
        </w:rPr>
        <w:t>“employee monitoring” · “workplace surveillance” · “productivity”</w:t>
      </w:r>
    </w:p>
    <w:p w14:paraId="711D37B4" w14:textId="77777777" w:rsidR="00A44317" w:rsidRDefault="00000000">
      <w:pPr>
        <w:pStyle w:val="ListParagraph"/>
        <w:numPr>
          <w:ilvl w:val="0"/>
          <w:numId w:val="2"/>
        </w:numPr>
        <w:spacing w:after="100" w:line="264" w:lineRule="auto"/>
        <w:jc w:val="both"/>
      </w:pPr>
      <w:r>
        <w:rPr>
          <w:b/>
          <w:bCs/>
          <w:color w:val="1A1A1A"/>
        </w:rPr>
        <w:t xml:space="preserve">Round 3 model card: </w:t>
      </w:r>
      <w:hyperlink r:id="rId14" w:history="1">
        <w:r>
          <w:rPr>
            <w:color w:val="51708D"/>
            <w:u w:val="single"/>
          </w:rPr>
          <w:t>https://developers.perspectiveapi.com/s/about-the-api-model-cards</w:t>
        </w:r>
      </w:hyperlink>
      <w:r>
        <w:rPr>
          <w:color w:val="1A1A1A"/>
        </w:rPr>
        <w:t xml:space="preserve"> — the published card family for a real text-analysis system of the kind such monitoring would embed. Look for training-data provenance, evaluated languages, identity-term error analysis, and stated unsupported uses.</w:t>
      </w:r>
    </w:p>
    <w:p w14:paraId="08EEE1B7" w14:textId="77777777" w:rsidR="00A44317" w:rsidRDefault="00000000">
      <w:pPr>
        <w:spacing w:before="160" w:after="80" w:line="264" w:lineRule="auto"/>
        <w:jc w:val="both"/>
      </w:pPr>
      <w:r>
        <w:rPr>
          <w:b/>
          <w:bCs/>
          <w:color w:val="B87A1E"/>
          <w:sz w:val="22"/>
          <w:szCs w:val="22"/>
        </w:rPr>
        <w:t>Scenario B — Forensic evidence triage</w:t>
      </w:r>
    </w:p>
    <w:p w14:paraId="4F55DD8E" w14:textId="77777777" w:rsidR="00A44317" w:rsidRDefault="00000000">
      <w:pPr>
        <w:spacing w:after="120" w:line="264" w:lineRule="auto"/>
        <w:jc w:val="both"/>
      </w:pPr>
      <w:r>
        <w:rPr>
          <w:color w:val="1A1A1A"/>
        </w:rPr>
        <w:t>A lab with a large device backlog proposes an AI system to rank seized devices by likely evidential value, so examiners work the highest-ranked first.</w:t>
      </w:r>
    </w:p>
    <w:p w14:paraId="2C2173A5" w14:textId="77777777" w:rsidR="00A44317" w:rsidRDefault="00000000">
      <w:pPr>
        <w:pStyle w:val="ListParagraph"/>
        <w:numPr>
          <w:ilvl w:val="0"/>
          <w:numId w:val="2"/>
        </w:numPr>
        <w:spacing w:after="60" w:line="264" w:lineRule="auto"/>
        <w:jc w:val="both"/>
      </w:pPr>
      <w:r>
        <w:rPr>
          <w:b/>
          <w:bCs/>
          <w:color w:val="1A1A1A"/>
        </w:rPr>
        <w:t xml:space="preserve">Round 1 </w:t>
      </w:r>
      <w:proofErr w:type="gramStart"/>
      <w:r>
        <w:rPr>
          <w:b/>
          <w:bCs/>
          <w:color w:val="1A1A1A"/>
        </w:rPr>
        <w:t>searches</w:t>
      </w:r>
      <w:proofErr w:type="gramEnd"/>
      <w:r>
        <w:rPr>
          <w:b/>
          <w:bCs/>
          <w:color w:val="1A1A1A"/>
        </w:rPr>
        <w:t xml:space="preserve">: </w:t>
      </w:r>
      <w:r>
        <w:rPr>
          <w:color w:val="1A1A1A"/>
        </w:rPr>
        <w:t>“facial recognition arrest” · “predictive policing” · “image classification error”</w:t>
      </w:r>
    </w:p>
    <w:p w14:paraId="1A5E395D" w14:textId="77777777" w:rsidR="00A44317" w:rsidRDefault="00000000">
      <w:pPr>
        <w:pStyle w:val="ListParagraph"/>
        <w:numPr>
          <w:ilvl w:val="0"/>
          <w:numId w:val="2"/>
        </w:numPr>
        <w:spacing w:after="100" w:line="264" w:lineRule="auto"/>
        <w:jc w:val="both"/>
      </w:pPr>
      <w:r>
        <w:rPr>
          <w:b/>
          <w:bCs/>
          <w:color w:val="1A1A1A"/>
        </w:rPr>
        <w:t xml:space="preserve">Round 3 model card: </w:t>
      </w:r>
      <w:hyperlink r:id="rId15" w:history="1">
        <w:r>
          <w:rPr>
            <w:color w:val="51708D"/>
            <w:u w:val="single"/>
          </w:rPr>
          <w:t>https://huggingface.co/Falconsai/nsfw_image_detection</w:t>
        </w:r>
      </w:hyperlink>
      <w:r>
        <w:rPr>
          <w:color w:val="1A1A1A"/>
        </w:rPr>
        <w:t xml:space="preserve"> — a real, widely downloaded image-screening model of the </w:t>
      </w:r>
      <w:proofErr w:type="gramStart"/>
      <w:r>
        <w:rPr>
          <w:color w:val="1A1A1A"/>
        </w:rPr>
        <w:t>type</w:t>
      </w:r>
      <w:proofErr w:type="gramEnd"/>
      <w:r>
        <w:rPr>
          <w:color w:val="1A1A1A"/>
        </w:rPr>
        <w:t xml:space="preserve"> triage pipelines embed. Read what the card says about data and accuracy — and note what it conspicuously does not say: thresholds, subgroup evaluation, misuse handling.</w:t>
      </w:r>
    </w:p>
    <w:p w14:paraId="2BCB7602" w14:textId="77777777" w:rsidR="00A44317" w:rsidRDefault="00000000">
      <w:pPr>
        <w:spacing w:before="160" w:after="80" w:line="264" w:lineRule="auto"/>
        <w:jc w:val="both"/>
      </w:pPr>
      <w:r>
        <w:rPr>
          <w:b/>
          <w:bCs/>
          <w:color w:val="B87A1E"/>
          <w:sz w:val="22"/>
          <w:szCs w:val="22"/>
        </w:rPr>
        <w:t>Scenario C — Automated harm detection</w:t>
      </w:r>
    </w:p>
    <w:p w14:paraId="377B00AC" w14:textId="77777777" w:rsidR="00A44317" w:rsidRDefault="00000000">
      <w:pPr>
        <w:spacing w:after="120" w:line="264" w:lineRule="auto"/>
        <w:jc w:val="both"/>
      </w:pPr>
      <w:r>
        <w:rPr>
          <w:color w:val="1A1A1A"/>
        </w:rPr>
        <w:t>A platform proposes an AI system to detect and automatically restrict abusive or misleading content at scale, with human review only on appeal.</w:t>
      </w:r>
    </w:p>
    <w:p w14:paraId="04D58714" w14:textId="77777777" w:rsidR="00A44317" w:rsidRDefault="00000000">
      <w:pPr>
        <w:pStyle w:val="ListParagraph"/>
        <w:numPr>
          <w:ilvl w:val="0"/>
          <w:numId w:val="2"/>
        </w:numPr>
        <w:spacing w:after="60" w:line="264" w:lineRule="auto"/>
        <w:jc w:val="both"/>
      </w:pPr>
      <w:r>
        <w:rPr>
          <w:b/>
          <w:bCs/>
          <w:color w:val="1A1A1A"/>
        </w:rPr>
        <w:t xml:space="preserve">Round 1 </w:t>
      </w:r>
      <w:proofErr w:type="gramStart"/>
      <w:r>
        <w:rPr>
          <w:b/>
          <w:bCs/>
          <w:color w:val="1A1A1A"/>
        </w:rPr>
        <w:t>searches</w:t>
      </w:r>
      <w:proofErr w:type="gramEnd"/>
      <w:r>
        <w:rPr>
          <w:b/>
          <w:bCs/>
          <w:color w:val="1A1A1A"/>
        </w:rPr>
        <w:t xml:space="preserve">: </w:t>
      </w:r>
      <w:r>
        <w:rPr>
          <w:color w:val="1A1A1A"/>
        </w:rPr>
        <w:t>“content moderation” · “toxicity” · “hate speech”</w:t>
      </w:r>
    </w:p>
    <w:p w14:paraId="0EABAD69" w14:textId="77777777" w:rsidR="00A44317" w:rsidRDefault="00000000">
      <w:pPr>
        <w:pStyle w:val="ListParagraph"/>
        <w:numPr>
          <w:ilvl w:val="0"/>
          <w:numId w:val="2"/>
        </w:numPr>
        <w:spacing w:after="60" w:line="264" w:lineRule="auto"/>
        <w:jc w:val="both"/>
      </w:pPr>
      <w:r>
        <w:rPr>
          <w:b/>
          <w:bCs/>
          <w:color w:val="1A1A1A"/>
        </w:rPr>
        <w:t xml:space="preserve">Round 3 model card: </w:t>
      </w:r>
      <w:hyperlink r:id="rId16" w:history="1">
        <w:r>
          <w:rPr>
            <w:color w:val="51708D"/>
            <w:u w:val="single"/>
          </w:rPr>
          <w:t>https://huggingface.co/unitary/toxic-bert</w:t>
        </w:r>
      </w:hyperlink>
      <w:r>
        <w:rPr>
          <w:color w:val="1A1A1A"/>
        </w:rPr>
        <w:t xml:space="preserve"> — a real toxicity classifier trained on the Jigsaw challenge data; its card discusses bias openly. Note what is present, and what is absent: deployment thresholds, per-language coverage.</w:t>
      </w:r>
    </w:p>
    <w:p w14:paraId="6B284FE3" w14:textId="77777777" w:rsidR="00A44317" w:rsidRPr="00C739E9" w:rsidRDefault="00000000">
      <w:pPr>
        <w:pStyle w:val="ListParagraph"/>
        <w:numPr>
          <w:ilvl w:val="0"/>
          <w:numId w:val="2"/>
        </w:numPr>
        <w:spacing w:after="120" w:line="264" w:lineRule="auto"/>
        <w:jc w:val="both"/>
      </w:pPr>
      <w:r>
        <w:rPr>
          <w:b/>
          <w:bCs/>
          <w:color w:val="1A1A1A"/>
        </w:rPr>
        <w:t xml:space="preserve">Optional 2-minute probe (C only): </w:t>
      </w:r>
      <w:r>
        <w:rPr>
          <w:color w:val="1A1A1A"/>
        </w:rPr>
        <w:t xml:space="preserve">the interactive demo box on </w:t>
      </w:r>
      <w:hyperlink r:id="rId17" w:history="1">
        <w:r>
          <w:rPr>
            <w:color w:val="51708D"/>
            <w:u w:val="single"/>
          </w:rPr>
          <w:t>https://www.perspectiveapi.com</w:t>
        </w:r>
      </w:hyperlink>
      <w:r>
        <w:rPr>
          <w:color w:val="1A1A1A"/>
        </w:rPr>
        <w:t xml:space="preserve"> — score a neutral, non-abusive sentence, then the same sentence with an identity term added, and note any score shift. Identity-term false positives in toxicity models are a documented pattern (Appendix D); watching one score move teaches it faster than being told. </w:t>
      </w:r>
      <w:r>
        <w:rPr>
          <w:b/>
          <w:bCs/>
          <w:color w:val="1A1A1A"/>
        </w:rPr>
        <w:t>Neutral sentences only</w:t>
      </w:r>
      <w:r>
        <w:rPr>
          <w:color w:val="1A1A1A"/>
        </w:rPr>
        <w:t xml:space="preserve"> — this is a measurement exercise, not a provocation exercise.</w:t>
      </w:r>
    </w:p>
    <w:p w14:paraId="42A84AA8" w14:textId="77777777" w:rsidR="00C739E9" w:rsidRDefault="00C739E9" w:rsidP="00C739E9">
      <w:pPr>
        <w:spacing w:after="120" w:line="264" w:lineRule="auto"/>
        <w:jc w:val="both"/>
      </w:pPr>
    </w:p>
    <w:p w14:paraId="5E74D448" w14:textId="77777777" w:rsidR="00C739E9" w:rsidRDefault="00C739E9" w:rsidP="00C739E9">
      <w:pPr>
        <w:spacing w:after="120" w:line="264" w:lineRule="auto"/>
        <w:jc w:val="both"/>
      </w:pPr>
    </w:p>
    <w:p w14:paraId="048DA0E5" w14:textId="77777777" w:rsidR="00A44317" w:rsidRDefault="00000000">
      <w:pPr>
        <w:pStyle w:val="Heading2"/>
        <w:spacing w:before="220" w:after="100"/>
      </w:pPr>
      <w:r>
        <w:rPr>
          <w:b/>
          <w:bCs/>
          <w:color w:val="16324C"/>
          <w:sz w:val="25"/>
          <w:szCs w:val="25"/>
        </w:rPr>
        <w:lastRenderedPageBreak/>
        <w:t>Round 3 checklist — the six trustworthiness properties</w:t>
      </w:r>
    </w:p>
    <w:p w14:paraId="4862142F" w14:textId="77777777" w:rsidR="00A44317" w:rsidRDefault="00000000">
      <w:pPr>
        <w:spacing w:after="80" w:line="264" w:lineRule="auto"/>
        <w:jc w:val="both"/>
      </w:pPr>
      <w:r>
        <w:rPr>
          <w:color w:val="1A1A1A"/>
        </w:rPr>
        <w:t>Score your assigned card against the deck’s six properties. A tick needs a location in the card; a blank is a finding, not a failure of yours.</w:t>
      </w:r>
    </w:p>
    <w:tbl>
      <w:tblPr>
        <w:tblW w:w="9026" w:type="dxa"/>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CellMar>
          <w:left w:w="10" w:type="dxa"/>
          <w:right w:w="10" w:type="dxa"/>
        </w:tblCellMar>
        <w:tblLook w:val="0000" w:firstRow="0" w:lastRow="0" w:firstColumn="0" w:lastColumn="0" w:noHBand="0" w:noVBand="0"/>
      </w:tblPr>
      <w:tblGrid>
        <w:gridCol w:w="2600"/>
        <w:gridCol w:w="1300"/>
        <w:gridCol w:w="5126"/>
      </w:tblGrid>
      <w:tr w:rsidR="00A44317" w14:paraId="75DED5FE" w14:textId="77777777">
        <w:tblPrEx>
          <w:tblCellMar>
            <w:top w:w="0" w:type="dxa"/>
            <w:bottom w:w="0" w:type="dxa"/>
          </w:tblCellMar>
        </w:tblPrEx>
        <w:trPr>
          <w:tblHeader/>
        </w:trPr>
        <w:tc>
          <w:tcPr>
            <w:tcW w:w="2600" w:type="dxa"/>
            <w:shd w:val="clear" w:color="auto" w:fill="16324C"/>
            <w:tcMar>
              <w:top w:w="70" w:type="dxa"/>
              <w:left w:w="110" w:type="dxa"/>
              <w:bottom w:w="70" w:type="dxa"/>
              <w:right w:w="110" w:type="dxa"/>
            </w:tcMar>
          </w:tcPr>
          <w:p w14:paraId="75AD223E" w14:textId="77777777" w:rsidR="00A44317" w:rsidRDefault="00000000">
            <w:pPr>
              <w:spacing w:line="252" w:lineRule="auto"/>
            </w:pPr>
            <w:r>
              <w:rPr>
                <w:b/>
                <w:bCs/>
                <w:color w:val="FFFFFF"/>
                <w:sz w:val="19"/>
                <w:szCs w:val="19"/>
              </w:rPr>
              <w:t>Property</w:t>
            </w:r>
          </w:p>
        </w:tc>
        <w:tc>
          <w:tcPr>
            <w:tcW w:w="1300" w:type="dxa"/>
            <w:shd w:val="clear" w:color="auto" w:fill="16324C"/>
            <w:tcMar>
              <w:top w:w="70" w:type="dxa"/>
              <w:left w:w="110" w:type="dxa"/>
              <w:bottom w:w="70" w:type="dxa"/>
              <w:right w:w="110" w:type="dxa"/>
            </w:tcMar>
          </w:tcPr>
          <w:p w14:paraId="0E079631" w14:textId="77777777" w:rsidR="00A44317" w:rsidRDefault="00000000">
            <w:pPr>
              <w:spacing w:line="252" w:lineRule="auto"/>
            </w:pPr>
            <w:r>
              <w:rPr>
                <w:b/>
                <w:bCs/>
                <w:color w:val="FFFFFF"/>
                <w:sz w:val="19"/>
                <w:szCs w:val="19"/>
              </w:rPr>
              <w:t>In the card?</w:t>
            </w:r>
          </w:p>
        </w:tc>
        <w:tc>
          <w:tcPr>
            <w:tcW w:w="5126" w:type="dxa"/>
            <w:shd w:val="clear" w:color="auto" w:fill="16324C"/>
            <w:tcMar>
              <w:top w:w="70" w:type="dxa"/>
              <w:left w:w="110" w:type="dxa"/>
              <w:bottom w:w="70" w:type="dxa"/>
              <w:right w:w="110" w:type="dxa"/>
            </w:tcMar>
          </w:tcPr>
          <w:p w14:paraId="54199E68" w14:textId="77777777" w:rsidR="00A44317" w:rsidRDefault="00000000">
            <w:pPr>
              <w:spacing w:line="252" w:lineRule="auto"/>
            </w:pPr>
            <w:r>
              <w:rPr>
                <w:b/>
                <w:bCs/>
                <w:color w:val="FFFFFF"/>
                <w:sz w:val="19"/>
                <w:szCs w:val="19"/>
              </w:rPr>
              <w:t>Where documented / what is missing</w:t>
            </w:r>
          </w:p>
        </w:tc>
      </w:tr>
      <w:tr w:rsidR="00A44317" w14:paraId="7DFE58BD" w14:textId="77777777">
        <w:tblPrEx>
          <w:tblCellMar>
            <w:top w:w="0" w:type="dxa"/>
            <w:bottom w:w="0" w:type="dxa"/>
          </w:tblCellMar>
        </w:tblPrEx>
        <w:tc>
          <w:tcPr>
            <w:tcW w:w="2600" w:type="dxa"/>
            <w:tcMar>
              <w:top w:w="70" w:type="dxa"/>
              <w:left w:w="110" w:type="dxa"/>
              <w:bottom w:w="70" w:type="dxa"/>
              <w:right w:w="110" w:type="dxa"/>
            </w:tcMar>
          </w:tcPr>
          <w:p w14:paraId="00C465CB" w14:textId="77777777" w:rsidR="00A44317" w:rsidRDefault="00000000">
            <w:pPr>
              <w:spacing w:line="252" w:lineRule="auto"/>
            </w:pPr>
            <w:r>
              <w:rPr>
                <w:color w:val="1A1A1A"/>
                <w:sz w:val="19"/>
                <w:szCs w:val="19"/>
              </w:rPr>
              <w:t>Valid and reliable</w:t>
            </w:r>
          </w:p>
        </w:tc>
        <w:tc>
          <w:tcPr>
            <w:tcW w:w="1300" w:type="dxa"/>
            <w:tcMar>
              <w:top w:w="70" w:type="dxa"/>
              <w:left w:w="110" w:type="dxa"/>
              <w:bottom w:w="70" w:type="dxa"/>
              <w:right w:w="110" w:type="dxa"/>
            </w:tcMar>
          </w:tcPr>
          <w:p w14:paraId="0981BB3F" w14:textId="77777777" w:rsidR="00A44317" w:rsidRDefault="00A44317">
            <w:pPr>
              <w:spacing w:line="252" w:lineRule="auto"/>
            </w:pPr>
          </w:p>
        </w:tc>
        <w:tc>
          <w:tcPr>
            <w:tcW w:w="5126" w:type="dxa"/>
            <w:tcMar>
              <w:top w:w="70" w:type="dxa"/>
              <w:left w:w="110" w:type="dxa"/>
              <w:bottom w:w="70" w:type="dxa"/>
              <w:right w:w="110" w:type="dxa"/>
            </w:tcMar>
          </w:tcPr>
          <w:p w14:paraId="50F91097" w14:textId="77777777" w:rsidR="00A44317" w:rsidRDefault="00A44317">
            <w:pPr>
              <w:spacing w:line="252" w:lineRule="auto"/>
            </w:pPr>
          </w:p>
        </w:tc>
      </w:tr>
      <w:tr w:rsidR="00A44317" w14:paraId="48B0CDF5" w14:textId="77777777">
        <w:tblPrEx>
          <w:tblCellMar>
            <w:top w:w="0" w:type="dxa"/>
            <w:bottom w:w="0" w:type="dxa"/>
          </w:tblCellMar>
        </w:tblPrEx>
        <w:tc>
          <w:tcPr>
            <w:tcW w:w="2600" w:type="dxa"/>
            <w:tcMar>
              <w:top w:w="70" w:type="dxa"/>
              <w:left w:w="110" w:type="dxa"/>
              <w:bottom w:w="70" w:type="dxa"/>
              <w:right w:w="110" w:type="dxa"/>
            </w:tcMar>
          </w:tcPr>
          <w:p w14:paraId="219F5820" w14:textId="77777777" w:rsidR="00A44317" w:rsidRDefault="00000000">
            <w:pPr>
              <w:spacing w:line="252" w:lineRule="auto"/>
            </w:pPr>
            <w:r>
              <w:rPr>
                <w:color w:val="1A1A1A"/>
                <w:sz w:val="19"/>
                <w:szCs w:val="19"/>
              </w:rPr>
              <w:t>Safe and resilient</w:t>
            </w:r>
          </w:p>
        </w:tc>
        <w:tc>
          <w:tcPr>
            <w:tcW w:w="1300" w:type="dxa"/>
            <w:tcMar>
              <w:top w:w="70" w:type="dxa"/>
              <w:left w:w="110" w:type="dxa"/>
              <w:bottom w:w="70" w:type="dxa"/>
              <w:right w:w="110" w:type="dxa"/>
            </w:tcMar>
          </w:tcPr>
          <w:p w14:paraId="79049B10" w14:textId="77777777" w:rsidR="00A44317" w:rsidRDefault="00A44317">
            <w:pPr>
              <w:spacing w:line="252" w:lineRule="auto"/>
            </w:pPr>
          </w:p>
        </w:tc>
        <w:tc>
          <w:tcPr>
            <w:tcW w:w="5126" w:type="dxa"/>
            <w:tcMar>
              <w:top w:w="70" w:type="dxa"/>
              <w:left w:w="110" w:type="dxa"/>
              <w:bottom w:w="70" w:type="dxa"/>
              <w:right w:w="110" w:type="dxa"/>
            </w:tcMar>
          </w:tcPr>
          <w:p w14:paraId="40BDB40B" w14:textId="77777777" w:rsidR="00A44317" w:rsidRDefault="00A44317">
            <w:pPr>
              <w:spacing w:line="252" w:lineRule="auto"/>
            </w:pPr>
          </w:p>
        </w:tc>
      </w:tr>
      <w:tr w:rsidR="00A44317" w14:paraId="0AB3C2AA" w14:textId="77777777">
        <w:tblPrEx>
          <w:tblCellMar>
            <w:top w:w="0" w:type="dxa"/>
            <w:bottom w:w="0" w:type="dxa"/>
          </w:tblCellMar>
        </w:tblPrEx>
        <w:tc>
          <w:tcPr>
            <w:tcW w:w="2600" w:type="dxa"/>
            <w:tcMar>
              <w:top w:w="70" w:type="dxa"/>
              <w:left w:w="110" w:type="dxa"/>
              <w:bottom w:w="70" w:type="dxa"/>
              <w:right w:w="110" w:type="dxa"/>
            </w:tcMar>
          </w:tcPr>
          <w:p w14:paraId="41DA002D" w14:textId="77777777" w:rsidR="00A44317" w:rsidRDefault="00000000">
            <w:pPr>
              <w:spacing w:line="252" w:lineRule="auto"/>
            </w:pPr>
            <w:r>
              <w:rPr>
                <w:color w:val="1A1A1A"/>
                <w:sz w:val="19"/>
                <w:szCs w:val="19"/>
              </w:rPr>
              <w:t>Accountable and transparent</w:t>
            </w:r>
          </w:p>
        </w:tc>
        <w:tc>
          <w:tcPr>
            <w:tcW w:w="1300" w:type="dxa"/>
            <w:tcMar>
              <w:top w:w="70" w:type="dxa"/>
              <w:left w:w="110" w:type="dxa"/>
              <w:bottom w:w="70" w:type="dxa"/>
              <w:right w:w="110" w:type="dxa"/>
            </w:tcMar>
          </w:tcPr>
          <w:p w14:paraId="6345A5D2" w14:textId="77777777" w:rsidR="00A44317" w:rsidRDefault="00A44317">
            <w:pPr>
              <w:spacing w:line="252" w:lineRule="auto"/>
            </w:pPr>
          </w:p>
        </w:tc>
        <w:tc>
          <w:tcPr>
            <w:tcW w:w="5126" w:type="dxa"/>
            <w:tcMar>
              <w:top w:w="70" w:type="dxa"/>
              <w:left w:w="110" w:type="dxa"/>
              <w:bottom w:w="70" w:type="dxa"/>
              <w:right w:w="110" w:type="dxa"/>
            </w:tcMar>
          </w:tcPr>
          <w:p w14:paraId="01F76393" w14:textId="77777777" w:rsidR="00A44317" w:rsidRDefault="00A44317">
            <w:pPr>
              <w:spacing w:line="252" w:lineRule="auto"/>
            </w:pPr>
          </w:p>
        </w:tc>
      </w:tr>
      <w:tr w:rsidR="00A44317" w14:paraId="6B9F0C39" w14:textId="77777777">
        <w:tblPrEx>
          <w:tblCellMar>
            <w:top w:w="0" w:type="dxa"/>
            <w:bottom w:w="0" w:type="dxa"/>
          </w:tblCellMar>
        </w:tblPrEx>
        <w:tc>
          <w:tcPr>
            <w:tcW w:w="2600" w:type="dxa"/>
            <w:tcMar>
              <w:top w:w="70" w:type="dxa"/>
              <w:left w:w="110" w:type="dxa"/>
              <w:bottom w:w="70" w:type="dxa"/>
              <w:right w:w="110" w:type="dxa"/>
            </w:tcMar>
          </w:tcPr>
          <w:p w14:paraId="2D3FB972" w14:textId="77777777" w:rsidR="00A44317" w:rsidRDefault="00000000">
            <w:pPr>
              <w:spacing w:line="252" w:lineRule="auto"/>
            </w:pPr>
            <w:r>
              <w:rPr>
                <w:color w:val="1A1A1A"/>
                <w:sz w:val="19"/>
                <w:szCs w:val="19"/>
              </w:rPr>
              <w:t>Explainable and interpretable</w:t>
            </w:r>
          </w:p>
        </w:tc>
        <w:tc>
          <w:tcPr>
            <w:tcW w:w="1300" w:type="dxa"/>
            <w:tcMar>
              <w:top w:w="70" w:type="dxa"/>
              <w:left w:w="110" w:type="dxa"/>
              <w:bottom w:w="70" w:type="dxa"/>
              <w:right w:w="110" w:type="dxa"/>
            </w:tcMar>
          </w:tcPr>
          <w:p w14:paraId="00BA120A" w14:textId="77777777" w:rsidR="00A44317" w:rsidRDefault="00A44317">
            <w:pPr>
              <w:spacing w:line="252" w:lineRule="auto"/>
            </w:pPr>
          </w:p>
        </w:tc>
        <w:tc>
          <w:tcPr>
            <w:tcW w:w="5126" w:type="dxa"/>
            <w:tcMar>
              <w:top w:w="70" w:type="dxa"/>
              <w:left w:w="110" w:type="dxa"/>
              <w:bottom w:w="70" w:type="dxa"/>
              <w:right w:w="110" w:type="dxa"/>
            </w:tcMar>
          </w:tcPr>
          <w:p w14:paraId="7D52C6BC" w14:textId="77777777" w:rsidR="00A44317" w:rsidRDefault="00A44317">
            <w:pPr>
              <w:spacing w:line="252" w:lineRule="auto"/>
            </w:pPr>
          </w:p>
        </w:tc>
      </w:tr>
      <w:tr w:rsidR="00A44317" w14:paraId="4ABAAE6B" w14:textId="77777777">
        <w:tblPrEx>
          <w:tblCellMar>
            <w:top w:w="0" w:type="dxa"/>
            <w:bottom w:w="0" w:type="dxa"/>
          </w:tblCellMar>
        </w:tblPrEx>
        <w:tc>
          <w:tcPr>
            <w:tcW w:w="2600" w:type="dxa"/>
            <w:tcMar>
              <w:top w:w="70" w:type="dxa"/>
              <w:left w:w="110" w:type="dxa"/>
              <w:bottom w:w="70" w:type="dxa"/>
              <w:right w:w="110" w:type="dxa"/>
            </w:tcMar>
          </w:tcPr>
          <w:p w14:paraId="4FA4E64F" w14:textId="77777777" w:rsidR="00A44317" w:rsidRDefault="00000000">
            <w:pPr>
              <w:spacing w:line="252" w:lineRule="auto"/>
            </w:pPr>
            <w:r>
              <w:rPr>
                <w:color w:val="1A1A1A"/>
                <w:sz w:val="19"/>
                <w:szCs w:val="19"/>
              </w:rPr>
              <w:t>Privacy-enhanced</w:t>
            </w:r>
          </w:p>
        </w:tc>
        <w:tc>
          <w:tcPr>
            <w:tcW w:w="1300" w:type="dxa"/>
            <w:tcMar>
              <w:top w:w="70" w:type="dxa"/>
              <w:left w:w="110" w:type="dxa"/>
              <w:bottom w:w="70" w:type="dxa"/>
              <w:right w:w="110" w:type="dxa"/>
            </w:tcMar>
          </w:tcPr>
          <w:p w14:paraId="04244B6E" w14:textId="77777777" w:rsidR="00A44317" w:rsidRDefault="00A44317">
            <w:pPr>
              <w:spacing w:line="252" w:lineRule="auto"/>
            </w:pPr>
          </w:p>
        </w:tc>
        <w:tc>
          <w:tcPr>
            <w:tcW w:w="5126" w:type="dxa"/>
            <w:tcMar>
              <w:top w:w="70" w:type="dxa"/>
              <w:left w:w="110" w:type="dxa"/>
              <w:bottom w:w="70" w:type="dxa"/>
              <w:right w:w="110" w:type="dxa"/>
            </w:tcMar>
          </w:tcPr>
          <w:p w14:paraId="7F6E6F8F" w14:textId="77777777" w:rsidR="00A44317" w:rsidRDefault="00A44317">
            <w:pPr>
              <w:spacing w:line="252" w:lineRule="auto"/>
            </w:pPr>
          </w:p>
        </w:tc>
      </w:tr>
      <w:tr w:rsidR="00A44317" w14:paraId="311CAE7E" w14:textId="77777777">
        <w:tblPrEx>
          <w:tblCellMar>
            <w:top w:w="0" w:type="dxa"/>
            <w:bottom w:w="0" w:type="dxa"/>
          </w:tblCellMar>
        </w:tblPrEx>
        <w:tc>
          <w:tcPr>
            <w:tcW w:w="2600" w:type="dxa"/>
            <w:tcMar>
              <w:top w:w="70" w:type="dxa"/>
              <w:left w:w="110" w:type="dxa"/>
              <w:bottom w:w="70" w:type="dxa"/>
              <w:right w:w="110" w:type="dxa"/>
            </w:tcMar>
          </w:tcPr>
          <w:p w14:paraId="76C2273E" w14:textId="77777777" w:rsidR="00A44317" w:rsidRDefault="00000000">
            <w:pPr>
              <w:spacing w:line="252" w:lineRule="auto"/>
            </w:pPr>
            <w:r>
              <w:rPr>
                <w:color w:val="1A1A1A"/>
                <w:sz w:val="19"/>
                <w:szCs w:val="19"/>
              </w:rPr>
              <w:t>Harmful bias managed</w:t>
            </w:r>
          </w:p>
        </w:tc>
        <w:tc>
          <w:tcPr>
            <w:tcW w:w="1300" w:type="dxa"/>
            <w:tcMar>
              <w:top w:w="70" w:type="dxa"/>
              <w:left w:w="110" w:type="dxa"/>
              <w:bottom w:w="70" w:type="dxa"/>
              <w:right w:w="110" w:type="dxa"/>
            </w:tcMar>
          </w:tcPr>
          <w:p w14:paraId="116876B4" w14:textId="77777777" w:rsidR="00A44317" w:rsidRDefault="00A44317">
            <w:pPr>
              <w:spacing w:line="252" w:lineRule="auto"/>
            </w:pPr>
          </w:p>
        </w:tc>
        <w:tc>
          <w:tcPr>
            <w:tcW w:w="5126" w:type="dxa"/>
            <w:tcMar>
              <w:top w:w="70" w:type="dxa"/>
              <w:left w:w="110" w:type="dxa"/>
              <w:bottom w:w="70" w:type="dxa"/>
              <w:right w:w="110" w:type="dxa"/>
            </w:tcMar>
          </w:tcPr>
          <w:p w14:paraId="6F9E908F" w14:textId="77777777" w:rsidR="00A44317" w:rsidRDefault="00A44317">
            <w:pPr>
              <w:spacing w:line="252" w:lineRule="auto"/>
            </w:pPr>
          </w:p>
        </w:tc>
      </w:tr>
    </w:tbl>
    <w:p w14:paraId="345EEB05" w14:textId="77777777" w:rsidR="00A44317" w:rsidRDefault="00A44317">
      <w:pPr>
        <w:spacing w:after="120"/>
      </w:pPr>
    </w:p>
    <w:p w14:paraId="666AF19D" w14:textId="669BEA65" w:rsidR="00A44317" w:rsidRDefault="00000000">
      <w:pPr>
        <w:pStyle w:val="Heading1"/>
        <w:spacing w:before="260" w:after="120"/>
      </w:pPr>
      <w:r>
        <w:rPr>
          <w:b/>
          <w:bCs/>
          <w:color w:val="16324C"/>
          <w:sz w:val="30"/>
          <w:szCs w:val="30"/>
        </w:rPr>
        <w:t xml:space="preserve">Appendix </w:t>
      </w:r>
      <w:r w:rsidR="00A05D46">
        <w:rPr>
          <w:b/>
          <w:bCs/>
          <w:color w:val="16324C"/>
          <w:sz w:val="30"/>
          <w:szCs w:val="30"/>
        </w:rPr>
        <w:t>A</w:t>
      </w:r>
      <w:r>
        <w:rPr>
          <w:b/>
          <w:bCs/>
          <w:color w:val="16324C"/>
          <w:sz w:val="30"/>
          <w:szCs w:val="30"/>
        </w:rPr>
        <w:t xml:space="preserve"> · Glossary in plain words</w:t>
      </w:r>
    </w:p>
    <w:p w14:paraId="2FC409AD" w14:textId="77777777" w:rsidR="00A44317" w:rsidRDefault="00000000">
      <w:pPr>
        <w:pStyle w:val="ListParagraph"/>
        <w:numPr>
          <w:ilvl w:val="0"/>
          <w:numId w:val="2"/>
        </w:numPr>
        <w:spacing w:after="50" w:line="264" w:lineRule="auto"/>
        <w:jc w:val="both"/>
      </w:pPr>
      <w:r>
        <w:rPr>
          <w:b/>
          <w:bCs/>
          <w:color w:val="1A1A1A"/>
        </w:rPr>
        <w:t xml:space="preserve">Proportionality test — </w:t>
      </w:r>
      <w:r>
        <w:rPr>
          <w:color w:val="1A1A1A"/>
        </w:rPr>
        <w:t>Four questions asked before deployment, not after: is there a clear legal basis; is the aim specific and stated; is the intrusion the least required; and who authorises, reviews, and hears the wrongly affected.</w:t>
      </w:r>
    </w:p>
    <w:p w14:paraId="0EB3EC12" w14:textId="77777777" w:rsidR="00A44317" w:rsidRDefault="00000000">
      <w:pPr>
        <w:pStyle w:val="ListParagraph"/>
        <w:numPr>
          <w:ilvl w:val="0"/>
          <w:numId w:val="2"/>
        </w:numPr>
        <w:spacing w:after="50" w:line="264" w:lineRule="auto"/>
        <w:jc w:val="both"/>
      </w:pPr>
      <w:r>
        <w:rPr>
          <w:b/>
          <w:bCs/>
          <w:color w:val="1A1A1A"/>
        </w:rPr>
        <w:t xml:space="preserve">False positive / false negative — </w:t>
      </w:r>
      <w:r>
        <w:rPr>
          <w:color w:val="1A1A1A"/>
        </w:rPr>
        <w:t>The innocent flagged / the guilty missed. Different victims, different visibility — the operator feels the second, strangers absorb the first.</w:t>
      </w:r>
    </w:p>
    <w:p w14:paraId="27742730" w14:textId="77777777" w:rsidR="00A44317" w:rsidRDefault="00000000">
      <w:pPr>
        <w:pStyle w:val="ListParagraph"/>
        <w:numPr>
          <w:ilvl w:val="0"/>
          <w:numId w:val="2"/>
        </w:numPr>
        <w:spacing w:after="50" w:line="264" w:lineRule="auto"/>
        <w:jc w:val="both"/>
      </w:pPr>
      <w:r>
        <w:rPr>
          <w:b/>
          <w:bCs/>
          <w:color w:val="1A1A1A"/>
        </w:rPr>
        <w:t xml:space="preserve">Error bearer — </w:t>
      </w:r>
      <w:r>
        <w:rPr>
          <w:color w:val="1A1A1A"/>
        </w:rPr>
        <w:t>The person who absorbs the cost of a given mistake. Setting a threshold decides, in advance, how errors are distributed between two groups of people.</w:t>
      </w:r>
    </w:p>
    <w:p w14:paraId="2E101C34" w14:textId="77777777" w:rsidR="00A44317" w:rsidRDefault="00000000">
      <w:pPr>
        <w:pStyle w:val="ListParagraph"/>
        <w:numPr>
          <w:ilvl w:val="0"/>
          <w:numId w:val="2"/>
        </w:numPr>
        <w:spacing w:after="50" w:line="264" w:lineRule="auto"/>
        <w:jc w:val="both"/>
      </w:pPr>
      <w:r>
        <w:rPr>
          <w:b/>
          <w:bCs/>
          <w:color w:val="1A1A1A"/>
        </w:rPr>
        <w:t xml:space="preserve">Five-column map — </w:t>
      </w:r>
      <w:r>
        <w:rPr>
          <w:color w:val="1A1A1A"/>
        </w:rPr>
        <w:t>The five places bias enters a system: the world, the sample, the labels, the features, the threshold. ‘The data is biased’ is a diagnosis with five possible locations — name one before proposing a fix.</w:t>
      </w:r>
    </w:p>
    <w:p w14:paraId="3B16C079" w14:textId="77777777" w:rsidR="00A44317" w:rsidRDefault="00000000">
      <w:pPr>
        <w:pStyle w:val="ListParagraph"/>
        <w:numPr>
          <w:ilvl w:val="0"/>
          <w:numId w:val="2"/>
        </w:numPr>
        <w:spacing w:after="50" w:line="264" w:lineRule="auto"/>
        <w:jc w:val="both"/>
      </w:pPr>
      <w:r>
        <w:rPr>
          <w:b/>
          <w:bCs/>
          <w:color w:val="1A1A1A"/>
        </w:rPr>
        <w:t xml:space="preserve">Fairness criterion — </w:t>
      </w:r>
      <w:r>
        <w:rPr>
          <w:color w:val="1A1A1A"/>
        </w:rPr>
        <w:t>A precise rule for what ‘treated fairly’ means (equal error rates, equal selection rates, and others). They conflict mathematically, so adopting one is a documented judgement, not a computation.</w:t>
      </w:r>
    </w:p>
    <w:p w14:paraId="72E2A3AB" w14:textId="77777777" w:rsidR="00A44317" w:rsidRDefault="00000000">
      <w:pPr>
        <w:pStyle w:val="ListParagraph"/>
        <w:numPr>
          <w:ilvl w:val="0"/>
          <w:numId w:val="2"/>
        </w:numPr>
        <w:spacing w:after="50" w:line="264" w:lineRule="auto"/>
        <w:jc w:val="both"/>
      </w:pPr>
      <w:r>
        <w:rPr>
          <w:b/>
          <w:bCs/>
          <w:color w:val="1A1A1A"/>
        </w:rPr>
        <w:t xml:space="preserve">Model card — </w:t>
      </w:r>
      <w:r>
        <w:rPr>
          <w:color w:val="1A1A1A"/>
        </w:rPr>
        <w:t>A published datasheet for a model: training data, intended use, evaluation, known limits. What a card omits is as informative as what it states.</w:t>
      </w:r>
    </w:p>
    <w:p w14:paraId="7BADBC6C" w14:textId="77777777" w:rsidR="00A44317" w:rsidRDefault="00000000">
      <w:pPr>
        <w:pStyle w:val="ListParagraph"/>
        <w:numPr>
          <w:ilvl w:val="0"/>
          <w:numId w:val="2"/>
        </w:numPr>
        <w:spacing w:after="50" w:line="264" w:lineRule="auto"/>
        <w:jc w:val="both"/>
      </w:pPr>
      <w:r>
        <w:rPr>
          <w:b/>
          <w:bCs/>
          <w:color w:val="1A1A1A"/>
        </w:rPr>
        <w:t xml:space="preserve">Transparency requirement — </w:t>
      </w:r>
      <w:r>
        <w:rPr>
          <w:color w:val="1A1A1A"/>
        </w:rPr>
        <w:t>A specific disclosure with an audience attached — to the subject, to the record, or to the proceedings — rather than a general wish to ‘be transparent’.</w:t>
      </w:r>
    </w:p>
    <w:p w14:paraId="53226B40" w14:textId="77777777" w:rsidR="00A44317" w:rsidRDefault="00000000">
      <w:pPr>
        <w:pStyle w:val="ListParagraph"/>
        <w:numPr>
          <w:ilvl w:val="0"/>
          <w:numId w:val="2"/>
        </w:numPr>
        <w:spacing w:after="50" w:line="264" w:lineRule="auto"/>
        <w:jc w:val="both"/>
      </w:pPr>
      <w:r>
        <w:rPr>
          <w:b/>
          <w:bCs/>
          <w:color w:val="1A1A1A"/>
        </w:rPr>
        <w:t xml:space="preserve">Gate / artefact — </w:t>
      </w:r>
      <w:r>
        <w:rPr>
          <w:color w:val="1A1A1A"/>
        </w:rPr>
        <w:t>A gate is a checkpoint a deployment must pass; an artefact is the document that must exist to pass it. Together they turn a principle into governance.</w:t>
      </w:r>
    </w:p>
    <w:p w14:paraId="6A79655E" w14:textId="77777777" w:rsidR="00A44317" w:rsidRDefault="00000000">
      <w:pPr>
        <w:pStyle w:val="ListParagraph"/>
        <w:numPr>
          <w:ilvl w:val="0"/>
          <w:numId w:val="2"/>
        </w:numPr>
        <w:spacing w:after="50" w:line="264" w:lineRule="auto"/>
        <w:jc w:val="both"/>
      </w:pPr>
      <w:r>
        <w:rPr>
          <w:b/>
          <w:bCs/>
          <w:color w:val="1A1A1A"/>
        </w:rPr>
        <w:t xml:space="preserve">Function creep — </w:t>
      </w:r>
      <w:r>
        <w:rPr>
          <w:color w:val="1A1A1A"/>
        </w:rPr>
        <w:t xml:space="preserve">A system drifting into uses nobody authorised, one </w:t>
      </w:r>
      <w:proofErr w:type="gramStart"/>
      <w:r>
        <w:rPr>
          <w:color w:val="1A1A1A"/>
        </w:rPr>
        <w:t>small defensible</w:t>
      </w:r>
      <w:proofErr w:type="gramEnd"/>
      <w:r>
        <w:rPr>
          <w:color w:val="1A1A1A"/>
        </w:rPr>
        <w:t xml:space="preserve"> step at a time. The working control is an expiry date with re-authorisation against the original written justification.</w:t>
      </w:r>
    </w:p>
    <w:p w14:paraId="4E32AF4C" w14:textId="77777777" w:rsidR="00A44317" w:rsidRDefault="00000000">
      <w:pPr>
        <w:pStyle w:val="ListParagraph"/>
        <w:numPr>
          <w:ilvl w:val="0"/>
          <w:numId w:val="2"/>
        </w:numPr>
        <w:spacing w:after="50" w:line="264" w:lineRule="auto"/>
        <w:jc w:val="both"/>
      </w:pPr>
      <w:r>
        <w:rPr>
          <w:b/>
          <w:bCs/>
          <w:color w:val="1A1A1A"/>
        </w:rPr>
        <w:t xml:space="preserve">Purpose limitation — </w:t>
      </w:r>
      <w:r>
        <w:rPr>
          <w:color w:val="1A1A1A"/>
        </w:rPr>
        <w:t>Data collected for one stated purpose is not quietly reused for another. The privacy interest most often lost at the retention stage.</w:t>
      </w:r>
    </w:p>
    <w:p w14:paraId="097BE2E2" w14:textId="77777777" w:rsidR="00A44317" w:rsidRDefault="00000000">
      <w:pPr>
        <w:pStyle w:val="ListParagraph"/>
        <w:numPr>
          <w:ilvl w:val="0"/>
          <w:numId w:val="2"/>
        </w:numPr>
        <w:spacing w:after="50" w:line="264" w:lineRule="auto"/>
        <w:jc w:val="both"/>
      </w:pPr>
      <w:r>
        <w:rPr>
          <w:b/>
          <w:bCs/>
          <w:color w:val="1A1A1A"/>
        </w:rPr>
        <w:t xml:space="preserve">Contextual integrity — </w:t>
      </w:r>
      <w:r>
        <w:rPr>
          <w:color w:val="1A1A1A"/>
        </w:rPr>
        <w:t>Information carries the norms of the context it was shared in; moving it to a new context can wrong someone even when nothing was ‘secret’.</w:t>
      </w:r>
    </w:p>
    <w:p w14:paraId="70BBBDA2" w14:textId="77777777" w:rsidR="00A44317" w:rsidRDefault="00000000">
      <w:pPr>
        <w:pStyle w:val="ListParagraph"/>
        <w:numPr>
          <w:ilvl w:val="0"/>
          <w:numId w:val="2"/>
        </w:numPr>
        <w:spacing w:after="50" w:line="264" w:lineRule="auto"/>
        <w:jc w:val="both"/>
      </w:pPr>
      <w:r>
        <w:rPr>
          <w:b/>
          <w:bCs/>
          <w:color w:val="1A1A1A"/>
        </w:rPr>
        <w:t xml:space="preserve">Liar’s dividend, second form — </w:t>
      </w:r>
      <w:r>
        <w:rPr>
          <w:color w:val="1A1A1A"/>
        </w:rPr>
        <w:t>Once documented algorithmic bias exists, any AI-assisted finding invites ‘your system is biased against people like me’. The defence is documentation prepared in advance, not indignation.</w:t>
      </w:r>
    </w:p>
    <w:p w14:paraId="6D66DF44" w14:textId="77777777" w:rsidR="00A44317" w:rsidRDefault="00000000">
      <w:pPr>
        <w:pStyle w:val="ListParagraph"/>
        <w:numPr>
          <w:ilvl w:val="0"/>
          <w:numId w:val="2"/>
        </w:numPr>
        <w:spacing w:after="50" w:line="264" w:lineRule="auto"/>
        <w:jc w:val="both"/>
      </w:pPr>
      <w:r>
        <w:rPr>
          <w:b/>
          <w:bCs/>
          <w:color w:val="1A1A1A"/>
        </w:rPr>
        <w:t xml:space="preserve">Automation bias — </w:t>
      </w:r>
      <w:r>
        <w:rPr>
          <w:color w:val="1A1A1A"/>
        </w:rPr>
        <w:t>The human tendency to over-trust a machine’s output under time pressure — how a ranked lead gets treated as an identification.</w:t>
      </w:r>
    </w:p>
    <w:p w14:paraId="1E9037CE" w14:textId="77777777" w:rsidR="00A44317" w:rsidRDefault="00000000">
      <w:pPr>
        <w:pStyle w:val="ListParagraph"/>
        <w:numPr>
          <w:ilvl w:val="0"/>
          <w:numId w:val="2"/>
        </w:numPr>
        <w:spacing w:after="50" w:line="264" w:lineRule="auto"/>
        <w:jc w:val="both"/>
      </w:pPr>
      <w:r>
        <w:rPr>
          <w:b/>
          <w:bCs/>
          <w:color w:val="1A1A1A"/>
        </w:rPr>
        <w:lastRenderedPageBreak/>
        <w:t xml:space="preserve">Decision owner — </w:t>
      </w:r>
      <w:r>
        <w:rPr>
          <w:color w:val="1A1A1A"/>
        </w:rPr>
        <w:t>The named human who answers for a deployed model’s use: who set the threshold, on what reasoning, reviewed when.</w:t>
      </w:r>
    </w:p>
    <w:p w14:paraId="1DB9964E" w14:textId="77777777" w:rsidR="00A44317" w:rsidRDefault="00A44317">
      <w:pPr>
        <w:spacing w:after="120"/>
      </w:pPr>
    </w:p>
    <w:p w14:paraId="0FADEC3A" w14:textId="5F534865" w:rsidR="00A44317" w:rsidRDefault="00000000">
      <w:pPr>
        <w:pStyle w:val="Heading1"/>
        <w:spacing w:before="260" w:after="120"/>
      </w:pPr>
      <w:r>
        <w:rPr>
          <w:b/>
          <w:bCs/>
          <w:color w:val="16324C"/>
          <w:sz w:val="30"/>
          <w:szCs w:val="30"/>
        </w:rPr>
        <w:t xml:space="preserve">Appendix </w:t>
      </w:r>
      <w:r w:rsidR="00A05D46">
        <w:rPr>
          <w:b/>
          <w:bCs/>
          <w:color w:val="16324C"/>
          <w:sz w:val="30"/>
          <w:szCs w:val="30"/>
        </w:rPr>
        <w:t>B</w:t>
      </w:r>
      <w:r>
        <w:rPr>
          <w:b/>
          <w:bCs/>
          <w:color w:val="16324C"/>
          <w:sz w:val="30"/>
          <w:szCs w:val="30"/>
        </w:rPr>
        <w:t xml:space="preserve"> · Sources and where to go next</w:t>
      </w:r>
    </w:p>
    <w:p w14:paraId="1E4C29D7" w14:textId="77777777" w:rsidR="00A44317" w:rsidRDefault="00000000">
      <w:pPr>
        <w:pStyle w:val="ListParagraph"/>
        <w:numPr>
          <w:ilvl w:val="0"/>
          <w:numId w:val="2"/>
        </w:numPr>
        <w:spacing w:after="60" w:line="264" w:lineRule="auto"/>
        <w:jc w:val="both"/>
      </w:pPr>
      <w:r>
        <w:rPr>
          <w:b/>
          <w:bCs/>
          <w:color w:val="1A1A1A"/>
        </w:rPr>
        <w:t xml:space="preserve">Gender Shades: </w:t>
      </w:r>
      <w:proofErr w:type="spellStart"/>
      <w:r>
        <w:rPr>
          <w:color w:val="1A1A1A"/>
        </w:rPr>
        <w:t>Buolamwini</w:t>
      </w:r>
      <w:proofErr w:type="spellEnd"/>
      <w:r>
        <w:rPr>
          <w:color w:val="1A1A1A"/>
        </w:rPr>
        <w:t>, J. &amp; Gebru, T., “Gender Shades: Intersectional Accuracy Disparities in Commercial Gender Classification”, Conference on Fairness, Accountability and Transparency (FAT*/PMLR), 2018.</w:t>
      </w:r>
    </w:p>
    <w:p w14:paraId="6AEDDC7E" w14:textId="77777777" w:rsidR="00A44317" w:rsidRDefault="00000000">
      <w:pPr>
        <w:pStyle w:val="ListParagraph"/>
        <w:numPr>
          <w:ilvl w:val="0"/>
          <w:numId w:val="2"/>
        </w:numPr>
        <w:spacing w:after="60" w:line="264" w:lineRule="auto"/>
        <w:jc w:val="both"/>
      </w:pPr>
      <w:r>
        <w:rPr>
          <w:b/>
          <w:bCs/>
          <w:color w:val="1A1A1A"/>
        </w:rPr>
        <w:t xml:space="preserve">The NIST evaluation: </w:t>
      </w:r>
      <w:r>
        <w:rPr>
          <w:color w:val="1A1A1A"/>
        </w:rPr>
        <w:t>Grother, P., Ngan, M. &amp; Hanaoka, K., “Face Recognition Vendor Test Part 3: Demographic Effects”, NISTIR 8280, 2019.</w:t>
      </w:r>
    </w:p>
    <w:p w14:paraId="4230C13D" w14:textId="77777777" w:rsidR="00A44317" w:rsidRDefault="00000000">
      <w:pPr>
        <w:pStyle w:val="ListParagraph"/>
        <w:numPr>
          <w:ilvl w:val="0"/>
          <w:numId w:val="2"/>
        </w:numPr>
        <w:spacing w:after="60" w:line="264" w:lineRule="auto"/>
        <w:jc w:val="both"/>
      </w:pPr>
      <w:r>
        <w:rPr>
          <w:b/>
          <w:bCs/>
          <w:color w:val="1A1A1A"/>
        </w:rPr>
        <w:t xml:space="preserve">The privacy standard: </w:t>
      </w:r>
      <w:r>
        <w:rPr>
          <w:color w:val="1A1A1A"/>
        </w:rPr>
        <w:t xml:space="preserve">Justice K.S. </w:t>
      </w:r>
      <w:proofErr w:type="spellStart"/>
      <w:r>
        <w:rPr>
          <w:color w:val="1A1A1A"/>
        </w:rPr>
        <w:t>Puttaswamy</w:t>
      </w:r>
      <w:proofErr w:type="spellEnd"/>
      <w:r>
        <w:rPr>
          <w:color w:val="1A1A1A"/>
        </w:rPr>
        <w:t xml:space="preserve"> v. Union of India (2017) — the nine-judge bench holding privacy a fundamental right and articulating a proportionality standard. Orientation, not legal advice.</w:t>
      </w:r>
    </w:p>
    <w:p w14:paraId="6372178D" w14:textId="77777777" w:rsidR="00A44317" w:rsidRDefault="00000000">
      <w:pPr>
        <w:pStyle w:val="ListParagraph"/>
        <w:numPr>
          <w:ilvl w:val="0"/>
          <w:numId w:val="2"/>
        </w:numPr>
        <w:spacing w:after="60" w:line="264" w:lineRule="auto"/>
        <w:jc w:val="both"/>
      </w:pPr>
      <w:r>
        <w:rPr>
          <w:b/>
          <w:bCs/>
          <w:color w:val="1A1A1A"/>
        </w:rPr>
        <w:t xml:space="preserve">The six properties: </w:t>
      </w:r>
      <w:r>
        <w:rPr>
          <w:color w:val="1A1A1A"/>
        </w:rPr>
        <w:t>NIST AI Risk Management Framework 1.0 (2023) — the trustworthiness characteristics the deck adapts.</w:t>
      </w:r>
    </w:p>
    <w:p w14:paraId="2AFE669F" w14:textId="77777777" w:rsidR="00A44317" w:rsidRDefault="00000000">
      <w:pPr>
        <w:pStyle w:val="ListParagraph"/>
        <w:numPr>
          <w:ilvl w:val="0"/>
          <w:numId w:val="2"/>
        </w:numPr>
        <w:spacing w:after="60" w:line="264" w:lineRule="auto"/>
        <w:jc w:val="both"/>
      </w:pPr>
      <w:r>
        <w:rPr>
          <w:b/>
          <w:bCs/>
          <w:color w:val="1A1A1A"/>
        </w:rPr>
        <w:t xml:space="preserve">Model cards: </w:t>
      </w:r>
      <w:r>
        <w:rPr>
          <w:color w:val="1A1A1A"/>
        </w:rPr>
        <w:t>Mitchell, M. et al., “Model Cards for Model Reporting”, FAT* 2019 — why Round 3’s artefact exists at all.</w:t>
      </w:r>
    </w:p>
    <w:p w14:paraId="7CB3B8E6" w14:textId="77777777" w:rsidR="00A44317" w:rsidRDefault="00000000">
      <w:pPr>
        <w:pStyle w:val="ListParagraph"/>
        <w:numPr>
          <w:ilvl w:val="0"/>
          <w:numId w:val="2"/>
        </w:numPr>
        <w:spacing w:after="60" w:line="264" w:lineRule="auto"/>
        <w:jc w:val="both"/>
      </w:pPr>
      <w:r>
        <w:rPr>
          <w:b/>
          <w:bCs/>
          <w:color w:val="1A1A1A"/>
        </w:rPr>
        <w:t xml:space="preserve">Identity-term false positives: </w:t>
      </w:r>
      <w:r>
        <w:rPr>
          <w:color w:val="1A1A1A"/>
        </w:rPr>
        <w:t>Dixon, L. et al., “Measuring and Mitigating Unintended Bias in Text Classification”, AIES 2018 — the documented pattern behind Scenario C’s optional probe.</w:t>
      </w:r>
    </w:p>
    <w:p w14:paraId="15C95947" w14:textId="77777777" w:rsidR="00A44317" w:rsidRDefault="00000000">
      <w:pPr>
        <w:pStyle w:val="ListParagraph"/>
        <w:numPr>
          <w:ilvl w:val="0"/>
          <w:numId w:val="2"/>
        </w:numPr>
        <w:spacing w:after="60" w:line="264" w:lineRule="auto"/>
        <w:jc w:val="both"/>
      </w:pPr>
      <w:r>
        <w:rPr>
          <w:b/>
          <w:bCs/>
          <w:color w:val="1A1A1A"/>
        </w:rPr>
        <w:t xml:space="preserve">The tools: </w:t>
      </w:r>
      <w:r>
        <w:rPr>
          <w:color w:val="1A1A1A"/>
        </w:rPr>
        <w:t xml:space="preserve">Survival of the Best Fit (Csapó, Kim, </w:t>
      </w:r>
      <w:proofErr w:type="spellStart"/>
      <w:r>
        <w:rPr>
          <w:color w:val="1A1A1A"/>
        </w:rPr>
        <w:t>Klasinc</w:t>
      </w:r>
      <w:proofErr w:type="spellEnd"/>
      <w:r>
        <w:rPr>
          <w:color w:val="1A1A1A"/>
        </w:rPr>
        <w:t xml:space="preserve"> &amp; </w:t>
      </w:r>
      <w:proofErr w:type="spellStart"/>
      <w:r>
        <w:rPr>
          <w:color w:val="1A1A1A"/>
        </w:rPr>
        <w:t>ElKattan</w:t>
      </w:r>
      <w:proofErr w:type="spellEnd"/>
      <w:r>
        <w:rPr>
          <w:color w:val="1A1A1A"/>
        </w:rPr>
        <w:t xml:space="preserve"> — a Mozilla Creative Media Awards project) · Google PAIR </w:t>
      </w:r>
      <w:proofErr w:type="spellStart"/>
      <w:r>
        <w:rPr>
          <w:color w:val="1A1A1A"/>
        </w:rPr>
        <w:t>Explorables</w:t>
      </w:r>
      <w:proofErr w:type="spellEnd"/>
      <w:r>
        <w:rPr>
          <w:color w:val="1A1A1A"/>
        </w:rPr>
        <w:t xml:space="preserve"> · the AI Incident Database (Responsible AI Collaborative).</w:t>
      </w:r>
    </w:p>
    <w:p w14:paraId="6872A6DF" w14:textId="77777777" w:rsidR="00A44317" w:rsidRDefault="00000000">
      <w:pPr>
        <w:pStyle w:val="ListParagraph"/>
        <w:numPr>
          <w:ilvl w:val="0"/>
          <w:numId w:val="2"/>
        </w:numPr>
        <w:spacing w:after="120" w:line="264" w:lineRule="auto"/>
        <w:jc w:val="both"/>
      </w:pPr>
      <w:r>
        <w:rPr>
          <w:b/>
          <w:bCs/>
          <w:color w:val="1A1A1A"/>
        </w:rPr>
        <w:t xml:space="preserve">Practice next: </w:t>
      </w:r>
      <w:r>
        <w:rPr>
          <w:color w:val="1A1A1A"/>
        </w:rPr>
        <w:t>run Activity 2’s four rounds on a real proposal inside your own organisation. The gate table transfers unchanged — and the one-month action in your final column is the natural first row.</w:t>
      </w:r>
    </w:p>
    <w:p w14:paraId="750AC119" w14:textId="52E70A5E" w:rsidR="00EA2FEB" w:rsidRDefault="00EA2FEB" w:rsidP="00EC01F6"/>
    <w:sectPr w:rsidR="00EA2FEB">
      <w:headerReference w:type="default" r:id="rId18"/>
      <w:footerReference w:type="default" r:id="rId19"/>
      <w:pgSz w:w="11906" w:h="16838"/>
      <w:pgMar w:top="1298" w:right="1440" w:bottom="1298" w:left="1440" w:header="709" w:footer="709" w:gutter="0"/>
      <w:pgBorders>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309A2" w14:textId="77777777" w:rsidR="00EA2FEB" w:rsidRDefault="00EA2FEB">
      <w:r>
        <w:separator/>
      </w:r>
    </w:p>
  </w:endnote>
  <w:endnote w:type="continuationSeparator" w:id="0">
    <w:p w14:paraId="46B72C18" w14:textId="77777777" w:rsidR="00EA2FEB" w:rsidRDefault="00EA2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5B05" w14:textId="77777777" w:rsidR="00A44317" w:rsidRDefault="00000000">
    <w:pPr>
      <w:jc w:val="center"/>
    </w:pPr>
    <w:r>
      <w:rPr>
        <w:color w:val="5C6B7A"/>
        <w:sz w:val="16"/>
        <w:szCs w:val="16"/>
      </w:rPr>
      <w:fldChar w:fldCharType="begin"/>
    </w:r>
    <w:r>
      <w:rPr>
        <w:color w:val="5C6B7A"/>
        <w:sz w:val="16"/>
        <w:szCs w:val="16"/>
      </w:rPr>
      <w:instrText>PAGE</w:instrText>
    </w:r>
    <w:r>
      <w:rPr>
        <w:color w:val="5C6B7A"/>
        <w:sz w:val="16"/>
        <w:szCs w:val="16"/>
      </w:rPr>
      <w:fldChar w:fldCharType="separate"/>
    </w:r>
    <w:r w:rsidR="00DB59AA">
      <w:rPr>
        <w:noProof/>
        <w:color w:val="5C6B7A"/>
        <w:sz w:val="16"/>
        <w:szCs w:val="16"/>
      </w:rPr>
      <w:t>1</w:t>
    </w:r>
    <w:r>
      <w:rPr>
        <w:color w:val="5C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75AE9" w14:textId="77777777" w:rsidR="00EA2FEB" w:rsidRDefault="00EA2FEB">
      <w:r>
        <w:separator/>
      </w:r>
    </w:p>
  </w:footnote>
  <w:footnote w:type="continuationSeparator" w:id="0">
    <w:p w14:paraId="2842AB94" w14:textId="77777777" w:rsidR="00EA2FEB" w:rsidRDefault="00EA2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22F1" w14:textId="77777777" w:rsidR="00A44317" w:rsidRDefault="00000000">
    <w:pPr>
      <w:jc w:val="right"/>
    </w:pPr>
    <w:r>
      <w:rPr>
        <w:color w:val="16324C"/>
        <w:sz w:val="16"/>
        <w:szCs w:val="16"/>
      </w:rPr>
      <w:t>ISEA · Intelligent Digital Forensics · Session 6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58B7"/>
    <w:multiLevelType w:val="hybridMultilevel"/>
    <w:tmpl w:val="4A9E1D9C"/>
    <w:lvl w:ilvl="0" w:tplc="58ECAC98">
      <w:start w:val="1"/>
      <w:numFmt w:val="bullet"/>
      <w:lvlText w:val="●"/>
      <w:lvlJc w:val="left"/>
      <w:pPr>
        <w:ind w:left="720" w:hanging="360"/>
      </w:pPr>
    </w:lvl>
    <w:lvl w:ilvl="1" w:tplc="D6ECA124">
      <w:start w:val="1"/>
      <w:numFmt w:val="bullet"/>
      <w:lvlText w:val="○"/>
      <w:lvlJc w:val="left"/>
      <w:pPr>
        <w:ind w:left="1440" w:hanging="360"/>
      </w:pPr>
    </w:lvl>
    <w:lvl w:ilvl="2" w:tplc="85CC6196">
      <w:start w:val="1"/>
      <w:numFmt w:val="bullet"/>
      <w:lvlText w:val="■"/>
      <w:lvlJc w:val="left"/>
      <w:pPr>
        <w:ind w:left="2160" w:hanging="360"/>
      </w:pPr>
    </w:lvl>
    <w:lvl w:ilvl="3" w:tplc="3DB80A18">
      <w:start w:val="1"/>
      <w:numFmt w:val="bullet"/>
      <w:lvlText w:val="●"/>
      <w:lvlJc w:val="left"/>
      <w:pPr>
        <w:ind w:left="2880" w:hanging="360"/>
      </w:pPr>
    </w:lvl>
    <w:lvl w:ilvl="4" w:tplc="98104B16">
      <w:start w:val="1"/>
      <w:numFmt w:val="bullet"/>
      <w:lvlText w:val="○"/>
      <w:lvlJc w:val="left"/>
      <w:pPr>
        <w:ind w:left="3600" w:hanging="360"/>
      </w:pPr>
    </w:lvl>
    <w:lvl w:ilvl="5" w:tplc="2190FFCE">
      <w:start w:val="1"/>
      <w:numFmt w:val="bullet"/>
      <w:lvlText w:val="■"/>
      <w:lvlJc w:val="left"/>
      <w:pPr>
        <w:ind w:left="4320" w:hanging="360"/>
      </w:pPr>
    </w:lvl>
    <w:lvl w:ilvl="6" w:tplc="2B5277BA">
      <w:start w:val="1"/>
      <w:numFmt w:val="bullet"/>
      <w:lvlText w:val="●"/>
      <w:lvlJc w:val="left"/>
      <w:pPr>
        <w:ind w:left="5040" w:hanging="360"/>
      </w:pPr>
    </w:lvl>
    <w:lvl w:ilvl="7" w:tplc="94F02D76">
      <w:start w:val="1"/>
      <w:numFmt w:val="bullet"/>
      <w:lvlText w:val="●"/>
      <w:lvlJc w:val="left"/>
      <w:pPr>
        <w:ind w:left="5760" w:hanging="360"/>
      </w:pPr>
    </w:lvl>
    <w:lvl w:ilvl="8" w:tplc="95345E2C">
      <w:start w:val="1"/>
      <w:numFmt w:val="bullet"/>
      <w:lvlText w:val="●"/>
      <w:lvlJc w:val="left"/>
      <w:pPr>
        <w:ind w:left="6480" w:hanging="360"/>
      </w:pPr>
    </w:lvl>
  </w:abstractNum>
  <w:abstractNum w:abstractNumId="1" w15:restartNumberingAfterBreak="0">
    <w:nsid w:val="6AFA5404"/>
    <w:multiLevelType w:val="hybridMultilevel"/>
    <w:tmpl w:val="C0C601E6"/>
    <w:lvl w:ilvl="0" w:tplc="34646B9E">
      <w:start w:val="1"/>
      <w:numFmt w:val="bullet"/>
      <w:lvlText w:val="·"/>
      <w:lvlJc w:val="left"/>
      <w:pPr>
        <w:ind w:left="360" w:hanging="180"/>
      </w:pPr>
      <w:rPr>
        <w:rFonts w:ascii="Cambria" w:eastAsia="Cambria" w:hAnsi="Cambria" w:cs="Cambria"/>
        <w:sz w:val="21"/>
        <w:szCs w:val="21"/>
      </w:rPr>
    </w:lvl>
    <w:lvl w:ilvl="1" w:tplc="F6A0E32A">
      <w:numFmt w:val="decimal"/>
      <w:lvlText w:val=""/>
      <w:lvlJc w:val="left"/>
    </w:lvl>
    <w:lvl w:ilvl="2" w:tplc="526C645E">
      <w:numFmt w:val="decimal"/>
      <w:lvlText w:val=""/>
      <w:lvlJc w:val="left"/>
    </w:lvl>
    <w:lvl w:ilvl="3" w:tplc="F82C38D8">
      <w:numFmt w:val="decimal"/>
      <w:lvlText w:val=""/>
      <w:lvlJc w:val="left"/>
    </w:lvl>
    <w:lvl w:ilvl="4" w:tplc="14D6B15A">
      <w:numFmt w:val="decimal"/>
      <w:lvlText w:val=""/>
      <w:lvlJc w:val="left"/>
    </w:lvl>
    <w:lvl w:ilvl="5" w:tplc="38801954">
      <w:numFmt w:val="decimal"/>
      <w:lvlText w:val=""/>
      <w:lvlJc w:val="left"/>
    </w:lvl>
    <w:lvl w:ilvl="6" w:tplc="1B609602">
      <w:numFmt w:val="decimal"/>
      <w:lvlText w:val=""/>
      <w:lvlJc w:val="left"/>
    </w:lvl>
    <w:lvl w:ilvl="7" w:tplc="77440266">
      <w:numFmt w:val="decimal"/>
      <w:lvlText w:val=""/>
      <w:lvlJc w:val="left"/>
    </w:lvl>
    <w:lvl w:ilvl="8" w:tplc="5414DA0C">
      <w:numFmt w:val="decimal"/>
      <w:lvlText w:val=""/>
      <w:lvlJc w:val="left"/>
    </w:lvl>
  </w:abstractNum>
  <w:num w:numId="1" w16cid:durableId="1748920191">
    <w:abstractNumId w:val="0"/>
    <w:lvlOverride w:ilvl="0">
      <w:startOverride w:val="1"/>
    </w:lvlOverride>
  </w:num>
  <w:num w:numId="2" w16cid:durableId="1155489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317"/>
    <w:rsid w:val="00A05D46"/>
    <w:rsid w:val="00A44317"/>
    <w:rsid w:val="00C739E9"/>
    <w:rsid w:val="00DB59AA"/>
    <w:rsid w:val="00EA2FEB"/>
    <w:rsid w:val="00EC01F6"/>
    <w:rsid w:val="00FF0C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95FE6"/>
  <w15:docId w15:val="{4CA43254-BCE0-4DFF-8F4B-8CED0B845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ir.withgoogle.com/explorables/measuring-fairness/" TargetMode="External"/><Relationship Id="rId13" Type="http://schemas.openxmlformats.org/officeDocument/2006/relationships/hyperlink" Target="https://incidentdatabase.ai"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urvivalofthebestfit.com" TargetMode="External"/><Relationship Id="rId12" Type="http://schemas.openxmlformats.org/officeDocument/2006/relationships/hyperlink" Target="https://pair-code.github.io/what-if-tool/demos/compas.html" TargetMode="External"/><Relationship Id="rId17" Type="http://schemas.openxmlformats.org/officeDocument/2006/relationships/hyperlink" Target="https://www.perspectiveapi.com" TargetMode="External"/><Relationship Id="rId2" Type="http://schemas.openxmlformats.org/officeDocument/2006/relationships/styles" Target="styles.xml"/><Relationship Id="rId16" Type="http://schemas.openxmlformats.org/officeDocument/2006/relationships/hyperlink" Target="https://huggingface.co/unitary/toxic-ber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ir.withgoogle.com/explorables/measuring-fairness/" TargetMode="External"/><Relationship Id="rId5" Type="http://schemas.openxmlformats.org/officeDocument/2006/relationships/footnotes" Target="footnotes.xml"/><Relationship Id="rId15" Type="http://schemas.openxmlformats.org/officeDocument/2006/relationships/hyperlink" Target="https://huggingface.co/Falconsai/nsfw_image_detection" TargetMode="External"/><Relationship Id="rId10" Type="http://schemas.openxmlformats.org/officeDocument/2006/relationships/hyperlink" Target="https://www.survivalofthebestfit.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incidentdatabase.ai" TargetMode="External"/><Relationship Id="rId14" Type="http://schemas.openxmlformats.org/officeDocument/2006/relationships/hyperlink" Target="https://developers.perspectiveapi.com/s/about-the-api-model-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2640</Words>
  <Characters>15050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 Kumar</cp:lastModifiedBy>
  <cp:revision>3</cp:revision>
  <dcterms:created xsi:type="dcterms:W3CDTF">2026-08-06T17:57:00Z</dcterms:created>
  <dcterms:modified xsi:type="dcterms:W3CDTF">2026-08-06T18:44:00Z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68f9937f-183d-4432-9b07-a9b58ff3f824</vt:lpwstr>
  </property>
</Properties>
</file>