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40F3" w14:textId="77777777" w:rsidR="00FD5E4C" w:rsidRPr="003053AF" w:rsidRDefault="00000000" w:rsidP="003053AF">
      <w:pPr>
        <w:spacing w:line="276" w:lineRule="auto"/>
        <w:jc w:val="center"/>
        <w:rPr>
          <w:rFonts w:ascii="Cambria" w:hAnsi="Cambria"/>
        </w:rPr>
      </w:pPr>
      <w:r w:rsidRPr="003053AF">
        <w:rPr>
          <w:rFonts w:ascii="Cambria" w:eastAsia="Calibri" w:hAnsi="Cambria" w:cs="Calibri"/>
          <w:b/>
          <w:bCs/>
          <w:color w:val="B87A1E"/>
          <w:sz w:val="24"/>
          <w:szCs w:val="24"/>
        </w:rPr>
        <w:t>LECTURE SERIES · ISEA</w:t>
      </w:r>
    </w:p>
    <w:p w14:paraId="697F8730" w14:textId="77777777" w:rsidR="00FD5E4C" w:rsidRPr="003053AF" w:rsidRDefault="00000000" w:rsidP="003053AF">
      <w:pPr>
        <w:spacing w:line="276" w:lineRule="auto"/>
        <w:jc w:val="center"/>
        <w:rPr>
          <w:rFonts w:ascii="Cambria" w:hAnsi="Cambria"/>
        </w:rPr>
      </w:pPr>
      <w:r w:rsidRPr="003053AF">
        <w:rPr>
          <w:rFonts w:ascii="Cambria" w:eastAsia="Calibri" w:hAnsi="Cambria" w:cs="Calibri"/>
          <w:i/>
          <w:iCs/>
          <w:color w:val="51708D"/>
          <w:sz w:val="23"/>
          <w:szCs w:val="23"/>
        </w:rPr>
        <w:t>Intelligent Digital Forensics: LLMs, NLP, and Explainable AI for Cyber Investigations</w:t>
      </w:r>
    </w:p>
    <w:p w14:paraId="5C721F44" w14:textId="77777777" w:rsidR="00FD5E4C" w:rsidRPr="003053AF" w:rsidRDefault="00000000" w:rsidP="003053AF">
      <w:pPr>
        <w:spacing w:line="276" w:lineRule="auto"/>
        <w:jc w:val="center"/>
        <w:rPr>
          <w:rFonts w:ascii="Cambria" w:hAnsi="Cambria"/>
          <w:sz w:val="40"/>
          <w:szCs w:val="40"/>
        </w:rPr>
      </w:pPr>
      <w:r w:rsidRPr="003053AF">
        <w:rPr>
          <w:rFonts w:ascii="Cambria" w:eastAsia="Cambria" w:hAnsi="Cambria" w:cs="Cambria"/>
          <w:b/>
          <w:bCs/>
          <w:color w:val="16324C"/>
          <w:sz w:val="40"/>
          <w:szCs w:val="40"/>
        </w:rPr>
        <w:t>Session 8 Lab Manual</w:t>
      </w:r>
    </w:p>
    <w:p w14:paraId="212663F3" w14:textId="54AB50DE" w:rsidR="00FD5E4C" w:rsidRPr="00233E02" w:rsidRDefault="00000000" w:rsidP="003053AF">
      <w:pPr>
        <w:spacing w:line="276" w:lineRule="auto"/>
        <w:jc w:val="center"/>
        <w:rPr>
          <w:rFonts w:ascii="Cambria" w:hAnsi="Cambria"/>
          <w:sz w:val="28"/>
          <w:szCs w:val="28"/>
        </w:rPr>
      </w:pPr>
      <w:r w:rsidRPr="00233E02">
        <w:rPr>
          <w:rFonts w:ascii="Cambria" w:eastAsia="Cambria" w:hAnsi="Cambria" w:cs="Cambria"/>
          <w:color w:val="16222F"/>
          <w:sz w:val="28"/>
          <w:szCs w:val="28"/>
        </w:rPr>
        <w:t xml:space="preserve">Threat Intelligence Extraction and Summarisation </w:t>
      </w:r>
    </w:p>
    <w:p w14:paraId="7204AC6D" w14:textId="77777777" w:rsidR="00233E02" w:rsidRDefault="00233E02" w:rsidP="003053AF">
      <w:pPr>
        <w:spacing w:before="60" w:line="276" w:lineRule="auto"/>
        <w:rPr>
          <w:rFonts w:ascii="Cambria" w:eastAsia="Calibri" w:hAnsi="Cambria" w:cs="Calibri"/>
          <w:b/>
          <w:bCs/>
          <w:color w:val="16324C"/>
          <w:sz w:val="24"/>
          <w:szCs w:val="24"/>
        </w:rPr>
      </w:pPr>
    </w:p>
    <w:p w14:paraId="58D51880" w14:textId="2C7A7C70" w:rsidR="00FD5E4C" w:rsidRPr="003053AF" w:rsidRDefault="00000000" w:rsidP="00233E02">
      <w:pPr>
        <w:spacing w:before="60" w:line="276" w:lineRule="auto"/>
        <w:jc w:val="center"/>
        <w:rPr>
          <w:rFonts w:ascii="Cambria" w:hAnsi="Cambria"/>
        </w:rPr>
      </w:pPr>
      <w:r w:rsidRPr="003053AF">
        <w:rPr>
          <w:rFonts w:ascii="Cambria" w:eastAsia="Calibri" w:hAnsi="Cambria" w:cs="Calibri"/>
          <w:b/>
          <w:bCs/>
          <w:color w:val="16324C"/>
          <w:sz w:val="24"/>
          <w:szCs w:val="24"/>
        </w:rPr>
        <w:t>Extract by rule. Summarise by model. Never the other way round.</w:t>
      </w:r>
    </w:p>
    <w:p w14:paraId="0990164E" w14:textId="77777777" w:rsidR="00233E02" w:rsidRDefault="00233E02" w:rsidP="003053AF">
      <w:pPr>
        <w:spacing w:before="60" w:line="276" w:lineRule="auto"/>
        <w:rPr>
          <w:rFonts w:ascii="Cambria" w:eastAsia="Calibri" w:hAnsi="Cambria" w:cs="Calibri"/>
          <w:color w:val="16222F"/>
          <w:sz w:val="21"/>
          <w:szCs w:val="21"/>
        </w:rPr>
      </w:pPr>
    </w:p>
    <w:p w14:paraId="0219BB53" w14:textId="1A60AB15" w:rsidR="00FD5E4C" w:rsidRPr="003053AF" w:rsidRDefault="00000000" w:rsidP="00233E02">
      <w:pPr>
        <w:spacing w:before="60" w:line="276" w:lineRule="auto"/>
        <w:jc w:val="both"/>
        <w:rPr>
          <w:rFonts w:ascii="Cambria" w:hAnsi="Cambria"/>
        </w:rPr>
      </w:pPr>
      <w:r w:rsidRPr="003053AF">
        <w:rPr>
          <w:rFonts w:ascii="Cambria" w:eastAsia="Calibri" w:hAnsi="Cambria" w:cs="Calibri"/>
          <w:color w:val="16222F"/>
          <w:sz w:val="21"/>
          <w:szCs w:val="21"/>
        </w:rPr>
        <w:t>Two labs, thirty minutes each. No coding background assumed: every step is written out and every expected output printed here was produced by actually running the notebook against live public feeds.</w:t>
      </w:r>
    </w:p>
    <w:p w14:paraId="211EA31F" w14:textId="77777777" w:rsidR="003053AF" w:rsidRDefault="00000000" w:rsidP="003053AF">
      <w:pPr>
        <w:spacing w:before="60" w:line="276" w:lineRule="auto"/>
        <w:rPr>
          <w:rFonts w:ascii="Cambria" w:eastAsia="Calibri" w:hAnsi="Cambria" w:cs="Calibri"/>
          <w:b/>
          <w:bCs/>
          <w:color w:val="16222F"/>
          <w:sz w:val="21"/>
          <w:szCs w:val="21"/>
        </w:rPr>
      </w:pPr>
      <w:r w:rsidRPr="003053AF">
        <w:rPr>
          <w:rFonts w:ascii="Cambria" w:eastAsia="Calibri" w:hAnsi="Cambria" w:cs="Calibri"/>
          <w:b/>
          <w:bCs/>
          <w:color w:val="16222F"/>
          <w:sz w:val="21"/>
          <w:szCs w:val="21"/>
        </w:rPr>
        <w:t xml:space="preserve">Companion notebook:  </w:t>
      </w:r>
      <w:r w:rsidRPr="003053AF">
        <w:rPr>
          <w:rFonts w:ascii="Cambria" w:eastAsia="Courier New" w:hAnsi="Cambria" w:cs="Courier New"/>
          <w:color w:val="16222F"/>
          <w:sz w:val="21"/>
          <w:szCs w:val="21"/>
        </w:rPr>
        <w:t>ISEA_S8_cti_</w:t>
      </w:r>
      <w:proofErr w:type="gramStart"/>
      <w:r w:rsidRPr="003053AF">
        <w:rPr>
          <w:rFonts w:ascii="Cambria" w:eastAsia="Courier New" w:hAnsi="Cambria" w:cs="Courier New"/>
          <w:color w:val="16222F"/>
          <w:sz w:val="21"/>
          <w:szCs w:val="21"/>
        </w:rPr>
        <w:t>extraction.ipynb</w:t>
      </w:r>
      <w:proofErr w:type="gramEnd"/>
      <w:r w:rsidRPr="003053AF">
        <w:rPr>
          <w:rFonts w:ascii="Cambria" w:eastAsia="Calibri" w:hAnsi="Cambria" w:cs="Calibri"/>
          <w:b/>
          <w:bCs/>
          <w:color w:val="16222F"/>
          <w:sz w:val="21"/>
          <w:szCs w:val="21"/>
        </w:rPr>
        <w:t xml:space="preserve">   </w:t>
      </w:r>
    </w:p>
    <w:p w14:paraId="303403F2" w14:textId="2F649643" w:rsidR="00FD5E4C" w:rsidRPr="003053AF" w:rsidRDefault="00000000" w:rsidP="003053AF">
      <w:pPr>
        <w:spacing w:before="60" w:line="276" w:lineRule="auto"/>
        <w:rPr>
          <w:rFonts w:ascii="Cambria" w:eastAsia="Calibri" w:hAnsi="Cambria" w:cs="Calibri"/>
          <w:b/>
          <w:bCs/>
          <w:color w:val="16222F"/>
          <w:sz w:val="21"/>
          <w:szCs w:val="21"/>
        </w:rPr>
      </w:pPr>
      <w:r w:rsidRPr="003053AF">
        <w:rPr>
          <w:rFonts w:ascii="Cambria" w:eastAsia="Calibri" w:hAnsi="Cambria" w:cs="Calibri"/>
          <w:b/>
          <w:bCs/>
          <w:color w:val="16222F"/>
          <w:sz w:val="21"/>
          <w:szCs w:val="21"/>
        </w:rPr>
        <w:t xml:space="preserve">Companion deck:  </w:t>
      </w:r>
      <w:r w:rsidRPr="003053AF">
        <w:rPr>
          <w:rFonts w:ascii="Cambria" w:eastAsia="Courier New" w:hAnsi="Cambria" w:cs="Courier New"/>
          <w:color w:val="16222F"/>
          <w:sz w:val="21"/>
          <w:szCs w:val="21"/>
        </w:rPr>
        <w:t>Session8_HandsOn_Concise.pptx</w:t>
      </w:r>
    </w:p>
    <w:p w14:paraId="541CD61E" w14:textId="05417EA4" w:rsidR="003053AF" w:rsidRDefault="00000000" w:rsidP="003053AF">
      <w:pPr>
        <w:spacing w:before="60" w:line="276" w:lineRule="auto"/>
        <w:rPr>
          <w:rFonts w:ascii="Cambria" w:eastAsia="Calibri" w:hAnsi="Cambria" w:cs="Calibri"/>
          <w:color w:val="16222F"/>
          <w:sz w:val="21"/>
          <w:szCs w:val="21"/>
        </w:rPr>
      </w:pPr>
      <w:r w:rsidRPr="003053AF">
        <w:rPr>
          <w:rFonts w:ascii="Cambria" w:eastAsia="Calibri" w:hAnsi="Cambria" w:cs="Calibri"/>
          <w:b/>
          <w:bCs/>
          <w:color w:val="16222F"/>
          <w:sz w:val="21"/>
          <w:szCs w:val="21"/>
        </w:rPr>
        <w:t xml:space="preserve">Corpus:  </w:t>
      </w:r>
      <w:r w:rsidRPr="003053AF">
        <w:rPr>
          <w:rFonts w:ascii="Cambria" w:eastAsia="Calibri" w:hAnsi="Cambria" w:cs="Calibri"/>
          <w:color w:val="16222F"/>
          <w:sz w:val="21"/>
          <w:szCs w:val="21"/>
        </w:rPr>
        <w:t xml:space="preserve">CISA joint advisory AA26-204A </w:t>
      </w:r>
    </w:p>
    <w:p w14:paraId="48584EB5" w14:textId="4823E57E" w:rsidR="003053AF" w:rsidRPr="003053AF" w:rsidRDefault="003053AF" w:rsidP="003053AF">
      <w:pPr>
        <w:spacing w:before="60" w:line="276" w:lineRule="auto"/>
        <w:rPr>
          <w:rStyle w:val="Hyperlink"/>
          <w:rFonts w:ascii="Cambria" w:hAnsi="Cambria"/>
        </w:rPr>
      </w:pPr>
      <w:r>
        <w:rPr>
          <w:rFonts w:ascii="Cambria" w:hAnsi="Cambria"/>
        </w:rPr>
        <w:fldChar w:fldCharType="begin"/>
      </w:r>
      <w:r>
        <w:rPr>
          <w:rFonts w:ascii="Cambria" w:hAnsi="Cambria"/>
        </w:rPr>
        <w:instrText>HYPERLINK "https://www.cisa.gov/news-events/cybersecurity-advisories/aa26-204a" \t "_blank"</w:instrText>
      </w:r>
      <w:r>
        <w:rPr>
          <w:rFonts w:ascii="Cambria" w:hAnsi="Cambria"/>
        </w:rPr>
      </w:r>
      <w:r>
        <w:rPr>
          <w:rFonts w:ascii="Cambria" w:hAnsi="Cambria"/>
        </w:rPr>
        <w:fldChar w:fldCharType="separate"/>
      </w:r>
      <w:r w:rsidRPr="003053AF">
        <w:rPr>
          <w:rStyle w:val="Hyperlink"/>
          <w:rFonts w:ascii="Cambria" w:hAnsi="Cambria"/>
        </w:rPr>
        <w:t>CISA AA26-204A advisor</w:t>
      </w:r>
      <w:r w:rsidRPr="003053AF">
        <w:rPr>
          <w:rStyle w:val="Hyperlink"/>
          <w:rFonts w:ascii="Cambria" w:hAnsi="Cambria"/>
        </w:rPr>
        <w:t>y</w:t>
      </w:r>
    </w:p>
    <w:p w14:paraId="7ED04074" w14:textId="0CCB88BE" w:rsidR="003053AF" w:rsidRPr="003053AF" w:rsidRDefault="003053AF" w:rsidP="003053AF">
      <w:pPr>
        <w:spacing w:before="60" w:line="276" w:lineRule="auto"/>
        <w:rPr>
          <w:rStyle w:val="Hyperlink"/>
          <w:rFonts w:ascii="Cambria" w:hAnsi="Cambria"/>
        </w:rPr>
      </w:pPr>
      <w:r>
        <w:rPr>
          <w:rFonts w:ascii="Cambria" w:hAnsi="Cambria"/>
        </w:rPr>
        <w:fldChar w:fldCharType="end"/>
      </w:r>
      <w:r>
        <w:rPr>
          <w:rFonts w:ascii="Cambria" w:hAnsi="Cambria"/>
        </w:rPr>
        <w:fldChar w:fldCharType="begin"/>
      </w:r>
      <w:r>
        <w:rPr>
          <w:rFonts w:ascii="Cambria" w:hAnsi="Cambria"/>
        </w:rPr>
        <w:instrText>HYPERLINK "https://www.cisa.gov/sites/default/files/feeds/known_exploited_vulnerabilities.json" \t "_blank"</w:instrText>
      </w:r>
      <w:r>
        <w:rPr>
          <w:rFonts w:ascii="Cambria" w:hAnsi="Cambria"/>
        </w:rPr>
      </w:r>
      <w:r>
        <w:rPr>
          <w:rFonts w:ascii="Cambria" w:hAnsi="Cambria"/>
        </w:rPr>
        <w:fldChar w:fldCharType="separate"/>
      </w:r>
      <w:r w:rsidRPr="003053AF">
        <w:rPr>
          <w:rStyle w:val="Hyperlink"/>
          <w:rFonts w:ascii="Cambria" w:hAnsi="Cambria"/>
        </w:rPr>
        <w:t>CISA Known Exploited Vulnerabilities JSON feed</w:t>
      </w:r>
    </w:p>
    <w:p w14:paraId="1645A604" w14:textId="5ACD7271" w:rsidR="003053AF" w:rsidRPr="003053AF" w:rsidRDefault="003053AF" w:rsidP="003053AF">
      <w:pPr>
        <w:spacing w:before="60" w:line="276" w:lineRule="auto"/>
        <w:rPr>
          <w:rFonts w:ascii="Cambria" w:hAnsi="Cambria"/>
        </w:rPr>
      </w:pPr>
      <w:r>
        <w:rPr>
          <w:rFonts w:ascii="Cambria" w:hAnsi="Cambria"/>
        </w:rPr>
        <w:fldChar w:fldCharType="end"/>
      </w:r>
      <w:r w:rsidRPr="003053AF">
        <w:rPr>
          <w:rFonts w:ascii="Cambria" w:hAnsi="Cambria"/>
        </w:rPr>
        <w:t xml:space="preserve">For the first, save the advisory text as </w:t>
      </w:r>
      <w:r w:rsidRPr="003053AF">
        <w:rPr>
          <w:rFonts w:ascii="Cambria" w:hAnsi="Cambria"/>
          <w:b/>
          <w:bCs/>
        </w:rPr>
        <w:t>advisory.txt</w:t>
      </w:r>
      <w:r w:rsidRPr="003053AF">
        <w:rPr>
          <w:rFonts w:ascii="Cambria" w:hAnsi="Cambria"/>
        </w:rPr>
        <w:t>. Save the second exactly as</w:t>
      </w:r>
      <w:r>
        <w:rPr>
          <w:rFonts w:ascii="Cambria" w:hAnsi="Cambria"/>
        </w:rPr>
        <w:t xml:space="preserve"> </w:t>
      </w:r>
      <w:proofErr w:type="spellStart"/>
      <w:r w:rsidRPr="003053AF">
        <w:rPr>
          <w:rFonts w:ascii="Cambria" w:hAnsi="Cambria"/>
          <w:b/>
          <w:bCs/>
        </w:rPr>
        <w:t>known_exploited_</w:t>
      </w:r>
      <w:proofErr w:type="gramStart"/>
      <w:r w:rsidRPr="003053AF">
        <w:rPr>
          <w:rFonts w:ascii="Cambria" w:hAnsi="Cambria"/>
          <w:b/>
          <w:bCs/>
        </w:rPr>
        <w:t>vulnerabilities.json</w:t>
      </w:r>
      <w:proofErr w:type="spellEnd"/>
      <w:proofErr w:type="gramEnd"/>
      <w:r w:rsidRPr="003053AF">
        <w:rPr>
          <w:rFonts w:ascii="Cambria" w:hAnsi="Cambria"/>
        </w:rPr>
        <w:t>.</w:t>
      </w:r>
    </w:p>
    <w:p w14:paraId="5977714C" w14:textId="714F2B6A" w:rsidR="00FD5E4C" w:rsidRPr="003053AF" w:rsidRDefault="00000000" w:rsidP="003053AF">
      <w:pPr>
        <w:spacing w:before="60" w:line="276" w:lineRule="auto"/>
        <w:rPr>
          <w:rFonts w:ascii="Cambria" w:hAnsi="Cambria"/>
        </w:rPr>
      </w:pPr>
      <w:r w:rsidRPr="003053AF">
        <w:rPr>
          <w:rFonts w:ascii="Cambria" w:eastAsia="Calibri" w:hAnsi="Cambria" w:cs="Calibri"/>
          <w:b/>
          <w:bCs/>
          <w:color w:val="16222F"/>
          <w:sz w:val="21"/>
          <w:szCs w:val="21"/>
        </w:rPr>
        <w:t xml:space="preserve">Runtime:  </w:t>
      </w:r>
      <w:r w:rsidRPr="003053AF">
        <w:rPr>
          <w:rFonts w:ascii="Cambria" w:eastAsia="Calibri" w:hAnsi="Cambria" w:cs="Calibri"/>
          <w:color w:val="16222F"/>
          <w:sz w:val="21"/>
          <w:szCs w:val="21"/>
        </w:rPr>
        <w:t xml:space="preserve">Google </w:t>
      </w:r>
      <w:proofErr w:type="spellStart"/>
      <w:r w:rsidRPr="003053AF">
        <w:rPr>
          <w:rFonts w:ascii="Cambria" w:eastAsia="Calibri" w:hAnsi="Cambria" w:cs="Calibri"/>
          <w:color w:val="16222F"/>
          <w:sz w:val="21"/>
          <w:szCs w:val="21"/>
        </w:rPr>
        <w:t>Colab</w:t>
      </w:r>
      <w:proofErr w:type="spellEnd"/>
      <w:r w:rsidRPr="003053AF">
        <w:rPr>
          <w:rFonts w:ascii="Cambria" w:eastAsia="Calibri" w:hAnsi="Cambria" w:cs="Calibri"/>
          <w:color w:val="16222F"/>
          <w:sz w:val="21"/>
          <w:szCs w:val="21"/>
        </w:rPr>
        <w:t>, CPU.</w:t>
      </w:r>
    </w:p>
    <w:p w14:paraId="56426340" w14:textId="77777777" w:rsidR="00FD5E4C" w:rsidRPr="003053AF" w:rsidRDefault="00000000" w:rsidP="003053AF">
      <w:pPr>
        <w:spacing w:line="276" w:lineRule="auto"/>
        <w:rPr>
          <w:rFonts w:ascii="Cambria" w:hAnsi="Cambria"/>
        </w:rPr>
      </w:pPr>
      <w:r w:rsidRPr="003053AF">
        <w:rPr>
          <w:rFonts w:ascii="Cambria" w:hAnsi="Cambria"/>
        </w:rPr>
        <w:br w:type="page"/>
      </w:r>
    </w:p>
    <w:p w14:paraId="11256C62" w14:textId="77777777" w:rsidR="00FD5E4C" w:rsidRPr="003053AF" w:rsidRDefault="00000000" w:rsidP="003053AF">
      <w:pPr>
        <w:pStyle w:val="Heading1"/>
        <w:spacing w:before="340" w:line="276" w:lineRule="auto"/>
        <w:rPr>
          <w:rFonts w:ascii="Cambria" w:hAnsi="Cambria"/>
        </w:rPr>
      </w:pPr>
      <w:bookmarkStart w:id="0" w:name="_Toc237190721"/>
      <w:r w:rsidRPr="003053AF">
        <w:rPr>
          <w:rFonts w:ascii="Cambria" w:eastAsia="Cambria" w:hAnsi="Cambria" w:cs="Cambria"/>
          <w:b/>
          <w:bCs/>
          <w:color w:val="16324C"/>
          <w:sz w:val="34"/>
          <w:szCs w:val="34"/>
        </w:rPr>
        <w:lastRenderedPageBreak/>
        <w:t>Before the session — five minutes of setup</w:t>
      </w:r>
      <w:bookmarkEnd w:id="0"/>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FD5E4C" w:rsidRPr="003053AF" w14:paraId="26011384" w14:textId="77777777">
        <w:tblPrEx>
          <w:tblCellMar>
            <w:top w:w="0" w:type="dxa"/>
            <w:bottom w:w="0" w:type="dxa"/>
          </w:tblCellMar>
        </w:tblPrEx>
        <w:tc>
          <w:tcPr>
            <w:tcW w:w="1600" w:type="dxa"/>
            <w:shd w:val="clear" w:color="auto" w:fill="16324C"/>
            <w:tcMar>
              <w:top w:w="130" w:type="dxa"/>
              <w:left w:w="180" w:type="dxa"/>
              <w:bottom w:w="130" w:type="dxa"/>
              <w:right w:w="150" w:type="dxa"/>
            </w:tcMar>
          </w:tcPr>
          <w:p w14:paraId="63BBA033"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TIME</w:t>
            </w:r>
          </w:p>
          <w:p w14:paraId="2FFDB200"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5 min</w:t>
            </w:r>
          </w:p>
        </w:tc>
        <w:tc>
          <w:tcPr>
            <w:tcW w:w="3380" w:type="dxa"/>
            <w:shd w:val="clear" w:color="auto" w:fill="16324C"/>
            <w:tcMar>
              <w:top w:w="130" w:type="dxa"/>
              <w:left w:w="180" w:type="dxa"/>
              <w:bottom w:w="130" w:type="dxa"/>
              <w:right w:w="150" w:type="dxa"/>
            </w:tcMar>
          </w:tcPr>
          <w:p w14:paraId="32A26BF0"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NEEDS</w:t>
            </w:r>
          </w:p>
          <w:p w14:paraId="1C13AA09"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A Google account and a browser</w:t>
            </w:r>
          </w:p>
        </w:tc>
        <w:tc>
          <w:tcPr>
            <w:tcW w:w="4380" w:type="dxa"/>
            <w:shd w:val="clear" w:color="auto" w:fill="16324C"/>
            <w:tcMar>
              <w:top w:w="130" w:type="dxa"/>
              <w:left w:w="180" w:type="dxa"/>
              <w:bottom w:w="130" w:type="dxa"/>
              <w:right w:w="150" w:type="dxa"/>
            </w:tcMar>
          </w:tcPr>
          <w:p w14:paraId="396ED890"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YOU PRODUCE</w:t>
            </w:r>
          </w:p>
          <w:p w14:paraId="6C76D61D"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A running notebook with four live feeds loaded</w:t>
            </w:r>
          </w:p>
        </w:tc>
      </w:tr>
    </w:tbl>
    <w:p w14:paraId="125687E5" w14:textId="77777777" w:rsidR="00FD5E4C" w:rsidRPr="003053AF" w:rsidRDefault="00FD5E4C" w:rsidP="003053AF">
      <w:pPr>
        <w:spacing w:line="276" w:lineRule="auto"/>
        <w:rPr>
          <w:rFonts w:ascii="Cambria" w:hAnsi="Cambria"/>
        </w:rPr>
      </w:pPr>
    </w:p>
    <w:p w14:paraId="1CA826F9"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 xml:space="preserve">You have been given the notebook file </w:t>
      </w:r>
      <w:r w:rsidRPr="003053AF">
        <w:rPr>
          <w:rFonts w:ascii="Cambria" w:eastAsia="Courier New" w:hAnsi="Cambria" w:cs="Courier New"/>
          <w:color w:val="16222F"/>
          <w:sz w:val="21"/>
          <w:szCs w:val="21"/>
        </w:rPr>
        <w:t>ISEA_S8_cti_extraction.ipynb</w:t>
      </w:r>
      <w:r w:rsidRPr="003053AF">
        <w:rPr>
          <w:rFonts w:ascii="Cambria" w:eastAsia="Calibri" w:hAnsi="Cambria" w:cs="Calibri"/>
          <w:color w:val="16222F"/>
          <w:sz w:val="21"/>
          <w:szCs w:val="21"/>
        </w:rPr>
        <w:t xml:space="preserve">. Open </w:t>
      </w:r>
      <w:r w:rsidRPr="003053AF">
        <w:rPr>
          <w:rFonts w:ascii="Cambria" w:eastAsia="Courier New" w:hAnsi="Cambria" w:cs="Courier New"/>
          <w:color w:val="16222F"/>
          <w:sz w:val="21"/>
          <w:szCs w:val="21"/>
        </w:rPr>
        <w:t>https://colab.research.google.com</w:t>
      </w:r>
      <w:r w:rsidRPr="003053AF">
        <w:rPr>
          <w:rFonts w:ascii="Cambria" w:eastAsia="Calibri" w:hAnsi="Cambria" w:cs="Calibri"/>
          <w:color w:val="16222F"/>
          <w:sz w:val="21"/>
          <w:szCs w:val="21"/>
        </w:rPr>
        <w:t xml:space="preserve"> , sign in with a Google account, then choose </w:t>
      </w:r>
      <w:r w:rsidRPr="003053AF">
        <w:rPr>
          <w:rFonts w:ascii="Cambria" w:eastAsia="Calibri" w:hAnsi="Cambria" w:cs="Calibri"/>
          <w:b/>
          <w:bCs/>
          <w:color w:val="16222F"/>
          <w:sz w:val="21"/>
          <w:szCs w:val="21"/>
        </w:rPr>
        <w:t>File → Upload notebook</w:t>
      </w:r>
      <w:r w:rsidRPr="003053AF">
        <w:rPr>
          <w:rFonts w:ascii="Cambria" w:eastAsia="Calibri" w:hAnsi="Cambria" w:cs="Calibri"/>
          <w:color w:val="16222F"/>
          <w:sz w:val="21"/>
          <w:szCs w:val="21"/>
        </w:rPr>
        <w:t xml:space="preserve"> and select that file. (If the facilitator has shared a Drive link instead, opening it does the same thing.)</w:t>
      </w:r>
    </w:p>
    <w:p w14:paraId="79EBDC92"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 xml:space="preserve">Choose </w:t>
      </w:r>
      <w:r w:rsidRPr="003053AF">
        <w:rPr>
          <w:rFonts w:ascii="Cambria" w:eastAsia="Calibri" w:hAnsi="Cambria" w:cs="Calibri"/>
          <w:b/>
          <w:bCs/>
          <w:color w:val="16222F"/>
          <w:sz w:val="21"/>
          <w:szCs w:val="21"/>
        </w:rPr>
        <w:t>File → Save a copy in Drive</w:t>
      </w:r>
      <w:r w:rsidRPr="003053AF">
        <w:rPr>
          <w:rFonts w:ascii="Cambria" w:eastAsia="Calibri" w:hAnsi="Cambria" w:cs="Calibri"/>
          <w:color w:val="16222F"/>
          <w:sz w:val="21"/>
          <w:szCs w:val="21"/>
        </w:rPr>
        <w:t>. Work in your copy.</w:t>
      </w:r>
    </w:p>
    <w:p w14:paraId="6879BD21"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 xml:space="preserve">Check </w:t>
      </w:r>
      <w:r w:rsidRPr="003053AF">
        <w:rPr>
          <w:rFonts w:ascii="Cambria" w:eastAsia="Calibri" w:hAnsi="Cambria" w:cs="Calibri"/>
          <w:b/>
          <w:bCs/>
          <w:color w:val="16222F"/>
          <w:sz w:val="21"/>
          <w:szCs w:val="21"/>
        </w:rPr>
        <w:t>Runtime → Change runtime type → CPU</w:t>
      </w:r>
      <w:r w:rsidRPr="003053AF">
        <w:rPr>
          <w:rFonts w:ascii="Cambria" w:eastAsia="Calibri" w:hAnsi="Cambria" w:cs="Calibri"/>
          <w:color w:val="16222F"/>
          <w:sz w:val="21"/>
          <w:szCs w:val="21"/>
        </w:rPr>
        <w:t>. No GPU needed.</w:t>
      </w:r>
    </w:p>
    <w:p w14:paraId="21599101"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4.  </w:t>
      </w:r>
      <w:r w:rsidRPr="003053AF">
        <w:rPr>
          <w:rFonts w:ascii="Cambria" w:eastAsia="Calibri" w:hAnsi="Cambria" w:cs="Calibri"/>
          <w:color w:val="16222F"/>
          <w:sz w:val="21"/>
          <w:szCs w:val="21"/>
        </w:rPr>
        <w:t xml:space="preserve">Run </w:t>
      </w:r>
      <w:r w:rsidRPr="003053AF">
        <w:rPr>
          <w:rFonts w:ascii="Cambria" w:eastAsia="Calibri" w:hAnsi="Cambria" w:cs="Calibri"/>
          <w:b/>
          <w:bCs/>
          <w:color w:val="16222F"/>
          <w:sz w:val="21"/>
          <w:szCs w:val="21"/>
        </w:rPr>
        <w:t>Section 0</w:t>
      </w:r>
      <w:r w:rsidRPr="003053AF">
        <w:rPr>
          <w:rFonts w:ascii="Cambria" w:eastAsia="Calibri" w:hAnsi="Cambria" w:cs="Calibri"/>
          <w:color w:val="16222F"/>
          <w:sz w:val="21"/>
          <w:szCs w:val="21"/>
        </w:rPr>
        <w:t>. Four network calls; the EPSS download is the slow one.</w:t>
      </w: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91A4E84"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041C8A11"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 (your figures will differ slightly)</w:t>
            </w:r>
          </w:p>
          <w:p w14:paraId="55E9523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advisory : 72,043 characters</w:t>
            </w:r>
          </w:p>
          <w:p w14:paraId="7303EFFA"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KEV      : 1,662 entries, released 2026-08-07</w:t>
            </w:r>
          </w:p>
        </w:tc>
      </w:tr>
    </w:tbl>
    <w:p w14:paraId="0143122C" w14:textId="77777777" w:rsidR="00FD5E4C" w:rsidRPr="003053AF" w:rsidRDefault="00FD5E4C" w:rsidP="003053AF">
      <w:pPr>
        <w:spacing w:line="276" w:lineRule="auto"/>
        <w:rPr>
          <w:rFonts w:ascii="Cambria" w:hAnsi="Cambria"/>
        </w:rPr>
      </w:pPr>
    </w:p>
    <w:tbl>
      <w:tblPr>
        <w:tblW w:w="9360" w:type="dxa"/>
        <w:tblBorders>
          <w:top w:val="single" w:sz="2" w:space="0" w:color="B23A34"/>
          <w:left w:val="single" w:sz="14" w:space="0" w:color="B23A34"/>
          <w:bottom w:val="single" w:sz="2" w:space="0" w:color="B23A34"/>
          <w:right w:val="single" w:sz="2" w:space="0" w:color="B23A3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2E9AF78D" w14:textId="77777777">
        <w:tblPrEx>
          <w:tblCellMar>
            <w:top w:w="0" w:type="dxa"/>
            <w:bottom w:w="0" w:type="dxa"/>
          </w:tblCellMar>
        </w:tblPrEx>
        <w:tc>
          <w:tcPr>
            <w:tcW w:w="9360" w:type="dxa"/>
            <w:shd w:val="clear" w:color="auto" w:fill="FBECEA"/>
            <w:tcMar>
              <w:top w:w="120" w:type="dxa"/>
              <w:left w:w="200" w:type="dxa"/>
              <w:bottom w:w="120" w:type="dxa"/>
              <w:right w:w="180" w:type="dxa"/>
            </w:tcMar>
          </w:tcPr>
          <w:p w14:paraId="051CCAF9"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B23A34"/>
                <w:sz w:val="21"/>
                <w:szCs w:val="21"/>
              </w:rPr>
              <w:t>Plan B — if the CISA fetch fails</w:t>
            </w:r>
          </w:p>
          <w:p w14:paraId="3CA373A5"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Corporate networks and some jurisdictions block </w:t>
            </w:r>
            <w:r w:rsidRPr="003053AF">
              <w:rPr>
                <w:rFonts w:ascii="Cambria" w:eastAsia="Courier New" w:hAnsi="Cambria" w:cs="Courier New"/>
                <w:color w:val="16222F"/>
              </w:rPr>
              <w:t>cisa.gov</w:t>
            </w:r>
            <w:r w:rsidRPr="003053AF">
              <w:rPr>
                <w:rFonts w:ascii="Cambria" w:eastAsia="Calibri" w:hAnsi="Cambria" w:cs="Calibri"/>
                <w:color w:val="16222F"/>
              </w:rPr>
              <w:t>. Two fallbacks, in order:</w:t>
            </w:r>
          </w:p>
          <w:p w14:paraId="65986753"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1.  </w:t>
            </w:r>
            <w:r w:rsidRPr="003053AF">
              <w:rPr>
                <w:rFonts w:ascii="Cambria" w:eastAsia="Calibri" w:hAnsi="Cambria" w:cs="Calibri"/>
                <w:color w:val="16222F"/>
              </w:rPr>
              <w:t>Phone hotspot for ninety seconds. Once the advisory text is in the Colab session you can switch back.</w:t>
            </w:r>
          </w:p>
          <w:p w14:paraId="22C0C8B3"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2.  </w:t>
            </w:r>
            <w:r w:rsidRPr="003053AF">
              <w:rPr>
                <w:rFonts w:ascii="Cambria" w:eastAsia="Calibri" w:hAnsi="Cambria" w:cs="Calibri"/>
                <w:color w:val="16222F"/>
              </w:rPr>
              <w:t xml:space="preserve">Ask the facilitator for </w:t>
            </w:r>
            <w:r w:rsidRPr="003053AF">
              <w:rPr>
                <w:rFonts w:ascii="Cambria" w:eastAsia="Courier New" w:hAnsi="Cambria" w:cs="Courier New"/>
                <w:color w:val="16222F"/>
              </w:rPr>
              <w:t>advisory.txt</w:t>
            </w:r>
            <w:r w:rsidRPr="003053AF">
              <w:rPr>
                <w:rFonts w:ascii="Cambria" w:eastAsia="Calibri" w:hAnsi="Cambria" w:cs="Calibri"/>
                <w:color w:val="16222F"/>
              </w:rPr>
              <w:t>. Upload it with the folder icon in the Colab sidebar, then skip the fetch and run from Section 1.</w:t>
            </w:r>
          </w:p>
          <w:p w14:paraId="58E043EE"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The NVD API is also rate-limited to five requests per thirty seconds without a key. The notebook sleeps between calls; do not remove those sleeps.</w:t>
            </w:r>
          </w:p>
        </w:tc>
      </w:tr>
    </w:tbl>
    <w:p w14:paraId="0A1799E4" w14:textId="77777777" w:rsidR="00FD5E4C" w:rsidRPr="003053AF" w:rsidRDefault="00FD5E4C" w:rsidP="003053AF">
      <w:pPr>
        <w:spacing w:line="276" w:lineRule="auto"/>
        <w:rPr>
          <w:rFonts w:ascii="Cambria" w:hAnsi="Cambria"/>
        </w:rPr>
      </w:pPr>
    </w:p>
    <w:p w14:paraId="4677861C" w14:textId="77777777" w:rsidR="00FD5E4C" w:rsidRPr="003053AF" w:rsidRDefault="00000000" w:rsidP="003053AF">
      <w:pPr>
        <w:spacing w:line="276" w:lineRule="auto"/>
        <w:rPr>
          <w:rFonts w:ascii="Cambria" w:hAnsi="Cambria"/>
        </w:rPr>
      </w:pPr>
      <w:r w:rsidRPr="003053AF">
        <w:rPr>
          <w:rFonts w:ascii="Cambria" w:hAnsi="Cambria"/>
        </w:rPr>
        <w:br w:type="page"/>
      </w:r>
    </w:p>
    <w:p w14:paraId="7260C88B" w14:textId="77777777" w:rsidR="00FD5E4C" w:rsidRPr="003053AF" w:rsidRDefault="00000000" w:rsidP="003053AF">
      <w:pPr>
        <w:pStyle w:val="Heading1"/>
        <w:spacing w:before="340" w:line="276" w:lineRule="auto"/>
        <w:rPr>
          <w:rFonts w:ascii="Cambria" w:hAnsi="Cambria"/>
        </w:rPr>
      </w:pPr>
      <w:bookmarkStart w:id="1" w:name="_Toc237190722"/>
      <w:r w:rsidRPr="003053AF">
        <w:rPr>
          <w:rFonts w:ascii="Cambria" w:eastAsia="Cambria" w:hAnsi="Cambria" w:cs="Cambria"/>
          <w:b/>
          <w:bCs/>
          <w:color w:val="16324C"/>
          <w:sz w:val="34"/>
          <w:szCs w:val="34"/>
        </w:rPr>
        <w:lastRenderedPageBreak/>
        <w:t>Lab 1 — Extract by rule</w:t>
      </w:r>
      <w:bookmarkEnd w:id="1"/>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FD5E4C" w:rsidRPr="003053AF" w14:paraId="7A45C7E1" w14:textId="77777777">
        <w:tblPrEx>
          <w:tblCellMar>
            <w:top w:w="0" w:type="dxa"/>
            <w:bottom w:w="0" w:type="dxa"/>
          </w:tblCellMar>
        </w:tblPrEx>
        <w:tc>
          <w:tcPr>
            <w:tcW w:w="1600" w:type="dxa"/>
            <w:shd w:val="clear" w:color="auto" w:fill="16324C"/>
            <w:tcMar>
              <w:top w:w="130" w:type="dxa"/>
              <w:left w:w="180" w:type="dxa"/>
              <w:bottom w:w="130" w:type="dxa"/>
              <w:right w:w="150" w:type="dxa"/>
            </w:tcMar>
          </w:tcPr>
          <w:p w14:paraId="05FA7DAD"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TIME</w:t>
            </w:r>
          </w:p>
          <w:p w14:paraId="75B40F04"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30 min · solo</w:t>
            </w:r>
          </w:p>
        </w:tc>
        <w:tc>
          <w:tcPr>
            <w:tcW w:w="3380" w:type="dxa"/>
            <w:shd w:val="clear" w:color="auto" w:fill="16324C"/>
            <w:tcMar>
              <w:top w:w="130" w:type="dxa"/>
              <w:left w:w="180" w:type="dxa"/>
              <w:bottom w:w="130" w:type="dxa"/>
              <w:right w:w="150" w:type="dxa"/>
            </w:tcMar>
          </w:tcPr>
          <w:p w14:paraId="17B0FD00"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NEEDS</w:t>
            </w:r>
          </w:p>
          <w:p w14:paraId="7BE695E1"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Sections 1–3 of the notebook</w:t>
            </w:r>
          </w:p>
        </w:tc>
        <w:tc>
          <w:tcPr>
            <w:tcW w:w="4380" w:type="dxa"/>
            <w:shd w:val="clear" w:color="auto" w:fill="16324C"/>
            <w:tcMar>
              <w:top w:w="130" w:type="dxa"/>
              <w:left w:w="180" w:type="dxa"/>
              <w:bottom w:w="130" w:type="dxa"/>
              <w:right w:w="150" w:type="dxa"/>
            </w:tcMar>
          </w:tcPr>
          <w:p w14:paraId="5810D15F"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YOU PRODUCE</w:t>
            </w:r>
          </w:p>
          <w:p w14:paraId="183D1470"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An extraction, a filled pyramid, three prioritisation answers</w:t>
            </w:r>
          </w:p>
        </w:tc>
      </w:tr>
    </w:tbl>
    <w:p w14:paraId="6211EF9B" w14:textId="77777777" w:rsidR="00FD5E4C" w:rsidRPr="003053AF" w:rsidRDefault="00FD5E4C" w:rsidP="003053AF">
      <w:pPr>
        <w:spacing w:line="276" w:lineRule="auto"/>
        <w:rPr>
          <w:rFonts w:ascii="Cambria" w:hAnsi="Cambria"/>
        </w:rPr>
      </w:pPr>
    </w:p>
    <w:p w14:paraId="65220AA9"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 xml:space="preserve">The question this lab answers: </w:t>
      </w:r>
      <w:r w:rsidRPr="003053AF">
        <w:rPr>
          <w:rFonts w:ascii="Cambria" w:eastAsia="Calibri" w:hAnsi="Cambria" w:cs="Calibri"/>
          <w:b/>
          <w:bCs/>
          <w:color w:val="16222F"/>
          <w:sz w:val="21"/>
          <w:szCs w:val="21"/>
        </w:rPr>
        <w:t>which half of your pipeline is allowed to be probabilistic?</w:t>
      </w:r>
      <w:r w:rsidRPr="003053AF">
        <w:rPr>
          <w:rFonts w:ascii="Cambria" w:eastAsia="Calibri" w:hAnsi="Cambria" w:cs="Calibri"/>
          <w:color w:val="16222F"/>
          <w:sz w:val="21"/>
          <w:szCs w:val="21"/>
        </w:rPr>
        <w:t xml:space="preserve"> The answer is the half a human reads — never the half that gets actioned.</w:t>
      </w:r>
    </w:p>
    <w:p w14:paraId="65FFF12D" w14:textId="77777777" w:rsidR="00FD5E4C" w:rsidRPr="003053AF" w:rsidRDefault="00000000" w:rsidP="003053AF">
      <w:pPr>
        <w:pStyle w:val="Heading2"/>
        <w:spacing w:before="260" w:line="276" w:lineRule="auto"/>
        <w:rPr>
          <w:rFonts w:ascii="Cambria" w:hAnsi="Cambria"/>
        </w:rPr>
      </w:pPr>
      <w:bookmarkStart w:id="2" w:name="_Toc237190723"/>
      <w:r w:rsidRPr="003053AF">
        <w:rPr>
          <w:rFonts w:ascii="Cambria" w:eastAsia="Cambria" w:hAnsi="Cambria" w:cs="Cambria"/>
          <w:b/>
          <w:bCs/>
          <w:color w:val="16324C"/>
        </w:rPr>
        <w:t>Part A — Run both extractors and count what you lost (11 minutes)</w:t>
      </w:r>
      <w:bookmarkEnd w:id="2"/>
    </w:p>
    <w:p w14:paraId="26D427E3"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Run Section 1. It applies a standard IOC regex set to the advisory text.</w:t>
      </w:r>
    </w:p>
    <w:p w14:paraId="340AEF74"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Look at the IP count before you go on.</w:t>
      </w: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51C1BE3A"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229113A1"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 — the naive pass</w:t>
            </w:r>
          </w:p>
          <w:p w14:paraId="32AABCD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ipv4     0</w:t>
            </w:r>
          </w:p>
          <w:p w14:paraId="5B1B442B"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domain   10</w:t>
            </w:r>
          </w:p>
          <w:p w14:paraId="40130B13"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sha256   5</w:t>
            </w:r>
          </w:p>
          <w:p w14:paraId="359CAF7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md5      0</w:t>
            </w:r>
          </w:p>
          <w:p w14:paraId="57055B93"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cve      1</w:t>
            </w:r>
          </w:p>
          <w:p w14:paraId="0396F856"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attack   36</w:t>
            </w:r>
          </w:p>
        </w:tc>
      </w:tr>
    </w:tbl>
    <w:p w14:paraId="10AB9FC0" w14:textId="77777777" w:rsidR="00FD5E4C" w:rsidRPr="003053AF" w:rsidRDefault="00FD5E4C" w:rsidP="003053AF">
      <w:pPr>
        <w:spacing w:line="276" w:lineRule="auto"/>
        <w:rPr>
          <w:rFonts w:ascii="Cambria" w:hAnsi="Cambria"/>
        </w:rPr>
      </w:pP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4DB9EEFB"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231C32B6"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What just happened</w:t>
            </w:r>
          </w:p>
          <w:p w14:paraId="0BD23F2C"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An advisory that describes adversary infrastructure across dozens of paragraphs reported </w:t>
            </w:r>
            <w:r w:rsidRPr="003053AF">
              <w:rPr>
                <w:rFonts w:ascii="Cambria" w:eastAsia="Calibri" w:hAnsi="Cambria" w:cs="Calibri"/>
                <w:b/>
                <w:bCs/>
                <w:color w:val="16222F"/>
              </w:rPr>
              <w:t>zero</w:t>
            </w:r>
            <w:r w:rsidRPr="003053AF">
              <w:rPr>
                <w:rFonts w:ascii="Cambria" w:eastAsia="Calibri" w:hAnsi="Cambria" w:cs="Calibri"/>
                <w:color w:val="16222F"/>
              </w:rPr>
              <w:t xml:space="preserve"> IP addresses. The regex is correct. The assumption behind it is not.</w:t>
            </w:r>
          </w:p>
          <w:p w14:paraId="1BCE204D"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Advisories </w:t>
            </w:r>
            <w:r w:rsidRPr="003053AF">
              <w:rPr>
                <w:rFonts w:ascii="Cambria" w:eastAsia="Calibri" w:hAnsi="Cambria" w:cs="Calibri"/>
                <w:b/>
                <w:bCs/>
                <w:color w:val="16222F"/>
              </w:rPr>
              <w:t>defang</w:t>
            </w:r>
            <w:r w:rsidRPr="003053AF">
              <w:rPr>
                <w:rFonts w:ascii="Cambria" w:eastAsia="Calibri" w:hAnsi="Cambria" w:cs="Calibri"/>
                <w:color w:val="16222F"/>
              </w:rPr>
              <w:t xml:space="preserve"> indicators on purpose — so a reader cannot click a live malicious link by accident, and so the document does not trip a mail filter. </w:t>
            </w:r>
            <w:r w:rsidRPr="003053AF">
              <w:rPr>
                <w:rFonts w:ascii="Cambria" w:eastAsia="Courier New" w:hAnsi="Cambria" w:cs="Courier New"/>
                <w:color w:val="16222F"/>
              </w:rPr>
              <w:t>1.2.3[.]4</w:t>
            </w:r>
            <w:r w:rsidRPr="003053AF">
              <w:rPr>
                <w:rFonts w:ascii="Cambria" w:eastAsia="Calibri" w:hAnsi="Cambria" w:cs="Calibri"/>
                <w:color w:val="16222F"/>
              </w:rPr>
              <w:t xml:space="preserve"> is not an IPv4 address to a pattern matcher; it is a string with brackets in it.</w:t>
            </w:r>
          </w:p>
        </w:tc>
      </w:tr>
    </w:tbl>
    <w:p w14:paraId="7111F82F" w14:textId="77777777" w:rsidR="00FD5E4C" w:rsidRPr="003053AF" w:rsidRDefault="00FD5E4C" w:rsidP="003053AF">
      <w:pPr>
        <w:spacing w:line="276" w:lineRule="auto"/>
        <w:rPr>
          <w:rFonts w:ascii="Cambria" w:hAnsi="Cambria"/>
        </w:rPr>
      </w:pPr>
    </w:p>
    <w:p w14:paraId="596B1D95"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Run the refang cell, then the comparison.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0C96D043" w14:textId="77777777">
        <w:tblPrEx>
          <w:tblCellMar>
            <w:top w:w="0" w:type="dxa"/>
            <w:bottom w:w="0" w:type="dxa"/>
          </w:tblCellMar>
        </w:tblPrEx>
        <w:tc>
          <w:tcPr>
            <w:tcW w:w="9360" w:type="dxa"/>
            <w:shd w:val="clear" w:color="auto" w:fill="1A2634"/>
            <w:tcMar>
              <w:top w:w="140" w:type="dxa"/>
              <w:left w:w="200" w:type="dxa"/>
              <w:bottom w:w="140" w:type="dxa"/>
              <w:right w:w="180" w:type="dxa"/>
            </w:tcMar>
          </w:tcPr>
          <w:p w14:paraId="7D5AB65D"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8FA3B5"/>
                <w:sz w:val="17"/>
                <w:szCs w:val="17"/>
              </w:rPr>
              <w:t>SECTION 1 — the fix is one substitution, applied before extraction</w:t>
            </w:r>
          </w:p>
          <w:p w14:paraId="1C131ACD"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def refang(text):</w:t>
            </w:r>
          </w:p>
          <w:p w14:paraId="23F7FE9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text = re.sub(r"\[\.\]|\(\.\)|\{\.\}", ".", text)</w:t>
            </w:r>
          </w:p>
          <w:p w14:paraId="7BEFCC8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text = re.sub(r"\[:\]", ":", text)</w:t>
            </w:r>
          </w:p>
          <w:p w14:paraId="39878FF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text = re.sub(r"\bh(?:xx|XX)(p|ps)\b", r"htt\1", text, flags=re.I)</w:t>
            </w:r>
          </w:p>
          <w:p w14:paraId="20AC01D4"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text = re.sub(r"\[(?:at|@)\]", "@", text, flags=re.I)</w:t>
            </w:r>
          </w:p>
          <w:p w14:paraId="01CEF3D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return text</w:t>
            </w:r>
          </w:p>
          <w:p w14:paraId="7B6D401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w:t>
            </w:r>
          </w:p>
          <w:p w14:paraId="293FB88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aware = extract(refang(TEXT))     # refang first, extract second</w:t>
            </w:r>
          </w:p>
        </w:tc>
      </w:tr>
    </w:tbl>
    <w:p w14:paraId="10C05D2E" w14:textId="77777777" w:rsidR="00FD5E4C" w:rsidRPr="003053AF" w:rsidRDefault="00FD5E4C" w:rsidP="003053AF">
      <w:pPr>
        <w:spacing w:line="276" w:lineRule="auto"/>
        <w:rPr>
          <w:rFonts w:ascii="Cambria" w:hAnsi="Cambria"/>
        </w:rPr>
      </w:pP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69A3FED6"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3EC36216"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w:t>
            </w:r>
          </w:p>
          <w:p w14:paraId="6896BE8E"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xml:space="preserve">        naive  refanged  missed</w:t>
            </w:r>
          </w:p>
          <w:p w14:paraId="7A19423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ipv4        0         9       9</w:t>
            </w:r>
          </w:p>
          <w:p w14:paraId="360F63F9"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domain     10        19       9</w:t>
            </w:r>
          </w:p>
          <w:p w14:paraId="077B0F5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sha256      5         5       0</w:t>
            </w:r>
          </w:p>
          <w:p w14:paraId="17075152"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md5         0         0       0</w:t>
            </w:r>
          </w:p>
          <w:p w14:paraId="0EC787CA"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cve         1         1       0</w:t>
            </w:r>
          </w:p>
          <w:p w14:paraId="17B1116C"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attack     36        36       0</w:t>
            </w:r>
          </w:p>
          <w:p w14:paraId="7EF6292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xml:space="preserve"> </w:t>
            </w:r>
          </w:p>
          <w:p w14:paraId="4496DED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network indicators: 10 of 28</w:t>
            </w:r>
          </w:p>
          <w:p w14:paraId="6AEEE3BF"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naive recall = 35.7%</w:t>
            </w:r>
          </w:p>
        </w:tc>
      </w:tr>
    </w:tbl>
    <w:p w14:paraId="537439AC" w14:textId="77777777" w:rsidR="00FD5E4C" w:rsidRPr="003053AF" w:rsidRDefault="00FD5E4C" w:rsidP="003053AF">
      <w:pPr>
        <w:spacing w:line="276" w:lineRule="auto"/>
        <w:rPr>
          <w:rFonts w:ascii="Cambria" w:hAnsi="Cambria"/>
        </w:rPr>
      </w:pPr>
    </w:p>
    <w:p w14:paraId="2CD564D6" w14:textId="77777777" w:rsidR="00FD5E4C" w:rsidRPr="003053AF" w:rsidRDefault="00000000" w:rsidP="003053AF">
      <w:pPr>
        <w:spacing w:before="120" w:line="276" w:lineRule="auto"/>
        <w:jc w:val="center"/>
        <w:rPr>
          <w:rFonts w:ascii="Cambria" w:hAnsi="Cambria"/>
        </w:rPr>
      </w:pPr>
      <w:r w:rsidRPr="003053AF">
        <w:rPr>
          <w:rFonts w:ascii="Cambria" w:hAnsi="Cambria"/>
          <w:noProof/>
        </w:rPr>
        <w:drawing>
          <wp:inline distT="0" distB="0" distL="0" distR="0" wp14:anchorId="223C1C95" wp14:editId="772137B9">
            <wp:extent cx="4937760" cy="2542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7760" cy="2542032"/>
                    </a:xfrm>
                    <a:prstGeom prst="rect">
                      <a:avLst/>
                    </a:prstGeom>
                  </pic:spPr>
                </pic:pic>
              </a:graphicData>
            </a:graphic>
          </wp:inline>
        </w:drawing>
      </w:r>
    </w:p>
    <w:p w14:paraId="118A280F" w14:textId="77777777" w:rsidR="00FD5E4C" w:rsidRPr="003053AF" w:rsidRDefault="00000000" w:rsidP="003053AF">
      <w:pPr>
        <w:spacing w:line="276" w:lineRule="auto"/>
        <w:jc w:val="center"/>
        <w:rPr>
          <w:rFonts w:ascii="Cambria" w:hAnsi="Cambria"/>
        </w:rPr>
      </w:pPr>
      <w:r w:rsidRPr="003053AF">
        <w:rPr>
          <w:rFonts w:ascii="Cambria" w:eastAsia="Calibri" w:hAnsi="Cambria" w:cs="Calibri"/>
          <w:i/>
          <w:iCs/>
          <w:color w:val="5C6B7A"/>
          <w:sz w:val="18"/>
          <w:szCs w:val="18"/>
        </w:rPr>
        <w:t>Figure 1 — one line of code, on one real advisory.</w:t>
      </w: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4E289737"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7C2F7168"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What just happened</w:t>
            </w:r>
          </w:p>
          <w:p w14:paraId="431E9832"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Hashes and technique IDs are unaffected — they contain no dots to defang. </w:t>
            </w:r>
            <w:r w:rsidRPr="003053AF">
              <w:rPr>
                <w:rFonts w:ascii="Cambria" w:eastAsia="Calibri" w:hAnsi="Cambria" w:cs="Calibri"/>
                <w:b/>
                <w:bCs/>
                <w:color w:val="16222F"/>
              </w:rPr>
              <w:t>The entire loss is in the network indicators</w:t>
            </w:r>
            <w:r w:rsidRPr="003053AF">
              <w:rPr>
                <w:rFonts w:ascii="Cambria" w:eastAsia="Calibri" w:hAnsi="Cambria" w:cs="Calibri"/>
                <w:color w:val="16222F"/>
              </w:rPr>
              <w:t>, which is the half that gets pushed into blocklists.</w:t>
            </w:r>
          </w:p>
          <w:p w14:paraId="07C181EC"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A pipeline built the naive way does not error. It reports ten indicators, cleanly, every day. The failure is silent, and the only way to notice is to read the source yourself — which is the reading the automation was bought to save you.</w:t>
            </w:r>
          </w:p>
          <w:p w14:paraId="25A1E05A"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That is the shape of most extraction failures: not wrong output, but confidently incomplete output.</w:t>
            </w:r>
          </w:p>
        </w:tc>
      </w:tr>
    </w:tbl>
    <w:p w14:paraId="063DED81" w14:textId="77777777" w:rsidR="00FD5E4C" w:rsidRPr="003053AF" w:rsidRDefault="00FD5E4C" w:rsidP="003053AF">
      <w:pPr>
        <w:spacing w:line="276" w:lineRule="auto"/>
        <w:rPr>
          <w:rFonts w:ascii="Cambria" w:hAnsi="Cambria"/>
        </w:rPr>
      </w:pPr>
    </w:p>
    <w:tbl>
      <w:tblPr>
        <w:tblW w:w="9360" w:type="dxa"/>
        <w:tblBorders>
          <w:top w:val="single" w:sz="2" w:space="0" w:color="2C6E56"/>
          <w:left w:val="single" w:sz="14" w:space="0" w:color="2C6E56"/>
          <w:bottom w:val="single" w:sz="2" w:space="0" w:color="2C6E56"/>
          <w:right w:val="single" w:sz="2" w:space="0" w:color="2C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6C02CB4E" w14:textId="77777777">
        <w:tblPrEx>
          <w:tblCellMar>
            <w:top w:w="0" w:type="dxa"/>
            <w:bottom w:w="0" w:type="dxa"/>
          </w:tblCellMar>
        </w:tblPrEx>
        <w:tc>
          <w:tcPr>
            <w:tcW w:w="9360" w:type="dxa"/>
            <w:shd w:val="clear" w:color="auto" w:fill="EAF2ED"/>
            <w:tcMar>
              <w:top w:w="120" w:type="dxa"/>
              <w:left w:w="200" w:type="dxa"/>
              <w:bottom w:w="120" w:type="dxa"/>
              <w:right w:w="180" w:type="dxa"/>
            </w:tcMar>
          </w:tcPr>
          <w:p w14:paraId="10CD1D25"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2C6E56"/>
                <w:sz w:val="21"/>
                <w:szCs w:val="21"/>
              </w:rPr>
              <w:t>Checkpoint A</w:t>
            </w:r>
          </w:p>
          <w:p w14:paraId="27E3DF85"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You can state the naive recall figure (35.7% on the day this was written) and explain in one sentence why hashes were unaffected.</w:t>
            </w:r>
          </w:p>
        </w:tc>
      </w:tr>
    </w:tbl>
    <w:p w14:paraId="423E4EF2" w14:textId="77777777" w:rsidR="00FD5E4C" w:rsidRPr="003053AF" w:rsidRDefault="00FD5E4C" w:rsidP="003053AF">
      <w:pPr>
        <w:spacing w:line="276" w:lineRule="auto"/>
        <w:rPr>
          <w:rFonts w:ascii="Cambria" w:hAnsi="Cambria"/>
        </w:rPr>
      </w:pPr>
    </w:p>
    <w:tbl>
      <w:tblPr>
        <w:tblW w:w="9360" w:type="dxa"/>
        <w:tblBorders>
          <w:top w:val="single" w:sz="2" w:space="0" w:color="B87A1E"/>
          <w:left w:val="single" w:sz="14" w:space="0" w:color="B87A1E"/>
          <w:bottom w:val="single" w:sz="2" w:space="0" w:color="B87A1E"/>
          <w:right w:val="single" w:sz="2" w:space="0" w:color="B87A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349AF13E" w14:textId="77777777">
        <w:tblPrEx>
          <w:tblCellMar>
            <w:top w:w="0" w:type="dxa"/>
            <w:bottom w:w="0" w:type="dxa"/>
          </w:tblCellMar>
        </w:tblPrEx>
        <w:tc>
          <w:tcPr>
            <w:tcW w:w="9360" w:type="dxa"/>
            <w:shd w:val="clear" w:color="auto" w:fill="FBEFDC"/>
            <w:tcMar>
              <w:top w:w="120" w:type="dxa"/>
              <w:left w:w="200" w:type="dxa"/>
              <w:bottom w:w="120" w:type="dxa"/>
              <w:right w:w="180" w:type="dxa"/>
            </w:tcMar>
          </w:tcPr>
          <w:p w14:paraId="6B676B0F"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B87A1E"/>
                <w:sz w:val="21"/>
                <w:szCs w:val="21"/>
              </w:rPr>
              <w:t>The instruction that transfers</w:t>
            </w:r>
          </w:p>
          <w:p w14:paraId="798313C9"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Test your extractor once against a document you have read by hand. It takes an hour, and it is the only way this class of failure ever surfaces. Coverage metrics will not show it — the counts look normal.</w:t>
            </w:r>
          </w:p>
        </w:tc>
      </w:tr>
    </w:tbl>
    <w:p w14:paraId="3725AEAA" w14:textId="77777777" w:rsidR="00FD5E4C" w:rsidRPr="003053AF" w:rsidRDefault="00FD5E4C" w:rsidP="003053AF">
      <w:pPr>
        <w:spacing w:line="276" w:lineRule="auto"/>
        <w:rPr>
          <w:rFonts w:ascii="Cambria" w:hAnsi="Cambria"/>
        </w:rPr>
      </w:pPr>
    </w:p>
    <w:p w14:paraId="3BAA931D" w14:textId="77777777" w:rsidR="00FD5E4C" w:rsidRPr="003053AF" w:rsidRDefault="00000000" w:rsidP="003053AF">
      <w:pPr>
        <w:spacing w:line="276" w:lineRule="auto"/>
        <w:rPr>
          <w:rFonts w:ascii="Cambria" w:hAnsi="Cambria"/>
        </w:rPr>
      </w:pPr>
      <w:r w:rsidRPr="003053AF">
        <w:rPr>
          <w:rFonts w:ascii="Cambria" w:hAnsi="Cambria"/>
        </w:rPr>
        <w:br w:type="page"/>
      </w:r>
    </w:p>
    <w:p w14:paraId="19DA93D5" w14:textId="77777777" w:rsidR="00FD5E4C" w:rsidRPr="003053AF" w:rsidRDefault="00000000" w:rsidP="003053AF">
      <w:pPr>
        <w:pStyle w:val="Heading2"/>
        <w:spacing w:before="260" w:line="276" w:lineRule="auto"/>
        <w:rPr>
          <w:rFonts w:ascii="Cambria" w:hAnsi="Cambria"/>
        </w:rPr>
      </w:pPr>
      <w:bookmarkStart w:id="3" w:name="_Toc237190724"/>
      <w:r w:rsidRPr="003053AF">
        <w:rPr>
          <w:rFonts w:ascii="Cambria" w:eastAsia="Cambria" w:hAnsi="Cambria" w:cs="Cambria"/>
          <w:b/>
          <w:bCs/>
          <w:color w:val="16324C"/>
        </w:rPr>
        <w:lastRenderedPageBreak/>
        <w:t>Part B — Fill the pyramid (11 minutes)</w:t>
      </w:r>
      <w:bookmarkEnd w:id="3"/>
    </w:p>
    <w:p w14:paraId="7166131D"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 xml:space="preserve">Bianco's Pyramid of Pain (2013). The vertical axis is not importance — it is </w:t>
      </w:r>
      <w:r w:rsidRPr="003053AF">
        <w:rPr>
          <w:rFonts w:ascii="Cambria" w:eastAsia="Calibri" w:hAnsi="Cambria" w:cs="Calibri"/>
          <w:b/>
          <w:bCs/>
          <w:color w:val="16222F"/>
          <w:sz w:val="21"/>
          <w:szCs w:val="21"/>
        </w:rPr>
        <w:t>how much it costs the adversary to change</w:t>
      </w:r>
      <w:r w:rsidRPr="003053AF">
        <w:rPr>
          <w:rFonts w:ascii="Cambria" w:eastAsia="Calibri" w:hAnsi="Cambria" w:cs="Calibri"/>
          <w:color w:val="16222F"/>
          <w:sz w:val="21"/>
          <w:szCs w:val="21"/>
        </w:rPr>
        <w:t>. A hash dies when one byte changes. An IP is trivially rotated and is often shared with innocent parties. Changing how you work is expensive, slow and visible.</w:t>
      </w:r>
    </w:p>
    <w:p w14:paraId="73F83D56"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Run Section 2. It buckets everything you extracted into the six tiers.</w:t>
      </w: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48CCCC5B"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15560B8C"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w:t>
            </w:r>
          </w:p>
          <w:p w14:paraId="2105C4B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TTPs (ATT&amp;CK techniques)      36</w:t>
            </w:r>
          </w:p>
          <w:p w14:paraId="75586590"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Tools                          0</w:t>
            </w:r>
          </w:p>
          <w:p w14:paraId="5B3D3148"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Network / host artefacts       0</w:t>
            </w:r>
          </w:p>
          <w:p w14:paraId="55988D9E"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Domain names                  19</w:t>
            </w:r>
          </w:p>
          <w:p w14:paraId="587DC6E8"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IP addresses                   9</w:t>
            </w:r>
          </w:p>
          <w:p w14:paraId="6C448A52"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Hash values                    5</w:t>
            </w:r>
          </w:p>
          <w:p w14:paraId="1C7B560A"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xml:space="preserve"> </w:t>
            </w:r>
          </w:p>
          <w:p w14:paraId="42A086FD"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below the line (cheap to change): 33</w:t>
            </w:r>
          </w:p>
          <w:p w14:paraId="23676B15"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above the line (expensive)      : 36</w:t>
            </w:r>
          </w:p>
          <w:p w14:paraId="5183CFEE"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share below the line: 47.8%</w:t>
            </w:r>
          </w:p>
        </w:tc>
      </w:tr>
    </w:tbl>
    <w:p w14:paraId="73C8924D" w14:textId="77777777" w:rsidR="00FD5E4C" w:rsidRPr="003053AF" w:rsidRDefault="00FD5E4C" w:rsidP="003053AF">
      <w:pPr>
        <w:spacing w:line="276" w:lineRule="auto"/>
        <w:rPr>
          <w:rFonts w:ascii="Cambria" w:hAnsi="Cambria"/>
        </w:rPr>
      </w:pPr>
    </w:p>
    <w:p w14:paraId="70A18C9B" w14:textId="77777777" w:rsidR="00FD5E4C" w:rsidRPr="003053AF" w:rsidRDefault="00000000" w:rsidP="003053AF">
      <w:pPr>
        <w:spacing w:before="120" w:line="276" w:lineRule="auto"/>
        <w:jc w:val="center"/>
        <w:rPr>
          <w:rFonts w:ascii="Cambria" w:hAnsi="Cambria"/>
        </w:rPr>
      </w:pPr>
      <w:r w:rsidRPr="003053AF">
        <w:rPr>
          <w:rFonts w:ascii="Cambria" w:hAnsi="Cambria"/>
          <w:noProof/>
        </w:rPr>
        <w:drawing>
          <wp:inline distT="0" distB="0" distL="0" distR="0" wp14:anchorId="5063ABDE" wp14:editId="1AC540A3">
            <wp:extent cx="5394960" cy="3236976"/>
            <wp:effectExtent l="0" t="0" r="0" b="0"/>
            <wp:docPr id="1135834720" name="Picture 113583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4960" cy="3236976"/>
                    </a:xfrm>
                    <a:prstGeom prst="rect">
                      <a:avLst/>
                    </a:prstGeom>
                  </pic:spPr>
                </pic:pic>
              </a:graphicData>
            </a:graphic>
          </wp:inline>
        </w:drawing>
      </w:r>
    </w:p>
    <w:p w14:paraId="009C013C" w14:textId="77777777" w:rsidR="00FD5E4C" w:rsidRPr="003053AF" w:rsidRDefault="00000000" w:rsidP="003053AF">
      <w:pPr>
        <w:spacing w:line="276" w:lineRule="auto"/>
        <w:jc w:val="center"/>
        <w:rPr>
          <w:rFonts w:ascii="Cambria" w:hAnsi="Cambria"/>
        </w:rPr>
      </w:pPr>
      <w:r w:rsidRPr="003053AF">
        <w:rPr>
          <w:rFonts w:ascii="Cambria" w:eastAsia="Calibri" w:hAnsi="Cambria" w:cs="Calibri"/>
          <w:i/>
          <w:iCs/>
          <w:color w:val="5C6B7A"/>
          <w:sz w:val="18"/>
          <w:szCs w:val="18"/>
        </w:rPr>
        <w:t>Figure 2 — the pyramid, filled with what this advisory actually contains.</w:t>
      </w: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1497423"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7BE81610"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Two things to write down</w:t>
            </w:r>
          </w:p>
          <w:p w14:paraId="11A357A8"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1.  </w:t>
            </w:r>
            <w:r w:rsidRPr="003053AF">
              <w:rPr>
                <w:rFonts w:ascii="Cambria" w:eastAsia="Calibri" w:hAnsi="Cambria" w:cs="Calibri"/>
                <w:color w:val="16222F"/>
              </w:rPr>
              <w:t xml:space="preserve">This advisory is </w:t>
            </w:r>
            <w:r w:rsidRPr="003053AF">
              <w:rPr>
                <w:rFonts w:ascii="Cambria" w:eastAsia="Calibri" w:hAnsi="Cambria" w:cs="Calibri"/>
                <w:b/>
                <w:bCs/>
                <w:color w:val="16222F"/>
              </w:rPr>
              <w:t>unusually good</w:t>
            </w:r>
            <w:r w:rsidRPr="003053AF">
              <w:rPr>
                <w:rFonts w:ascii="Cambria" w:eastAsia="Calibri" w:hAnsi="Cambria" w:cs="Calibri"/>
                <w:color w:val="16222F"/>
              </w:rPr>
              <w:t>: 36 technique IDs against 33 bottom-tier indicators, so roughly half its extractable value sits above the line. Most commercial indicator feeds are 100% bottom three tiers, because that is the part that is cheap to produce at volume. Do not leave thinking advisories are generally this rich.</w:t>
            </w:r>
          </w:p>
          <w:p w14:paraId="42668001"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2.  </w:t>
            </w:r>
            <w:r w:rsidRPr="003053AF">
              <w:rPr>
                <w:rFonts w:ascii="Cambria" w:eastAsia="Calibri" w:hAnsi="Cambria" w:cs="Calibri"/>
                <w:color w:val="16222F"/>
              </w:rPr>
              <w:t>A feed priced per indicator is priced by the tier that expires fastest. That is not an accident, and it is worth saying in a procurement conversation.</w:t>
            </w:r>
          </w:p>
        </w:tc>
      </w:tr>
    </w:tbl>
    <w:p w14:paraId="29F95163" w14:textId="77777777" w:rsidR="00FD5E4C" w:rsidRPr="003053AF" w:rsidRDefault="00FD5E4C" w:rsidP="003053AF">
      <w:pPr>
        <w:spacing w:line="276" w:lineRule="auto"/>
        <w:rPr>
          <w:rFonts w:ascii="Cambria" w:hAnsi="Cambria"/>
        </w:rPr>
      </w:pPr>
    </w:p>
    <w:tbl>
      <w:tblPr>
        <w:tblW w:w="9360" w:type="dxa"/>
        <w:tblBorders>
          <w:top w:val="single" w:sz="2" w:space="0" w:color="2C6E56"/>
          <w:left w:val="single" w:sz="14" w:space="0" w:color="2C6E56"/>
          <w:bottom w:val="single" w:sz="2" w:space="0" w:color="2C6E56"/>
          <w:right w:val="single" w:sz="2" w:space="0" w:color="2C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389DCA1" w14:textId="77777777">
        <w:tblPrEx>
          <w:tblCellMar>
            <w:top w:w="0" w:type="dxa"/>
            <w:bottom w:w="0" w:type="dxa"/>
          </w:tblCellMar>
        </w:tblPrEx>
        <w:tc>
          <w:tcPr>
            <w:tcW w:w="9360" w:type="dxa"/>
            <w:shd w:val="clear" w:color="auto" w:fill="EAF2ED"/>
            <w:tcMar>
              <w:top w:w="120" w:type="dxa"/>
              <w:left w:w="200" w:type="dxa"/>
              <w:bottom w:w="120" w:type="dxa"/>
              <w:right w:w="180" w:type="dxa"/>
            </w:tcMar>
          </w:tcPr>
          <w:p w14:paraId="5CB40161"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2C6E56"/>
                <w:sz w:val="21"/>
                <w:szCs w:val="21"/>
              </w:rPr>
              <w:t>Checkpoint B</w:t>
            </w:r>
          </w:p>
          <w:p w14:paraId="00A5CBD8"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You can name which tier a hash sits in, why detection built on behaviour lasts longer, and what that implies about a feed sold by volume.</w:t>
            </w:r>
          </w:p>
        </w:tc>
      </w:tr>
    </w:tbl>
    <w:p w14:paraId="0AE2116A" w14:textId="77777777" w:rsidR="00FD5E4C" w:rsidRPr="003053AF" w:rsidRDefault="00FD5E4C" w:rsidP="003053AF">
      <w:pPr>
        <w:spacing w:line="276" w:lineRule="auto"/>
        <w:rPr>
          <w:rFonts w:ascii="Cambria" w:hAnsi="Cambria"/>
        </w:rPr>
      </w:pPr>
    </w:p>
    <w:p w14:paraId="1DC2D75E" w14:textId="77777777" w:rsidR="00FD5E4C" w:rsidRPr="003053AF" w:rsidRDefault="00000000" w:rsidP="003053AF">
      <w:pPr>
        <w:pStyle w:val="Heading2"/>
        <w:spacing w:before="260" w:line="276" w:lineRule="auto"/>
        <w:rPr>
          <w:rFonts w:ascii="Cambria" w:hAnsi="Cambria"/>
        </w:rPr>
      </w:pPr>
      <w:bookmarkStart w:id="4" w:name="_Toc237190725"/>
      <w:r w:rsidRPr="003053AF">
        <w:rPr>
          <w:rFonts w:ascii="Cambria" w:eastAsia="Cambria" w:hAnsi="Cambria" w:cs="Cambria"/>
          <w:b/>
          <w:bCs/>
          <w:color w:val="16324C"/>
        </w:rPr>
        <w:lastRenderedPageBreak/>
        <w:t>Part C — Three questions, three answers (8 minutes)</w:t>
      </w:r>
      <w:bookmarkEnd w:id="4"/>
    </w:p>
    <w:p w14:paraId="56CCEC0A"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Severity, exploitation and risk are three different variables that get collapsed into one number constantly. Run Section 3.</w:t>
      </w: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FBDAB29"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0E8832FF"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 (live figures — yours will differ)</w:t>
            </w:r>
          </w:p>
          <w:p w14:paraId="1A1921AD"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CVEs rated CRITICAL            : 30,466</w:t>
            </w:r>
          </w:p>
          <w:p w14:paraId="512DB6CC"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...of which known exploited    : 479  (1.57%)</w:t>
            </w:r>
          </w:p>
          <w:p w14:paraId="61CA9EDA"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Known exploited, total         : 1,662</w:t>
            </w:r>
          </w:p>
          <w:p w14:paraId="353CFCDE"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...NOT rated critical          : 1,183  (71.2%)</w:t>
            </w:r>
          </w:p>
        </w:tc>
      </w:tr>
    </w:tbl>
    <w:p w14:paraId="2A5C2DEB" w14:textId="77777777" w:rsidR="00FD5E4C" w:rsidRPr="003053AF" w:rsidRDefault="00FD5E4C" w:rsidP="003053AF">
      <w:pPr>
        <w:spacing w:line="276" w:lineRule="auto"/>
        <w:rPr>
          <w:rFonts w:ascii="Cambria" w:hAnsi="Cambria"/>
        </w:rPr>
      </w:pPr>
    </w:p>
    <w:p w14:paraId="2D5A6B1C" w14:textId="77777777" w:rsidR="00FD5E4C" w:rsidRPr="003053AF" w:rsidRDefault="00000000" w:rsidP="003053AF">
      <w:pPr>
        <w:spacing w:before="120" w:line="276" w:lineRule="auto"/>
        <w:jc w:val="center"/>
        <w:rPr>
          <w:rFonts w:ascii="Cambria" w:hAnsi="Cambria"/>
        </w:rPr>
      </w:pPr>
      <w:r w:rsidRPr="003053AF">
        <w:rPr>
          <w:rFonts w:ascii="Cambria" w:hAnsi="Cambria"/>
          <w:noProof/>
        </w:rPr>
        <w:drawing>
          <wp:inline distT="0" distB="0" distL="0" distR="0" wp14:anchorId="1C4D70A7" wp14:editId="61E77C6D">
            <wp:extent cx="4937760" cy="2542032"/>
            <wp:effectExtent l="0" t="0" r="0" b="0"/>
            <wp:docPr id="1925657930" name="Picture 192565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7760" cy="2542032"/>
                    </a:xfrm>
                    <a:prstGeom prst="rect">
                      <a:avLst/>
                    </a:prstGeom>
                  </pic:spPr>
                </pic:pic>
              </a:graphicData>
            </a:graphic>
          </wp:inline>
        </w:drawing>
      </w:r>
    </w:p>
    <w:p w14:paraId="00CBE9BE" w14:textId="77777777" w:rsidR="00FD5E4C" w:rsidRPr="003053AF" w:rsidRDefault="00000000" w:rsidP="003053AF">
      <w:pPr>
        <w:spacing w:line="276" w:lineRule="auto"/>
        <w:jc w:val="center"/>
        <w:rPr>
          <w:rFonts w:ascii="Cambria" w:hAnsi="Cambria"/>
        </w:rPr>
      </w:pPr>
      <w:r w:rsidRPr="003053AF">
        <w:rPr>
          <w:rFonts w:ascii="Cambria" w:eastAsia="Calibri" w:hAnsi="Cambria" w:cs="Calibri"/>
          <w:i/>
          <w:iCs/>
          <w:color w:val="5C6B7A"/>
          <w:sz w:val="18"/>
          <w:szCs w:val="18"/>
        </w:rPr>
        <w:t>Figure 3 — three different questions, routinely answered with one number.</w:t>
      </w:r>
    </w:p>
    <w:tbl>
      <w:tblPr>
        <w:tblW w:w="9360" w:type="dxa"/>
        <w:tblBorders>
          <w:top w:val="single" w:sz="2" w:space="0" w:color="D8E0E8"/>
          <w:left w:val="single" w:sz="2" w:space="0" w:color="D8E0E8"/>
          <w:bottom w:val="single" w:sz="2" w:space="0" w:color="D8E0E8"/>
          <w:right w:val="single" w:sz="2"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1700"/>
        <w:gridCol w:w="3100"/>
        <w:gridCol w:w="4560"/>
      </w:tblGrid>
      <w:tr w:rsidR="00FD5E4C" w:rsidRPr="003053AF" w14:paraId="0D485007" w14:textId="77777777">
        <w:tblPrEx>
          <w:tblCellMar>
            <w:top w:w="0" w:type="dxa"/>
            <w:bottom w:w="0" w:type="dxa"/>
          </w:tblCellMar>
        </w:tblPrEx>
        <w:trPr>
          <w:tblHeader/>
        </w:trPr>
        <w:tc>
          <w:tcPr>
            <w:tcW w:w="1700" w:type="dxa"/>
            <w:shd w:val="clear" w:color="auto" w:fill="16324C"/>
            <w:tcMar>
              <w:top w:w="100" w:type="dxa"/>
              <w:left w:w="140" w:type="dxa"/>
              <w:bottom w:w="100" w:type="dxa"/>
              <w:right w:w="120" w:type="dxa"/>
            </w:tcMar>
          </w:tcPr>
          <w:p w14:paraId="29D2C5F6"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Signal</w:t>
            </w:r>
          </w:p>
        </w:tc>
        <w:tc>
          <w:tcPr>
            <w:tcW w:w="3100" w:type="dxa"/>
            <w:shd w:val="clear" w:color="auto" w:fill="16324C"/>
            <w:tcMar>
              <w:top w:w="100" w:type="dxa"/>
              <w:left w:w="140" w:type="dxa"/>
              <w:bottom w:w="100" w:type="dxa"/>
              <w:right w:w="120" w:type="dxa"/>
            </w:tcMar>
          </w:tcPr>
          <w:p w14:paraId="16014118"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What it answers</w:t>
            </w:r>
          </w:p>
        </w:tc>
        <w:tc>
          <w:tcPr>
            <w:tcW w:w="4560" w:type="dxa"/>
            <w:shd w:val="clear" w:color="auto" w:fill="16324C"/>
            <w:tcMar>
              <w:top w:w="100" w:type="dxa"/>
              <w:left w:w="140" w:type="dxa"/>
              <w:bottom w:w="100" w:type="dxa"/>
              <w:right w:w="120" w:type="dxa"/>
            </w:tcMar>
          </w:tcPr>
          <w:p w14:paraId="492AE2B7"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What it is</w:t>
            </w:r>
          </w:p>
        </w:tc>
      </w:tr>
      <w:tr w:rsidR="00FD5E4C" w:rsidRPr="003053AF" w14:paraId="171ECCCA" w14:textId="77777777">
        <w:tblPrEx>
          <w:tblCellMar>
            <w:top w:w="0" w:type="dxa"/>
            <w:bottom w:w="0" w:type="dxa"/>
          </w:tblCellMar>
        </w:tblPrEx>
        <w:tc>
          <w:tcPr>
            <w:tcW w:w="1700" w:type="dxa"/>
            <w:shd w:val="clear" w:color="auto" w:fill="F2F5F8"/>
            <w:tcMar>
              <w:top w:w="95" w:type="dxa"/>
              <w:left w:w="140" w:type="dxa"/>
              <w:bottom w:w="95" w:type="dxa"/>
              <w:right w:w="120" w:type="dxa"/>
            </w:tcMar>
          </w:tcPr>
          <w:p w14:paraId="2A32C78E"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CVSS</w:t>
            </w:r>
          </w:p>
        </w:tc>
        <w:tc>
          <w:tcPr>
            <w:tcW w:w="3100" w:type="dxa"/>
            <w:shd w:val="clear" w:color="auto" w:fill="F2F5F8"/>
            <w:tcMar>
              <w:top w:w="95" w:type="dxa"/>
              <w:left w:w="140" w:type="dxa"/>
              <w:bottom w:w="95" w:type="dxa"/>
              <w:right w:w="120" w:type="dxa"/>
            </w:tcMar>
          </w:tcPr>
          <w:p w14:paraId="791E5019"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How bad would it be if exploited?</w:t>
            </w:r>
          </w:p>
        </w:tc>
        <w:tc>
          <w:tcPr>
            <w:tcW w:w="4560" w:type="dxa"/>
            <w:shd w:val="clear" w:color="auto" w:fill="F2F5F8"/>
            <w:tcMar>
              <w:top w:w="95" w:type="dxa"/>
              <w:left w:w="140" w:type="dxa"/>
              <w:bottom w:w="95" w:type="dxa"/>
              <w:right w:w="120" w:type="dxa"/>
            </w:tcMar>
          </w:tcPr>
          <w:p w14:paraId="1AF3D428"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An intrinsic property of the flaw. Says nothing about whether anyone is exploiting it.</w:t>
            </w:r>
          </w:p>
        </w:tc>
      </w:tr>
      <w:tr w:rsidR="00FD5E4C" w:rsidRPr="003053AF" w14:paraId="2BE17482" w14:textId="77777777">
        <w:tblPrEx>
          <w:tblCellMar>
            <w:top w:w="0" w:type="dxa"/>
            <w:bottom w:w="0" w:type="dxa"/>
          </w:tblCellMar>
        </w:tblPrEx>
        <w:tc>
          <w:tcPr>
            <w:tcW w:w="1700" w:type="dxa"/>
            <w:shd w:val="clear" w:color="auto" w:fill="FFFFFF"/>
            <w:tcMar>
              <w:top w:w="95" w:type="dxa"/>
              <w:left w:w="140" w:type="dxa"/>
              <w:bottom w:w="95" w:type="dxa"/>
              <w:right w:w="120" w:type="dxa"/>
            </w:tcMar>
          </w:tcPr>
          <w:p w14:paraId="13A3151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EPSS</w:t>
            </w:r>
          </w:p>
        </w:tc>
        <w:tc>
          <w:tcPr>
            <w:tcW w:w="3100" w:type="dxa"/>
            <w:shd w:val="clear" w:color="auto" w:fill="FFFFFF"/>
            <w:tcMar>
              <w:top w:w="95" w:type="dxa"/>
              <w:left w:w="140" w:type="dxa"/>
              <w:bottom w:w="95" w:type="dxa"/>
              <w:right w:w="120" w:type="dxa"/>
            </w:tcMar>
          </w:tcPr>
          <w:p w14:paraId="726CAD3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How likely is exploitation?</w:t>
            </w:r>
          </w:p>
        </w:tc>
        <w:tc>
          <w:tcPr>
            <w:tcW w:w="4560" w:type="dxa"/>
            <w:shd w:val="clear" w:color="auto" w:fill="FFFFFF"/>
            <w:tcMar>
              <w:top w:w="95" w:type="dxa"/>
              <w:left w:w="140" w:type="dxa"/>
              <w:bottom w:w="95" w:type="dxa"/>
              <w:right w:w="120" w:type="dxa"/>
            </w:tcMar>
          </w:tcPr>
          <w:p w14:paraId="4E3D9748"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A prediction, rescored daily.</w:t>
            </w:r>
          </w:p>
        </w:tc>
      </w:tr>
      <w:tr w:rsidR="00FD5E4C" w:rsidRPr="003053AF" w14:paraId="54EFE539" w14:textId="77777777">
        <w:tblPrEx>
          <w:tblCellMar>
            <w:top w:w="0" w:type="dxa"/>
            <w:bottom w:w="0" w:type="dxa"/>
          </w:tblCellMar>
        </w:tblPrEx>
        <w:tc>
          <w:tcPr>
            <w:tcW w:w="1700" w:type="dxa"/>
            <w:shd w:val="clear" w:color="auto" w:fill="F2F5F8"/>
            <w:tcMar>
              <w:top w:w="95" w:type="dxa"/>
              <w:left w:w="140" w:type="dxa"/>
              <w:bottom w:w="95" w:type="dxa"/>
              <w:right w:w="120" w:type="dxa"/>
            </w:tcMar>
          </w:tcPr>
          <w:p w14:paraId="033F606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KEV catalogue</w:t>
            </w:r>
          </w:p>
        </w:tc>
        <w:tc>
          <w:tcPr>
            <w:tcW w:w="3100" w:type="dxa"/>
            <w:shd w:val="clear" w:color="auto" w:fill="F2F5F8"/>
            <w:tcMar>
              <w:top w:w="95" w:type="dxa"/>
              <w:left w:w="140" w:type="dxa"/>
              <w:bottom w:w="95" w:type="dxa"/>
              <w:right w:w="120" w:type="dxa"/>
            </w:tcMar>
          </w:tcPr>
          <w:p w14:paraId="31629D6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Was it actually exploited?</w:t>
            </w:r>
          </w:p>
        </w:tc>
        <w:tc>
          <w:tcPr>
            <w:tcW w:w="4560" w:type="dxa"/>
            <w:shd w:val="clear" w:color="auto" w:fill="F2F5F8"/>
            <w:tcMar>
              <w:top w:w="95" w:type="dxa"/>
              <w:left w:w="140" w:type="dxa"/>
              <w:bottom w:w="95" w:type="dxa"/>
              <w:right w:w="120" w:type="dxa"/>
            </w:tcMar>
          </w:tcPr>
          <w:p w14:paraId="2F3D123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An observation — and a floor, not a census.</w:t>
            </w:r>
          </w:p>
        </w:tc>
      </w:tr>
      <w:tr w:rsidR="00FD5E4C" w:rsidRPr="003053AF" w14:paraId="71BE6561" w14:textId="77777777">
        <w:tblPrEx>
          <w:tblCellMar>
            <w:top w:w="0" w:type="dxa"/>
            <w:bottom w:w="0" w:type="dxa"/>
          </w:tblCellMar>
        </w:tblPrEx>
        <w:tc>
          <w:tcPr>
            <w:tcW w:w="1700" w:type="dxa"/>
            <w:shd w:val="clear" w:color="auto" w:fill="FFFFFF"/>
            <w:tcMar>
              <w:top w:w="95" w:type="dxa"/>
              <w:left w:w="140" w:type="dxa"/>
              <w:bottom w:w="95" w:type="dxa"/>
              <w:right w:w="120" w:type="dxa"/>
            </w:tcMar>
          </w:tcPr>
          <w:p w14:paraId="1239AC7A"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Your risk</w:t>
            </w:r>
          </w:p>
        </w:tc>
        <w:tc>
          <w:tcPr>
            <w:tcW w:w="3100" w:type="dxa"/>
            <w:shd w:val="clear" w:color="auto" w:fill="FFFFFF"/>
            <w:tcMar>
              <w:top w:w="95" w:type="dxa"/>
              <w:left w:w="140" w:type="dxa"/>
              <w:bottom w:w="95" w:type="dxa"/>
              <w:right w:w="120" w:type="dxa"/>
            </w:tcMar>
          </w:tcPr>
          <w:p w14:paraId="499A85F5"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Does it matter to us?</w:t>
            </w:r>
          </w:p>
        </w:tc>
        <w:tc>
          <w:tcPr>
            <w:tcW w:w="4560" w:type="dxa"/>
            <w:shd w:val="clear" w:color="auto" w:fill="FFFFFF"/>
            <w:tcMar>
              <w:top w:w="95" w:type="dxa"/>
              <w:left w:w="140" w:type="dxa"/>
              <w:bottom w:w="95" w:type="dxa"/>
              <w:right w:w="120" w:type="dxa"/>
            </w:tcMar>
          </w:tcPr>
          <w:p w14:paraId="4811E657"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None of the above. Depends on what you run, what is exposed, and what it protects.</w:t>
            </w:r>
          </w:p>
        </w:tc>
      </w:tr>
    </w:tbl>
    <w:p w14:paraId="304428E9" w14:textId="77777777" w:rsidR="00FD5E4C" w:rsidRPr="003053AF" w:rsidRDefault="00FD5E4C" w:rsidP="003053AF">
      <w:pPr>
        <w:spacing w:line="276" w:lineRule="auto"/>
        <w:rPr>
          <w:rFonts w:ascii="Cambria" w:hAnsi="Cambria"/>
        </w:rPr>
      </w:pP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0E72EFD0"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41E2310F"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Be fair to EPSS</w:t>
            </w:r>
          </w:p>
          <w:p w14:paraId="1D80F20E"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Its top 1,662 captures 641 known-exploited CVEs (38.6%), and the median EPSS percentile of a known-exploited CVE is 98.9. That is genuinely good, and far better than CVSS.</w:t>
            </w:r>
          </w:p>
          <w:p w14:paraId="76D2C23F"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But it remains a prediction. Only the KEV catalogue records something that happened — and even that lists what was </w:t>
            </w:r>
            <w:r w:rsidRPr="003053AF">
              <w:rPr>
                <w:rFonts w:ascii="Cambria" w:eastAsia="Calibri" w:hAnsi="Cambria" w:cs="Calibri"/>
                <w:b/>
                <w:bCs/>
                <w:color w:val="16222F"/>
              </w:rPr>
              <w:t>observed and reported</w:t>
            </w:r>
            <w:r w:rsidRPr="003053AF">
              <w:rPr>
                <w:rFonts w:ascii="Cambria" w:eastAsia="Calibri" w:hAnsi="Cambria" w:cs="Calibri"/>
                <w:color w:val="16222F"/>
              </w:rPr>
              <w:t xml:space="preserve">, not everything that occurred. </w:t>
            </w:r>
            <w:r w:rsidRPr="003053AF">
              <w:rPr>
                <w:rFonts w:ascii="Cambria" w:eastAsia="Calibri" w:hAnsi="Cambria" w:cs="Calibri"/>
                <w:b/>
                <w:bCs/>
                <w:color w:val="16222F"/>
              </w:rPr>
              <w:t>Absence from KEV is not evidence of absence of exploitation.</w:t>
            </w:r>
          </w:p>
        </w:tc>
      </w:tr>
    </w:tbl>
    <w:p w14:paraId="6A66BB07" w14:textId="77777777" w:rsidR="00FD5E4C" w:rsidRPr="003053AF" w:rsidRDefault="00FD5E4C" w:rsidP="003053AF">
      <w:pPr>
        <w:spacing w:line="276" w:lineRule="auto"/>
        <w:rPr>
          <w:rFonts w:ascii="Cambria" w:hAnsi="Cambria"/>
        </w:rPr>
      </w:pPr>
    </w:p>
    <w:p w14:paraId="0221EBCA" w14:textId="77777777" w:rsidR="00FD5E4C" w:rsidRPr="003053AF" w:rsidRDefault="00000000" w:rsidP="003053AF">
      <w:pPr>
        <w:spacing w:before="60" w:line="276" w:lineRule="auto"/>
        <w:rPr>
          <w:rFonts w:ascii="Cambria" w:hAnsi="Cambria"/>
        </w:rPr>
      </w:pPr>
      <w:r w:rsidRPr="003053AF">
        <w:rPr>
          <w:rFonts w:ascii="Cambria" w:eastAsia="Calibri" w:hAnsi="Cambria" w:cs="Calibri"/>
          <w:b/>
          <w:bCs/>
          <w:color w:val="16222F"/>
          <w:sz w:val="21"/>
          <w:szCs w:val="21"/>
        </w:rPr>
        <w:t>Write in your worksheet:</w:t>
      </w:r>
      <w:r w:rsidRPr="003053AF">
        <w:rPr>
          <w:rFonts w:ascii="Cambria" w:eastAsia="Calibri" w:hAnsi="Cambria" w:cs="Calibri"/>
          <w:color w:val="16222F"/>
          <w:sz w:val="21"/>
          <w:szCs w:val="21"/>
        </w:rPr>
        <w:t xml:space="preserve"> pick one CVE from the advisory, get its severity, its KEV status and its EPSS score, then one sentence — which of the three would you actually brief, and to whom?</w:t>
      </w:r>
    </w:p>
    <w:tbl>
      <w:tblPr>
        <w:tblW w:w="9360" w:type="dxa"/>
        <w:tblBorders>
          <w:top w:val="single" w:sz="2" w:space="0" w:color="2C6E56"/>
          <w:left w:val="single" w:sz="14" w:space="0" w:color="2C6E56"/>
          <w:bottom w:val="single" w:sz="2" w:space="0" w:color="2C6E56"/>
          <w:right w:val="single" w:sz="2" w:space="0" w:color="2C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2172BA26" w14:textId="77777777">
        <w:tblPrEx>
          <w:tblCellMar>
            <w:top w:w="0" w:type="dxa"/>
            <w:bottom w:w="0" w:type="dxa"/>
          </w:tblCellMar>
        </w:tblPrEx>
        <w:tc>
          <w:tcPr>
            <w:tcW w:w="9360" w:type="dxa"/>
            <w:shd w:val="clear" w:color="auto" w:fill="EAF2ED"/>
            <w:tcMar>
              <w:top w:w="120" w:type="dxa"/>
              <w:left w:w="200" w:type="dxa"/>
              <w:bottom w:w="120" w:type="dxa"/>
              <w:right w:w="180" w:type="dxa"/>
            </w:tcMar>
          </w:tcPr>
          <w:p w14:paraId="6A5F5B9A"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2C6E56"/>
                <w:sz w:val="21"/>
                <w:szCs w:val="21"/>
              </w:rPr>
              <w:t>Checkpoint C</w:t>
            </w:r>
          </w:p>
          <w:p w14:paraId="674A1E21"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You can explain why patching strictly by CVSS is expensive and incomplete at the same time, using your own two numbers.</w:t>
            </w:r>
          </w:p>
        </w:tc>
      </w:tr>
    </w:tbl>
    <w:p w14:paraId="495BF555" w14:textId="77777777" w:rsidR="00FD5E4C" w:rsidRPr="003053AF" w:rsidRDefault="00FD5E4C" w:rsidP="003053AF">
      <w:pPr>
        <w:spacing w:line="276" w:lineRule="auto"/>
        <w:rPr>
          <w:rFonts w:ascii="Cambria" w:hAnsi="Cambria"/>
        </w:rPr>
      </w:pPr>
    </w:p>
    <w:p w14:paraId="67DF9A30" w14:textId="77777777" w:rsidR="00FD5E4C" w:rsidRPr="003053AF" w:rsidRDefault="00000000" w:rsidP="003053AF">
      <w:pPr>
        <w:pStyle w:val="Heading1"/>
        <w:spacing w:before="340" w:line="276" w:lineRule="auto"/>
        <w:rPr>
          <w:rFonts w:ascii="Cambria" w:hAnsi="Cambria"/>
        </w:rPr>
      </w:pPr>
      <w:bookmarkStart w:id="5" w:name="_Toc237190726"/>
      <w:r w:rsidRPr="003053AF">
        <w:rPr>
          <w:rFonts w:ascii="Cambria" w:eastAsia="Cambria" w:hAnsi="Cambria" w:cs="Cambria"/>
          <w:b/>
          <w:bCs/>
          <w:color w:val="16324C"/>
          <w:sz w:val="34"/>
          <w:szCs w:val="34"/>
        </w:rPr>
        <w:t>Lab 2 — Summarise by model, then prove it invented nothing</w:t>
      </w:r>
      <w:bookmarkEnd w:id="5"/>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FD5E4C" w:rsidRPr="003053AF" w14:paraId="636B022A" w14:textId="77777777">
        <w:tblPrEx>
          <w:tblCellMar>
            <w:top w:w="0" w:type="dxa"/>
            <w:bottom w:w="0" w:type="dxa"/>
          </w:tblCellMar>
        </w:tblPrEx>
        <w:tc>
          <w:tcPr>
            <w:tcW w:w="1600" w:type="dxa"/>
            <w:shd w:val="clear" w:color="auto" w:fill="16324C"/>
            <w:tcMar>
              <w:top w:w="130" w:type="dxa"/>
              <w:left w:w="180" w:type="dxa"/>
              <w:bottom w:w="130" w:type="dxa"/>
              <w:right w:w="150" w:type="dxa"/>
            </w:tcMar>
          </w:tcPr>
          <w:p w14:paraId="082B1B40"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TIME</w:t>
            </w:r>
          </w:p>
          <w:p w14:paraId="78C12ABB"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30 min · solo</w:t>
            </w:r>
          </w:p>
        </w:tc>
        <w:tc>
          <w:tcPr>
            <w:tcW w:w="3380" w:type="dxa"/>
            <w:shd w:val="clear" w:color="auto" w:fill="16324C"/>
            <w:tcMar>
              <w:top w:w="130" w:type="dxa"/>
              <w:left w:w="180" w:type="dxa"/>
              <w:bottom w:w="130" w:type="dxa"/>
              <w:right w:w="150" w:type="dxa"/>
            </w:tcMar>
          </w:tcPr>
          <w:p w14:paraId="259148E3"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NEEDS</w:t>
            </w:r>
          </w:p>
          <w:p w14:paraId="51A5F72B"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Sections 4–7, plus a ChatGPT tab</w:t>
            </w:r>
          </w:p>
        </w:tc>
        <w:tc>
          <w:tcPr>
            <w:tcW w:w="4380" w:type="dxa"/>
            <w:shd w:val="clear" w:color="auto" w:fill="16324C"/>
            <w:tcMar>
              <w:top w:w="130" w:type="dxa"/>
              <w:left w:w="180" w:type="dxa"/>
              <w:bottom w:w="130" w:type="dxa"/>
              <w:right w:w="150" w:type="dxa"/>
            </w:tcMar>
          </w:tcPr>
          <w:p w14:paraId="67080A21"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E2A23B"/>
                <w:sz w:val="16"/>
                <w:szCs w:val="16"/>
              </w:rPr>
              <w:t>YOU PRODUCE</w:t>
            </w:r>
          </w:p>
          <w:p w14:paraId="3A798834" w14:textId="77777777" w:rsidR="00FD5E4C" w:rsidRPr="003053AF" w:rsidRDefault="00000000" w:rsidP="003053AF">
            <w:pPr>
              <w:spacing w:line="276" w:lineRule="auto"/>
              <w:rPr>
                <w:rFonts w:ascii="Cambria" w:hAnsi="Cambria"/>
              </w:rPr>
            </w:pPr>
            <w:r w:rsidRPr="003053AF">
              <w:rPr>
                <w:rFonts w:ascii="Cambria" w:eastAsia="Calibri" w:hAnsi="Cambria" w:cs="Calibri"/>
                <w:color w:val="FFFFFF"/>
              </w:rPr>
              <w:t>An LLM summary, a fabrication report, a rewritten claim</w:t>
            </w:r>
          </w:p>
        </w:tc>
      </w:tr>
    </w:tbl>
    <w:p w14:paraId="1B3EE5D8" w14:textId="77777777" w:rsidR="00FD5E4C" w:rsidRPr="003053AF" w:rsidRDefault="00FD5E4C" w:rsidP="003053AF">
      <w:pPr>
        <w:spacing w:line="276" w:lineRule="auto"/>
        <w:rPr>
          <w:rFonts w:ascii="Cambria" w:hAnsi="Cambria"/>
        </w:rPr>
      </w:pPr>
    </w:p>
    <w:p w14:paraId="5704481D" w14:textId="77777777" w:rsidR="00FD5E4C" w:rsidRPr="003053AF" w:rsidRDefault="00000000" w:rsidP="003053AF">
      <w:pPr>
        <w:pStyle w:val="Heading2"/>
        <w:spacing w:before="260" w:line="276" w:lineRule="auto"/>
        <w:rPr>
          <w:rFonts w:ascii="Cambria" w:hAnsi="Cambria"/>
        </w:rPr>
      </w:pPr>
      <w:bookmarkStart w:id="6" w:name="_Toc237190727"/>
      <w:r w:rsidRPr="003053AF">
        <w:rPr>
          <w:rFonts w:ascii="Cambria" w:eastAsia="Cambria" w:hAnsi="Cambria" w:cs="Cambria"/>
          <w:b/>
          <w:bCs/>
          <w:color w:val="16324C"/>
        </w:rPr>
        <w:t>The harness, before you need it (Section 4)</w:t>
      </w:r>
      <w:bookmarkEnd w:id="6"/>
    </w:p>
    <w:p w14:paraId="5A4F66A9"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This is the whole defence, and it is four lines. Build it once and put it between your model and anything that writes to an enforcement system.</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6560FEBE" w14:textId="77777777">
        <w:tblPrEx>
          <w:tblCellMar>
            <w:top w:w="0" w:type="dxa"/>
            <w:bottom w:w="0" w:type="dxa"/>
          </w:tblCellMar>
        </w:tblPrEx>
        <w:tc>
          <w:tcPr>
            <w:tcW w:w="9360" w:type="dxa"/>
            <w:shd w:val="clear" w:color="auto" w:fill="1A2634"/>
            <w:tcMar>
              <w:top w:w="140" w:type="dxa"/>
              <w:left w:w="200" w:type="dxa"/>
              <w:bottom w:w="140" w:type="dxa"/>
              <w:right w:w="180" w:type="dxa"/>
            </w:tcMar>
          </w:tcPr>
          <w:p w14:paraId="33225157"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8FA3B5"/>
                <w:sz w:val="17"/>
                <w:szCs w:val="17"/>
              </w:rPr>
              <w:t>SECTION 4 — the audit harness</w:t>
            </w:r>
          </w:p>
          <w:p w14:paraId="4697385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TRUTH = extract(refang(TEXT))</w:t>
            </w:r>
          </w:p>
          <w:p w14:paraId="325860BB"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w:t>
            </w:r>
          </w:p>
          <w:p w14:paraId="0383AF98"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def audit(summary_text):</w:t>
            </w:r>
          </w:p>
          <w:p w14:paraId="6DF3FC89"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claimed = extract(refang(summary_text))</w:t>
            </w:r>
          </w:p>
          <w:p w14:paraId="442BF4F4"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E8EEF4"/>
                <w:sz w:val="18"/>
                <w:szCs w:val="18"/>
              </w:rPr>
              <w:t xml:space="preserve">    return {kind: sorted(vals - TRUTH[kind]) for kind, vals in claimed.items()}</w:t>
            </w:r>
          </w:p>
        </w:tc>
      </w:tr>
    </w:tbl>
    <w:p w14:paraId="5519B183" w14:textId="77777777" w:rsidR="00FD5E4C" w:rsidRPr="003053AF" w:rsidRDefault="00FD5E4C" w:rsidP="003053AF">
      <w:pPr>
        <w:spacing w:line="276" w:lineRule="auto"/>
        <w:rPr>
          <w:rFonts w:ascii="Cambria" w:hAnsi="Cambria"/>
        </w:rPr>
      </w:pPr>
    </w:p>
    <w:tbl>
      <w:tblPr>
        <w:tblW w:w="9360" w:type="dxa"/>
        <w:tblBorders>
          <w:top w:val="single" w:sz="2" w:space="0" w:color="B87A1E"/>
          <w:left w:val="single" w:sz="14" w:space="0" w:color="B87A1E"/>
          <w:bottom w:val="single" w:sz="2" w:space="0" w:color="B87A1E"/>
          <w:right w:val="single" w:sz="2" w:space="0" w:color="B87A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00F2C1D3" w14:textId="77777777">
        <w:tblPrEx>
          <w:tblCellMar>
            <w:top w:w="0" w:type="dxa"/>
            <w:bottom w:w="0" w:type="dxa"/>
          </w:tblCellMar>
        </w:tblPrEx>
        <w:tc>
          <w:tcPr>
            <w:tcW w:w="9360" w:type="dxa"/>
            <w:shd w:val="clear" w:color="auto" w:fill="FBEFDC"/>
            <w:tcMar>
              <w:top w:w="120" w:type="dxa"/>
              <w:left w:w="200" w:type="dxa"/>
              <w:bottom w:w="120" w:type="dxa"/>
              <w:right w:w="180" w:type="dxa"/>
            </w:tcMar>
          </w:tcPr>
          <w:p w14:paraId="55BBDD68"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B87A1E"/>
                <w:sz w:val="21"/>
                <w:szCs w:val="21"/>
              </w:rPr>
              <w:t>Two test fixtures, and who wrote them</w:t>
            </w:r>
          </w:p>
          <w:p w14:paraId="2329D16C"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The notebook contains two short summaries to prove the harness works before you trust it. </w:t>
            </w:r>
            <w:r w:rsidRPr="003053AF">
              <w:rPr>
                <w:rFonts w:ascii="Cambria" w:eastAsia="Calibri" w:hAnsi="Cambria" w:cs="Calibri"/>
                <w:b/>
                <w:bCs/>
                <w:color w:val="16222F"/>
              </w:rPr>
              <w:t>I wrote both by hand</w:t>
            </w:r>
            <w:r w:rsidRPr="003053AF">
              <w:rPr>
                <w:rFonts w:ascii="Cambria" w:eastAsia="Calibri" w:hAnsi="Cambria" w:cs="Calibri"/>
                <w:color w:val="16222F"/>
              </w:rPr>
              <w:t xml:space="preserve"> — they are not model output, and the notebook does not pretend otherwise.</w:t>
            </w:r>
          </w:p>
          <w:p w14:paraId="1653F2A1"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The first is clean. The second contains one manufactured hash and one manufactured CVE — format-valid, plausible, and untraceable, which is exactly what a hallucinated indicator looks like.</w:t>
            </w:r>
          </w:p>
          <w:p w14:paraId="2D8FCE86"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One warning worth more than the fixture itself. </w:t>
            </w:r>
            <w:r w:rsidRPr="003053AF">
              <w:rPr>
                <w:rFonts w:ascii="Cambria" w:eastAsia="Calibri" w:hAnsi="Cambria" w:cs="Calibri"/>
                <w:color w:val="16222F"/>
              </w:rPr>
              <w:t>The obvious way to build a fake CVE is to take a real one and add one to the last digit. Do not. While this material was being written, that trick applied to CVE-2025-66376 produced CVE-2025-66377 — a real, unrelated vulnerability. A hallucinated identifier does not always fail loudly; sometimes it resolves, and a team patches the wrong product and reports the work done. The notebook uses CVE-2025-99999, which returns zero results from the NVD API. A 256-bit hash is different: the space is large enough that changing one character will not collide with anything.</w:t>
            </w:r>
          </w:p>
        </w:tc>
      </w:tr>
    </w:tbl>
    <w:p w14:paraId="7C0278A4" w14:textId="77777777" w:rsidR="00FD5E4C" w:rsidRPr="003053AF" w:rsidRDefault="00FD5E4C" w:rsidP="003053AF">
      <w:pPr>
        <w:spacing w:line="276" w:lineRule="auto"/>
        <w:rPr>
          <w:rFonts w:ascii="Cambria" w:hAnsi="Cambria"/>
        </w:rPr>
      </w:pPr>
    </w:p>
    <w:tbl>
      <w:tblPr>
        <w:tblW w:w="9360" w:type="dxa"/>
        <w:tblBorders>
          <w:top w:val="single" w:sz="2" w:space="0" w:color="D8E0E8"/>
          <w:left w:val="single" w:sz="2" w:space="0" w:color="D8E0E8"/>
          <w:bottom w:val="single" w:sz="2" w:space="0" w:color="D8E0E8"/>
          <w:right w:val="single" w:sz="2" w:space="0" w:color="D8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698F2E3C" w14:textId="77777777">
        <w:tblPrEx>
          <w:tblCellMar>
            <w:top w:w="0" w:type="dxa"/>
            <w:bottom w:w="0" w:type="dxa"/>
          </w:tblCellMar>
        </w:tblPrEx>
        <w:tc>
          <w:tcPr>
            <w:tcW w:w="9360" w:type="dxa"/>
            <w:shd w:val="clear" w:color="auto" w:fill="FAFCFD"/>
            <w:tcMar>
              <w:top w:w="130" w:type="dxa"/>
              <w:left w:w="200" w:type="dxa"/>
              <w:bottom w:w="130" w:type="dxa"/>
              <w:right w:w="180" w:type="dxa"/>
            </w:tcMar>
          </w:tcPr>
          <w:p w14:paraId="05DB263E"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5C6B7A"/>
                <w:sz w:val="17"/>
                <w:szCs w:val="17"/>
              </w:rPr>
              <w:t>Expected</w:t>
            </w:r>
          </w:p>
          <w:p w14:paraId="4356BE83"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clean fixture ---</w:t>
            </w:r>
          </w:p>
          <w:p w14:paraId="71D784F3"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sha256   claimed   1  traced   1</w:t>
            </w:r>
          </w:p>
          <w:p w14:paraId="7414448D"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cve      claimed   1  traced   1</w:t>
            </w:r>
          </w:p>
          <w:p w14:paraId="4896D32D"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0 indicator(s) could not be traced to the source document.</w:t>
            </w:r>
          </w:p>
          <w:p w14:paraId="5D304C39"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xml:space="preserve"> </w:t>
            </w:r>
          </w:p>
          <w:p w14:paraId="20E90F9C"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 fixture with two manufactured indicators ---</w:t>
            </w:r>
          </w:p>
          <w:p w14:paraId="2808928A"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sha256   claimed   2  traced   1  &lt;-- FABRICATED</w:t>
            </w:r>
          </w:p>
          <w:p w14:paraId="6BEA7AD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cve      claimed   2  traced   1  &lt;-- FABRICATED</w:t>
            </w:r>
          </w:p>
          <w:p w14:paraId="1D769718"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8"/>
                <w:szCs w:val="18"/>
              </w:rPr>
              <w:t>2 indicator(s) could not be traced to the source document.</w:t>
            </w:r>
          </w:p>
        </w:tc>
      </w:tr>
    </w:tbl>
    <w:p w14:paraId="34EDAEAE" w14:textId="77777777" w:rsidR="00FD5E4C" w:rsidRPr="003053AF" w:rsidRDefault="00FD5E4C" w:rsidP="003053AF">
      <w:pPr>
        <w:spacing w:line="276" w:lineRule="auto"/>
        <w:rPr>
          <w:rFonts w:ascii="Cambria" w:hAnsi="Cambria"/>
        </w:rPr>
      </w:pPr>
    </w:p>
    <w:p w14:paraId="1D531EDB" w14:textId="77777777" w:rsidR="00FD5E4C" w:rsidRPr="003053AF" w:rsidRDefault="00000000" w:rsidP="003053AF">
      <w:pPr>
        <w:pStyle w:val="Heading2"/>
        <w:spacing w:before="260" w:line="276" w:lineRule="auto"/>
        <w:rPr>
          <w:rFonts w:ascii="Cambria" w:hAnsi="Cambria"/>
        </w:rPr>
      </w:pPr>
      <w:bookmarkStart w:id="7" w:name="_Toc237190728"/>
      <w:r w:rsidRPr="003053AF">
        <w:rPr>
          <w:rFonts w:ascii="Cambria" w:eastAsia="Cambria" w:hAnsi="Cambria" w:cs="Cambria"/>
          <w:b/>
          <w:bCs/>
          <w:color w:val="16324C"/>
        </w:rPr>
        <w:t>Part A — Generate the summary (10 minutes)</w:t>
      </w:r>
      <w:bookmarkEnd w:id="7"/>
    </w:p>
    <w:p w14:paraId="18D382A4"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 xml:space="preserve">Run Section 5. It prints a grounded prompt built from </w:t>
      </w:r>
      <w:r w:rsidRPr="003053AF">
        <w:rPr>
          <w:rFonts w:ascii="Cambria" w:eastAsia="Calibri" w:hAnsi="Cambria" w:cs="Calibri"/>
          <w:i/>
          <w:iCs/>
          <w:color w:val="16222F"/>
          <w:sz w:val="21"/>
          <w:szCs w:val="21"/>
        </w:rPr>
        <w:t>your</w:t>
      </w:r>
      <w:r w:rsidRPr="003053AF">
        <w:rPr>
          <w:rFonts w:ascii="Cambria" w:eastAsia="Calibri" w:hAnsi="Cambria" w:cs="Calibri"/>
          <w:color w:val="16222F"/>
          <w:sz w:val="21"/>
          <w:szCs w:val="21"/>
        </w:rPr>
        <w:t xml:space="preserve"> extraction.</w:t>
      </w:r>
    </w:p>
    <w:p w14:paraId="05478135"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 xml:space="preserve">Choose one audience — a SOC engineer or a board member — and edit </w:t>
      </w:r>
      <w:r w:rsidRPr="003053AF">
        <w:rPr>
          <w:rFonts w:ascii="Cambria" w:eastAsia="Courier New" w:hAnsi="Cambria" w:cs="Courier New"/>
          <w:color w:val="16222F"/>
          <w:sz w:val="21"/>
          <w:szCs w:val="21"/>
        </w:rPr>
        <w:t>AUDIENCE</w:t>
      </w:r>
      <w:r w:rsidRPr="003053AF">
        <w:rPr>
          <w:rFonts w:ascii="Cambria" w:eastAsia="Calibri" w:hAnsi="Cambria" w:cs="Calibri"/>
          <w:color w:val="16222F"/>
          <w:sz w:val="21"/>
          <w:szCs w:val="21"/>
        </w:rPr>
        <w:t xml:space="preserve"> before running.</w:t>
      </w:r>
    </w:p>
    <w:p w14:paraId="23348780"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Paste the prompt into ChatGPT. Record the model, version and date.</w:t>
      </w:r>
    </w:p>
    <w:p w14:paraId="313F0AA6" w14:textId="77777777" w:rsidR="00FD5E4C" w:rsidRPr="003053AF" w:rsidRDefault="00000000" w:rsidP="003053AF">
      <w:pPr>
        <w:pStyle w:val="Heading2"/>
        <w:spacing w:before="260" w:line="276" w:lineRule="auto"/>
        <w:rPr>
          <w:rFonts w:ascii="Cambria" w:hAnsi="Cambria"/>
        </w:rPr>
      </w:pPr>
      <w:bookmarkStart w:id="8" w:name="_Toc237190729"/>
      <w:r w:rsidRPr="003053AF">
        <w:rPr>
          <w:rFonts w:ascii="Cambria" w:eastAsia="Cambria" w:hAnsi="Cambria" w:cs="Cambria"/>
          <w:b/>
          <w:bCs/>
          <w:color w:val="16324C"/>
        </w:rPr>
        <w:lastRenderedPageBreak/>
        <w:t>Part B — Run the harness, then read what it passed (12 minutes)</w:t>
      </w:r>
      <w:bookmarkEnd w:id="8"/>
    </w:p>
    <w:p w14:paraId="5A885147"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Paste the summary into Section 6 between the triple quotes and run. The set-difference is automatic.</w:t>
      </w:r>
    </w:p>
    <w:p w14:paraId="3AA2FBDE"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Then do the half the harness cannot do.</w:t>
      </w: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2800133"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19A53CC8"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What the harness catches, and what it does not</w:t>
            </w:r>
          </w:p>
          <w:p w14:paraId="731982EB"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It catches </w:t>
            </w:r>
            <w:r w:rsidRPr="003053AF">
              <w:rPr>
                <w:rFonts w:ascii="Cambria" w:eastAsia="Calibri" w:hAnsi="Cambria" w:cs="Calibri"/>
                <w:b/>
                <w:bCs/>
                <w:color w:val="16222F"/>
              </w:rPr>
              <w:t>manufactured</w:t>
            </w:r>
            <w:r w:rsidRPr="003053AF">
              <w:rPr>
                <w:rFonts w:ascii="Cambria" w:eastAsia="Calibri" w:hAnsi="Cambria" w:cs="Calibri"/>
                <w:color w:val="16222F"/>
              </w:rPr>
              <w:t xml:space="preserve"> indicators — strings that appear in the summary and nowhere in the source.</w:t>
            </w:r>
          </w:p>
          <w:p w14:paraId="34C06F67"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It cannot catch a </w:t>
            </w:r>
            <w:r w:rsidRPr="003053AF">
              <w:rPr>
                <w:rFonts w:ascii="Cambria" w:eastAsia="Calibri" w:hAnsi="Cambria" w:cs="Calibri"/>
                <w:b/>
                <w:bCs/>
                <w:color w:val="16222F"/>
              </w:rPr>
              <w:t>real indicator described wrongly</w:t>
            </w:r>
            <w:r w:rsidRPr="003053AF">
              <w:rPr>
                <w:rFonts w:ascii="Cambria" w:eastAsia="Calibri" w:hAnsi="Cambria" w:cs="Calibri"/>
                <w:color w:val="16222F"/>
              </w:rPr>
              <w:t>. If the summary calls an address adversary infrastructure when the advisory listed it as a compromised victim, every string checks out and the meaning is inverted. Blocking that one breaks production.</w:t>
            </w:r>
          </w:p>
          <w:p w14:paraId="557E89F9"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That failure needs a human who read the source — which is the reading the summariser was supposed to save. Automate the check you can automate, and be honest that it is a floor and not a ceiling.</w:t>
            </w:r>
          </w:p>
        </w:tc>
      </w:tr>
    </w:tbl>
    <w:p w14:paraId="33BB0960" w14:textId="77777777" w:rsidR="00FD5E4C" w:rsidRPr="003053AF" w:rsidRDefault="00FD5E4C" w:rsidP="003053AF">
      <w:pPr>
        <w:spacing w:line="276" w:lineRule="auto"/>
        <w:rPr>
          <w:rFonts w:ascii="Cambria" w:hAnsi="Cambria"/>
        </w:rPr>
      </w:pPr>
    </w:p>
    <w:p w14:paraId="2963677E"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 xml:space="preserve">For each indicator the harness passed, open </w:t>
      </w:r>
      <w:r w:rsidRPr="003053AF">
        <w:rPr>
          <w:rFonts w:ascii="Cambria" w:eastAsia="Courier New" w:hAnsi="Cambria" w:cs="Courier New"/>
          <w:color w:val="16222F"/>
          <w:sz w:val="21"/>
          <w:szCs w:val="21"/>
        </w:rPr>
        <w:t>advisory.txt</w:t>
      </w:r>
      <w:r w:rsidRPr="003053AF">
        <w:rPr>
          <w:rFonts w:ascii="Cambria" w:eastAsia="Calibri" w:hAnsi="Cambria" w:cs="Calibri"/>
          <w:color w:val="16222F"/>
          <w:sz w:val="21"/>
          <w:szCs w:val="21"/>
        </w:rPr>
        <w:t xml:space="preserve"> and check how the source describes it:</w:t>
      </w:r>
    </w:p>
    <w:tbl>
      <w:tblPr>
        <w:tblW w:w="9360" w:type="dxa"/>
        <w:tblBorders>
          <w:top w:val="single" w:sz="2" w:space="0" w:color="D8E0E8"/>
          <w:left w:val="single" w:sz="2" w:space="0" w:color="D8E0E8"/>
          <w:bottom w:val="single" w:sz="2" w:space="0" w:color="D8E0E8"/>
          <w:right w:val="single" w:sz="2"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3000"/>
        <w:gridCol w:w="6360"/>
      </w:tblGrid>
      <w:tr w:rsidR="00FD5E4C" w:rsidRPr="003053AF" w14:paraId="5DF51534" w14:textId="77777777">
        <w:tblPrEx>
          <w:tblCellMar>
            <w:top w:w="0" w:type="dxa"/>
            <w:bottom w:w="0" w:type="dxa"/>
          </w:tblCellMar>
        </w:tblPrEx>
        <w:trPr>
          <w:tblHeader/>
        </w:trPr>
        <w:tc>
          <w:tcPr>
            <w:tcW w:w="3000" w:type="dxa"/>
            <w:shd w:val="clear" w:color="auto" w:fill="16324C"/>
            <w:tcMar>
              <w:top w:w="100" w:type="dxa"/>
              <w:left w:w="140" w:type="dxa"/>
              <w:bottom w:w="100" w:type="dxa"/>
              <w:right w:w="120" w:type="dxa"/>
            </w:tcMar>
          </w:tcPr>
          <w:p w14:paraId="6586086A"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Category</w:t>
            </w:r>
          </w:p>
        </w:tc>
        <w:tc>
          <w:tcPr>
            <w:tcW w:w="6360" w:type="dxa"/>
            <w:shd w:val="clear" w:color="auto" w:fill="16324C"/>
            <w:tcMar>
              <w:top w:w="100" w:type="dxa"/>
              <w:left w:w="140" w:type="dxa"/>
              <w:bottom w:w="100" w:type="dxa"/>
              <w:right w:w="120" w:type="dxa"/>
            </w:tcMar>
          </w:tcPr>
          <w:p w14:paraId="61FDBAD3"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The question to ask</w:t>
            </w:r>
          </w:p>
        </w:tc>
      </w:tr>
      <w:tr w:rsidR="00FD5E4C" w:rsidRPr="003053AF" w14:paraId="01A3AD10" w14:textId="77777777">
        <w:tblPrEx>
          <w:tblCellMar>
            <w:top w:w="0" w:type="dxa"/>
            <w:bottom w:w="0" w:type="dxa"/>
          </w:tblCellMar>
        </w:tblPrEx>
        <w:tc>
          <w:tcPr>
            <w:tcW w:w="3000" w:type="dxa"/>
            <w:shd w:val="clear" w:color="auto" w:fill="F2F5F8"/>
            <w:tcMar>
              <w:top w:w="95" w:type="dxa"/>
              <w:left w:w="140" w:type="dxa"/>
              <w:bottom w:w="95" w:type="dxa"/>
              <w:right w:w="120" w:type="dxa"/>
            </w:tcMar>
          </w:tcPr>
          <w:p w14:paraId="1E3B62F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Adversary infrastructure</w:t>
            </w:r>
          </w:p>
        </w:tc>
        <w:tc>
          <w:tcPr>
            <w:tcW w:w="6360" w:type="dxa"/>
            <w:shd w:val="clear" w:color="auto" w:fill="F2F5F8"/>
            <w:tcMar>
              <w:top w:w="95" w:type="dxa"/>
              <w:left w:w="140" w:type="dxa"/>
              <w:bottom w:w="95" w:type="dxa"/>
              <w:right w:w="120" w:type="dxa"/>
            </w:tcMar>
          </w:tcPr>
          <w:p w14:paraId="674FF62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Did the advisory say this was attacker-controlled?</w:t>
            </w:r>
          </w:p>
        </w:tc>
      </w:tr>
      <w:tr w:rsidR="00FD5E4C" w:rsidRPr="003053AF" w14:paraId="0D54D041" w14:textId="77777777">
        <w:tblPrEx>
          <w:tblCellMar>
            <w:top w:w="0" w:type="dxa"/>
            <w:bottom w:w="0" w:type="dxa"/>
          </w:tblCellMar>
        </w:tblPrEx>
        <w:tc>
          <w:tcPr>
            <w:tcW w:w="3000" w:type="dxa"/>
            <w:shd w:val="clear" w:color="auto" w:fill="FFFFFF"/>
            <w:tcMar>
              <w:top w:w="95" w:type="dxa"/>
              <w:left w:w="140" w:type="dxa"/>
              <w:bottom w:w="95" w:type="dxa"/>
              <w:right w:w="120" w:type="dxa"/>
            </w:tcMar>
          </w:tcPr>
          <w:p w14:paraId="7F32DF5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Compromised third party</w:t>
            </w:r>
          </w:p>
        </w:tc>
        <w:tc>
          <w:tcPr>
            <w:tcW w:w="6360" w:type="dxa"/>
            <w:shd w:val="clear" w:color="auto" w:fill="FFFFFF"/>
            <w:tcMar>
              <w:top w:w="95" w:type="dxa"/>
              <w:left w:w="140" w:type="dxa"/>
              <w:bottom w:w="95" w:type="dxa"/>
              <w:right w:w="120" w:type="dxa"/>
            </w:tcMar>
          </w:tcPr>
          <w:p w14:paraId="5DAE934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Or a victim whose systems were abused?</w:t>
            </w:r>
          </w:p>
        </w:tc>
      </w:tr>
      <w:tr w:rsidR="00FD5E4C" w:rsidRPr="003053AF" w14:paraId="73E50B9C" w14:textId="77777777">
        <w:tblPrEx>
          <w:tblCellMar>
            <w:top w:w="0" w:type="dxa"/>
            <w:bottom w:w="0" w:type="dxa"/>
          </w:tblCellMar>
        </w:tblPrEx>
        <w:tc>
          <w:tcPr>
            <w:tcW w:w="3000" w:type="dxa"/>
            <w:shd w:val="clear" w:color="auto" w:fill="F2F5F8"/>
            <w:tcMar>
              <w:top w:w="95" w:type="dxa"/>
              <w:left w:w="140" w:type="dxa"/>
              <w:bottom w:w="95" w:type="dxa"/>
              <w:right w:w="120" w:type="dxa"/>
            </w:tcMar>
          </w:tcPr>
          <w:p w14:paraId="09C60FB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Example / documentation</w:t>
            </w:r>
          </w:p>
        </w:tc>
        <w:tc>
          <w:tcPr>
            <w:tcW w:w="6360" w:type="dxa"/>
            <w:shd w:val="clear" w:color="auto" w:fill="F2F5F8"/>
            <w:tcMar>
              <w:top w:w="95" w:type="dxa"/>
              <w:left w:w="140" w:type="dxa"/>
              <w:bottom w:w="95" w:type="dxa"/>
              <w:right w:w="120" w:type="dxa"/>
            </w:tcMar>
          </w:tcPr>
          <w:p w14:paraId="0E5527D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Or an illustration the author invented?</w:t>
            </w:r>
          </w:p>
        </w:tc>
      </w:tr>
      <w:tr w:rsidR="00FD5E4C" w:rsidRPr="003053AF" w14:paraId="0D01B1ED" w14:textId="77777777">
        <w:tblPrEx>
          <w:tblCellMar>
            <w:top w:w="0" w:type="dxa"/>
            <w:bottom w:w="0" w:type="dxa"/>
          </w:tblCellMar>
        </w:tblPrEx>
        <w:tc>
          <w:tcPr>
            <w:tcW w:w="3000" w:type="dxa"/>
            <w:shd w:val="clear" w:color="auto" w:fill="FFFFFF"/>
            <w:tcMar>
              <w:top w:w="95" w:type="dxa"/>
              <w:left w:w="140" w:type="dxa"/>
              <w:bottom w:w="95" w:type="dxa"/>
              <w:right w:w="120" w:type="dxa"/>
            </w:tcMar>
          </w:tcPr>
          <w:p w14:paraId="34FB5097"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Unstated</w:t>
            </w:r>
          </w:p>
        </w:tc>
        <w:tc>
          <w:tcPr>
            <w:tcW w:w="6360" w:type="dxa"/>
            <w:shd w:val="clear" w:color="auto" w:fill="FFFFFF"/>
            <w:tcMar>
              <w:top w:w="95" w:type="dxa"/>
              <w:left w:w="140" w:type="dxa"/>
              <w:bottom w:w="95" w:type="dxa"/>
              <w:right w:w="120" w:type="dxa"/>
            </w:tcMar>
          </w:tcPr>
          <w:p w14:paraId="284F808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Did the advisory simply list it without saying which?</w:t>
            </w:r>
          </w:p>
        </w:tc>
      </w:tr>
    </w:tbl>
    <w:p w14:paraId="15139B81" w14:textId="77777777" w:rsidR="00FD5E4C" w:rsidRPr="003053AF" w:rsidRDefault="00FD5E4C" w:rsidP="003053AF">
      <w:pPr>
        <w:spacing w:line="276" w:lineRule="auto"/>
        <w:rPr>
          <w:rFonts w:ascii="Cambria" w:hAnsi="Cambria"/>
        </w:rPr>
      </w:pPr>
    </w:p>
    <w:tbl>
      <w:tblPr>
        <w:tblW w:w="9360" w:type="dxa"/>
        <w:tblBorders>
          <w:top w:val="single" w:sz="2" w:space="0" w:color="2C6E56"/>
          <w:left w:val="single" w:sz="14" w:space="0" w:color="2C6E56"/>
          <w:bottom w:val="single" w:sz="2" w:space="0" w:color="2C6E56"/>
          <w:right w:val="single" w:sz="2" w:space="0" w:color="2C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19828885" w14:textId="77777777">
        <w:tblPrEx>
          <w:tblCellMar>
            <w:top w:w="0" w:type="dxa"/>
            <w:bottom w:w="0" w:type="dxa"/>
          </w:tblCellMar>
        </w:tblPrEx>
        <w:tc>
          <w:tcPr>
            <w:tcW w:w="9360" w:type="dxa"/>
            <w:shd w:val="clear" w:color="auto" w:fill="EAF2ED"/>
            <w:tcMar>
              <w:top w:w="120" w:type="dxa"/>
              <w:left w:w="200" w:type="dxa"/>
              <w:bottom w:w="120" w:type="dxa"/>
              <w:right w:w="180" w:type="dxa"/>
            </w:tcMar>
          </w:tcPr>
          <w:p w14:paraId="2C416581"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2C6E56"/>
                <w:sz w:val="21"/>
                <w:szCs w:val="21"/>
              </w:rPr>
              <w:t>Checkpoint D</w:t>
            </w:r>
          </w:p>
          <w:p w14:paraId="63DFBDD5"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You can report two separate counts: how many indicators the harness flagged, and how many it passed that you still had to correct by reading. The second number is the one that shows you did Part B properly.</w:t>
            </w:r>
          </w:p>
        </w:tc>
      </w:tr>
    </w:tbl>
    <w:p w14:paraId="3FBC1E9F" w14:textId="77777777" w:rsidR="00FD5E4C" w:rsidRPr="003053AF" w:rsidRDefault="00FD5E4C" w:rsidP="003053AF">
      <w:pPr>
        <w:spacing w:line="276" w:lineRule="auto"/>
        <w:rPr>
          <w:rFonts w:ascii="Cambria" w:hAnsi="Cambria"/>
        </w:rPr>
      </w:pPr>
    </w:p>
    <w:p w14:paraId="2EEF9E77" w14:textId="77777777" w:rsidR="00FD5E4C" w:rsidRPr="003053AF" w:rsidRDefault="00000000" w:rsidP="003053AF">
      <w:pPr>
        <w:pStyle w:val="Heading2"/>
        <w:spacing w:before="260" w:line="276" w:lineRule="auto"/>
        <w:rPr>
          <w:rFonts w:ascii="Cambria" w:hAnsi="Cambria"/>
        </w:rPr>
      </w:pPr>
      <w:bookmarkStart w:id="9" w:name="_Toc237190730"/>
      <w:r w:rsidRPr="003053AF">
        <w:rPr>
          <w:rFonts w:ascii="Cambria" w:eastAsia="Cambria" w:hAnsi="Cambria" w:cs="Cambria"/>
          <w:b/>
          <w:bCs/>
          <w:color w:val="16324C"/>
        </w:rPr>
        <w:t>Part C — Rewrite one sentence properly (8 minutes)</w:t>
      </w:r>
      <w:bookmarkEnd w:id="9"/>
    </w:p>
    <w:p w14:paraId="399F19DE" w14:textId="77777777" w:rsidR="00FD5E4C" w:rsidRPr="003053AF" w:rsidRDefault="00000000" w:rsidP="003053AF">
      <w:pPr>
        <w:spacing w:before="60" w:line="276" w:lineRule="auto"/>
        <w:rPr>
          <w:rFonts w:ascii="Cambria" w:hAnsi="Cambria"/>
        </w:rPr>
      </w:pPr>
      <w:r w:rsidRPr="003053AF">
        <w:rPr>
          <w:rFonts w:ascii="Cambria" w:eastAsia="Calibri" w:hAnsi="Cambria" w:cs="Calibri"/>
          <w:color w:val="16222F"/>
          <w:sz w:val="21"/>
          <w:szCs w:val="21"/>
        </w:rPr>
        <w:t xml:space="preserve">Take the summary's central claim and rewrite it with a likelihood term from a stated scale and a </w:t>
      </w:r>
      <w:r w:rsidRPr="003053AF">
        <w:rPr>
          <w:rFonts w:ascii="Cambria" w:eastAsia="Calibri" w:hAnsi="Cambria" w:cs="Calibri"/>
          <w:b/>
          <w:bCs/>
          <w:color w:val="16222F"/>
          <w:sz w:val="21"/>
          <w:szCs w:val="21"/>
        </w:rPr>
        <w:t>separate</w:t>
      </w:r>
      <w:r w:rsidRPr="003053AF">
        <w:rPr>
          <w:rFonts w:ascii="Cambria" w:eastAsia="Calibri" w:hAnsi="Cambria" w:cs="Calibri"/>
          <w:color w:val="16222F"/>
          <w:sz w:val="21"/>
          <w:szCs w:val="21"/>
        </w:rPr>
        <w:t xml:space="preserve"> confidence statement about the evidence.</w:t>
      </w: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30249803"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27B01CF0"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A worked example</w:t>
            </w:r>
          </w:p>
          <w:p w14:paraId="2A52DB03" w14:textId="77777777" w:rsidR="00FD5E4C" w:rsidRPr="003053AF" w:rsidRDefault="00000000" w:rsidP="003053AF">
            <w:pPr>
              <w:spacing w:before="20" w:line="276" w:lineRule="auto"/>
              <w:rPr>
                <w:rFonts w:ascii="Cambria" w:hAnsi="Cambria"/>
              </w:rPr>
            </w:pPr>
            <w:r w:rsidRPr="003053AF">
              <w:rPr>
                <w:rFonts w:ascii="Cambria" w:eastAsia="Calibri" w:hAnsi="Cambria" w:cs="Calibri"/>
                <w:i/>
                <w:iCs/>
                <w:color w:val="16222F"/>
              </w:rPr>
              <w:t xml:space="preserve">“The campaign described in AA26-204A is </w:t>
            </w:r>
            <w:r w:rsidRPr="003053AF">
              <w:rPr>
                <w:rFonts w:ascii="Cambria" w:eastAsia="Calibri" w:hAnsi="Cambria" w:cs="Calibri"/>
                <w:b/>
                <w:bCs/>
                <w:i/>
                <w:iCs/>
                <w:color w:val="16222F"/>
              </w:rPr>
              <w:t>highly likely</w:t>
            </w:r>
            <w:r w:rsidRPr="003053AF">
              <w:rPr>
                <w:rFonts w:ascii="Cambria" w:eastAsia="Calibri" w:hAnsi="Cambria" w:cs="Calibri"/>
                <w:i/>
                <w:iCs/>
                <w:color w:val="16222F"/>
              </w:rPr>
              <w:t xml:space="preserve"> to be ongoing against similar targets. </w:t>
            </w:r>
            <w:r w:rsidRPr="003053AF">
              <w:rPr>
                <w:rFonts w:ascii="Cambria" w:eastAsia="Calibri" w:hAnsi="Cambria" w:cs="Calibri"/>
                <w:b/>
                <w:bCs/>
                <w:i/>
                <w:iCs/>
                <w:color w:val="16222F"/>
              </w:rPr>
              <w:t>Confidence: moderate</w:t>
            </w:r>
            <w:r w:rsidRPr="003053AF">
              <w:rPr>
                <w:rFonts w:ascii="Cambria" w:eastAsia="Calibri" w:hAnsi="Cambria" w:cs="Calibri"/>
                <w:i/>
                <w:iCs/>
                <w:color w:val="16222F"/>
              </w:rPr>
              <w:t xml:space="preserve"> — the assessment rests on a single government advisory with no independent corroboration available to us, and we have not observed the described activity on our own estate. Likelihood scale: almost certainly (&gt;90%) / highly likely (75–90%) / likely (55–75%) / roughly even chance (45–55%) / unlikely (25–45%) / highly unlikely (&lt;25%).”</w:t>
            </w:r>
          </w:p>
          <w:p w14:paraId="47A8C1EE"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Two separate axes. “Highly likely, moderate confidence” is a coherent and common position — collapsing them into “we believe” destroys both.</w:t>
            </w:r>
          </w:p>
        </w:tc>
      </w:tr>
    </w:tbl>
    <w:p w14:paraId="06E868AF" w14:textId="77777777" w:rsidR="00FD5E4C" w:rsidRPr="003053AF" w:rsidRDefault="00FD5E4C" w:rsidP="003053AF">
      <w:pPr>
        <w:spacing w:line="276" w:lineRule="auto"/>
        <w:rPr>
          <w:rFonts w:ascii="Cambria" w:hAnsi="Cambria"/>
        </w:rPr>
      </w:pPr>
    </w:p>
    <w:tbl>
      <w:tblPr>
        <w:tblW w:w="9360" w:type="dxa"/>
        <w:tblBorders>
          <w:top w:val="single" w:sz="2" w:space="0" w:color="B87A1E"/>
          <w:left w:val="single" w:sz="14" w:space="0" w:color="B87A1E"/>
          <w:bottom w:val="single" w:sz="2" w:space="0" w:color="B87A1E"/>
          <w:right w:val="single" w:sz="2" w:space="0" w:color="B87A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D59A7CD" w14:textId="77777777">
        <w:tblPrEx>
          <w:tblCellMar>
            <w:top w:w="0" w:type="dxa"/>
            <w:bottom w:w="0" w:type="dxa"/>
          </w:tblCellMar>
        </w:tblPrEx>
        <w:tc>
          <w:tcPr>
            <w:tcW w:w="9360" w:type="dxa"/>
            <w:shd w:val="clear" w:color="auto" w:fill="FBEFDC"/>
            <w:tcMar>
              <w:top w:w="120" w:type="dxa"/>
              <w:left w:w="200" w:type="dxa"/>
              <w:bottom w:w="120" w:type="dxa"/>
              <w:right w:w="180" w:type="dxa"/>
            </w:tcMar>
          </w:tcPr>
          <w:p w14:paraId="1D04C0E4"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B87A1E"/>
                <w:sz w:val="21"/>
                <w:szCs w:val="21"/>
              </w:rPr>
              <w:t>Why this is not pedantry</w:t>
            </w:r>
          </w:p>
          <w:p w14:paraId="5A68B0F6"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 xml:space="preserve">“Possible” has been shown to mean anything from five per cent to eighty per cent depending on the reader. If your report drives a spending decision, that spread </w:t>
            </w:r>
            <w:r w:rsidRPr="003053AF">
              <w:rPr>
                <w:rFonts w:ascii="Cambria" w:eastAsia="Calibri" w:hAnsi="Cambria" w:cs="Calibri"/>
                <w:i/>
                <w:iCs/>
                <w:color w:val="16222F"/>
              </w:rPr>
              <w:t>is</w:t>
            </w:r>
            <w:r w:rsidRPr="003053AF">
              <w:rPr>
                <w:rFonts w:ascii="Cambria" w:eastAsia="Calibri" w:hAnsi="Cambria" w:cs="Calibri"/>
                <w:color w:val="16222F"/>
              </w:rPr>
              <w:t xml:space="preserve"> the decision. State the scale, once, in an annex — then a reader in another organisation reads your word the way you meant it.</w:t>
            </w:r>
          </w:p>
        </w:tc>
      </w:tr>
    </w:tbl>
    <w:p w14:paraId="73876CE3" w14:textId="77777777" w:rsidR="00FD5E4C" w:rsidRPr="003053AF" w:rsidRDefault="00FD5E4C" w:rsidP="003053AF">
      <w:pPr>
        <w:spacing w:line="276" w:lineRule="auto"/>
        <w:rPr>
          <w:rFonts w:ascii="Cambria" w:hAnsi="Cambria"/>
        </w:rPr>
      </w:pPr>
    </w:p>
    <w:p w14:paraId="2D6945C4" w14:textId="77777777" w:rsidR="00FD5E4C" w:rsidRPr="003053AF" w:rsidRDefault="00000000" w:rsidP="003053AF">
      <w:pPr>
        <w:spacing w:line="276" w:lineRule="auto"/>
        <w:rPr>
          <w:rFonts w:ascii="Cambria" w:hAnsi="Cambria"/>
        </w:rPr>
      </w:pPr>
      <w:r w:rsidRPr="003053AF">
        <w:rPr>
          <w:rFonts w:ascii="Cambria" w:hAnsi="Cambria"/>
        </w:rPr>
        <w:br w:type="page"/>
      </w:r>
    </w:p>
    <w:p w14:paraId="3AA62913" w14:textId="77777777" w:rsidR="00FD5E4C" w:rsidRPr="003053AF" w:rsidRDefault="00000000" w:rsidP="003053AF">
      <w:pPr>
        <w:pStyle w:val="Heading1"/>
        <w:spacing w:before="340" w:line="276" w:lineRule="auto"/>
        <w:rPr>
          <w:rFonts w:ascii="Cambria" w:hAnsi="Cambria"/>
        </w:rPr>
      </w:pPr>
      <w:bookmarkStart w:id="10" w:name="_Toc237190731"/>
      <w:r w:rsidRPr="003053AF">
        <w:rPr>
          <w:rFonts w:ascii="Cambria" w:eastAsia="Cambria" w:hAnsi="Cambria" w:cs="Cambria"/>
          <w:b/>
          <w:bCs/>
          <w:color w:val="16324C"/>
          <w:sz w:val="34"/>
          <w:szCs w:val="34"/>
        </w:rPr>
        <w:lastRenderedPageBreak/>
        <w:t>Appendix A — Self-check</w:t>
      </w:r>
      <w:bookmarkEnd w:id="10"/>
    </w:p>
    <w:p w14:paraId="13829293" w14:textId="77777777" w:rsidR="00FD5E4C" w:rsidRPr="003053AF" w:rsidRDefault="00000000" w:rsidP="003053AF">
      <w:pPr>
        <w:spacing w:before="60" w:line="276" w:lineRule="auto"/>
        <w:rPr>
          <w:rFonts w:ascii="Cambria" w:hAnsi="Cambria"/>
        </w:rPr>
      </w:pPr>
      <w:r w:rsidRPr="003053AF">
        <w:rPr>
          <w:rFonts w:ascii="Cambria" w:eastAsia="Calibri" w:hAnsi="Cambria" w:cs="Calibri"/>
          <w:i/>
          <w:iCs/>
          <w:color w:val="5C6B7A"/>
          <w:sz w:val="21"/>
          <w:szCs w:val="21"/>
        </w:rPr>
        <w:t>Six questions. Answers overleaf — cover them until you have written yours.</w:t>
      </w:r>
    </w:p>
    <w:p w14:paraId="133DCE9F"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Your enrichment pipeline reports a healthy number of indicators from every advisory it ingests. What single test would tell you whether it is silently dropping half of them?</w:t>
      </w:r>
    </w:p>
    <w:p w14:paraId="452C6C99"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Why are hashes and ATT&amp;CK technique IDs unaffected by defanging, when domains and IP addresses are not?</w:t>
      </w:r>
    </w:p>
    <w:p w14:paraId="544F0452"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A vendor offers you a feed of two million indicators for a fixed annual price. Using the Pyramid of Pain, what is the first question you ask?</w:t>
      </w:r>
    </w:p>
    <w:p w14:paraId="7665965A"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4.  </w:t>
      </w:r>
      <w:r w:rsidRPr="003053AF">
        <w:rPr>
          <w:rFonts w:ascii="Cambria" w:eastAsia="Calibri" w:hAnsi="Cambria" w:cs="Calibri"/>
          <w:color w:val="16222F"/>
          <w:sz w:val="21"/>
          <w:szCs w:val="21"/>
        </w:rPr>
        <w:t>A CVE has CVSS 9.8 and is not in the known-exploited catalogue. A second has CVSS 6.1 and is. Which do you patch first, and what else do you need to know before answering?</w:t>
      </w:r>
    </w:p>
    <w:p w14:paraId="3245EF5C"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5.  </w:t>
      </w:r>
      <w:r w:rsidRPr="003053AF">
        <w:rPr>
          <w:rFonts w:ascii="Cambria" w:eastAsia="Calibri" w:hAnsi="Cambria" w:cs="Calibri"/>
          <w:color w:val="16222F"/>
          <w:sz w:val="21"/>
          <w:szCs w:val="21"/>
        </w:rPr>
        <w:t>Your audit harness passes every indicator in an LLM summary. Name a failure it cannot have caught.</w:t>
      </w:r>
    </w:p>
    <w:p w14:paraId="3FFC6F38"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6.  </w:t>
      </w:r>
      <w:r w:rsidRPr="003053AF">
        <w:rPr>
          <w:rFonts w:ascii="Cambria" w:eastAsia="Calibri" w:hAnsi="Cambria" w:cs="Calibri"/>
          <w:color w:val="16222F"/>
          <w:sz w:val="21"/>
          <w:szCs w:val="21"/>
        </w:rPr>
        <w:t>Why does 'extract by rule' also happen to be a defence against prompt injection?</w:t>
      </w:r>
    </w:p>
    <w:p w14:paraId="5243862B" w14:textId="77777777" w:rsidR="00FD5E4C" w:rsidRPr="003053AF" w:rsidRDefault="00000000" w:rsidP="003053AF">
      <w:pPr>
        <w:pStyle w:val="Heading2"/>
        <w:spacing w:before="260" w:line="276" w:lineRule="auto"/>
        <w:rPr>
          <w:rFonts w:ascii="Cambria" w:hAnsi="Cambria"/>
        </w:rPr>
      </w:pPr>
      <w:bookmarkStart w:id="11" w:name="_Toc237190732"/>
      <w:r w:rsidRPr="003053AF">
        <w:rPr>
          <w:rFonts w:ascii="Cambria" w:eastAsia="Cambria" w:hAnsi="Cambria" w:cs="Cambria"/>
          <w:b/>
          <w:bCs/>
          <w:color w:val="16324C"/>
        </w:rPr>
        <w:t>Appendix A answers</w:t>
      </w:r>
      <w:bookmarkEnd w:id="11"/>
    </w:p>
    <w:p w14:paraId="037EFCC3" w14:textId="297C766D"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Run your extractor over one advisory you have also read by hand, and compare. Nothing in a dashboard will show this</w:t>
      </w:r>
      <w:r w:rsidR="003053AF">
        <w:rPr>
          <w:rFonts w:ascii="Cambria" w:eastAsia="Calibri" w:hAnsi="Cambria" w:cs="Calibri"/>
          <w:color w:val="16222F"/>
          <w:sz w:val="21"/>
          <w:szCs w:val="21"/>
        </w:rPr>
        <w:t>,</w:t>
      </w:r>
      <w:r w:rsidRPr="003053AF">
        <w:rPr>
          <w:rFonts w:ascii="Cambria" w:eastAsia="Calibri" w:hAnsi="Cambria" w:cs="Calibri"/>
          <w:color w:val="16222F"/>
          <w:sz w:val="21"/>
          <w:szCs w:val="21"/>
        </w:rPr>
        <w:t xml:space="preserve"> the counts look normal either way. On AA26-204A the naive extractor reported 10 network indicators against a true 28, and every single IP address was missing.</w:t>
      </w:r>
    </w:p>
    <w:p w14:paraId="39B36FD9"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Defanging inserts characters into the delimiters that make an address an address — the dots in a domain or IP, the colon and scheme in a URL. Hashes are a continuous run of hexadecimal with no delimiters to break, and technique IDs are a letter followed by digits. There is nothing in either for the convention to alter.</w:t>
      </w:r>
    </w:p>
    <w:p w14:paraId="33D6BBB6" w14:textId="77B64398"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 xml:space="preserve">Something close to: which tiers of the pyramid does this cover, and in what proportion? Two million indicators </w:t>
      </w:r>
      <w:proofErr w:type="gramStart"/>
      <w:r w:rsidRPr="003053AF">
        <w:rPr>
          <w:rFonts w:ascii="Cambria" w:eastAsia="Calibri" w:hAnsi="Cambria" w:cs="Calibri"/>
          <w:color w:val="16222F"/>
          <w:sz w:val="21"/>
          <w:szCs w:val="21"/>
        </w:rPr>
        <w:t>is</w:t>
      </w:r>
      <w:proofErr w:type="gramEnd"/>
      <w:r w:rsidRPr="003053AF">
        <w:rPr>
          <w:rFonts w:ascii="Cambria" w:eastAsia="Calibri" w:hAnsi="Cambria" w:cs="Calibri"/>
          <w:color w:val="16222F"/>
          <w:sz w:val="21"/>
          <w:szCs w:val="21"/>
        </w:rPr>
        <w:t xml:space="preserve"> almost certainly hashes, IPs and </w:t>
      </w:r>
      <w:r w:rsidR="003053AF" w:rsidRPr="003053AF">
        <w:rPr>
          <w:rFonts w:ascii="Cambria" w:eastAsia="Calibri" w:hAnsi="Cambria" w:cs="Calibri"/>
          <w:color w:val="16222F"/>
          <w:sz w:val="21"/>
          <w:szCs w:val="21"/>
        </w:rPr>
        <w:t>domains</w:t>
      </w:r>
      <w:r w:rsidR="003053AF">
        <w:rPr>
          <w:rFonts w:ascii="Cambria" w:eastAsia="Calibri" w:hAnsi="Cambria" w:cs="Calibri"/>
          <w:color w:val="16222F"/>
          <w:sz w:val="21"/>
          <w:szCs w:val="21"/>
        </w:rPr>
        <w:t xml:space="preserve">, </w:t>
      </w:r>
      <w:r w:rsidR="003053AF" w:rsidRPr="003053AF">
        <w:rPr>
          <w:rFonts w:ascii="Cambria" w:eastAsia="Calibri" w:hAnsi="Cambria" w:cs="Calibri"/>
          <w:color w:val="16222F"/>
          <w:sz w:val="21"/>
          <w:szCs w:val="21"/>
        </w:rPr>
        <w:t>the</w:t>
      </w:r>
      <w:r w:rsidRPr="003053AF">
        <w:rPr>
          <w:rFonts w:ascii="Cambria" w:eastAsia="Calibri" w:hAnsi="Cambria" w:cs="Calibri"/>
          <w:color w:val="16222F"/>
          <w:sz w:val="21"/>
          <w:szCs w:val="21"/>
        </w:rPr>
        <w:t xml:space="preserve"> bottom three tiers, where the adversary defeats them for free and where volume is cheap to produce. Volume is a poor proxy for value, and per-indicator pricing rewards exactly the tier that expires fastest.</w:t>
      </w:r>
    </w:p>
    <w:p w14:paraId="4FEC13D3" w14:textId="77777777"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4.  </w:t>
      </w:r>
      <w:r w:rsidRPr="003053AF">
        <w:rPr>
          <w:rFonts w:ascii="Cambria" w:eastAsia="Calibri" w:hAnsi="Cambria" w:cs="Calibri"/>
          <w:color w:val="16222F"/>
          <w:sz w:val="21"/>
          <w:szCs w:val="21"/>
        </w:rPr>
        <w:t>You cannot answer from those two numbers alone, and that is the point of the question. Confirmed exploitation is a stronger signal than predicted severity, so the 6.1 has a real claim on your attention. But neither figure is your risk: you need to know whether you run each product, whether it is exposed, and what it protects. A CVSS 10 in software you do not deploy is a zero for you.</w:t>
      </w:r>
    </w:p>
    <w:p w14:paraId="2EC17645" w14:textId="54C93706"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5.  </w:t>
      </w:r>
      <w:r w:rsidRPr="003053AF">
        <w:rPr>
          <w:rFonts w:ascii="Cambria" w:eastAsia="Calibri" w:hAnsi="Cambria" w:cs="Calibri"/>
          <w:color w:val="16222F"/>
          <w:sz w:val="21"/>
          <w:szCs w:val="21"/>
        </w:rPr>
        <w:t xml:space="preserve">A real indicator described wrongly. Every string traces to the source, so </w:t>
      </w:r>
      <w:proofErr w:type="gramStart"/>
      <w:r w:rsidRPr="003053AF">
        <w:rPr>
          <w:rFonts w:ascii="Cambria" w:eastAsia="Calibri" w:hAnsi="Cambria" w:cs="Calibri"/>
          <w:color w:val="16222F"/>
          <w:sz w:val="21"/>
          <w:szCs w:val="21"/>
        </w:rPr>
        <w:t>set-difference</w:t>
      </w:r>
      <w:proofErr w:type="gramEnd"/>
      <w:r w:rsidRPr="003053AF">
        <w:rPr>
          <w:rFonts w:ascii="Cambria" w:eastAsia="Calibri" w:hAnsi="Cambria" w:cs="Calibri"/>
          <w:color w:val="16222F"/>
          <w:sz w:val="21"/>
          <w:szCs w:val="21"/>
        </w:rPr>
        <w:t xml:space="preserve"> passes it, while the meaning is inverted</w:t>
      </w:r>
      <w:r w:rsidR="003053AF">
        <w:rPr>
          <w:rFonts w:ascii="Cambria" w:eastAsia="Calibri" w:hAnsi="Cambria" w:cs="Calibri"/>
          <w:color w:val="16222F"/>
          <w:sz w:val="21"/>
          <w:szCs w:val="21"/>
        </w:rPr>
        <w:t xml:space="preserve">, </w:t>
      </w:r>
      <w:r w:rsidRPr="003053AF">
        <w:rPr>
          <w:rFonts w:ascii="Cambria" w:eastAsia="Calibri" w:hAnsi="Cambria" w:cs="Calibri"/>
          <w:color w:val="16222F"/>
          <w:sz w:val="21"/>
          <w:szCs w:val="21"/>
        </w:rPr>
        <w:t>for example an address the advisory listed as a compromised third party presented as adversary infrastructure. Acting on that one breaks somebody else's production. It can only be caught by a human reading the source.</w:t>
      </w:r>
    </w:p>
    <w:p w14:paraId="4EE30F21" w14:textId="247F2555" w:rsidR="00FD5E4C" w:rsidRPr="003053AF" w:rsidRDefault="00000000" w:rsidP="003053AF">
      <w:pPr>
        <w:spacing w:before="80" w:line="276" w:lineRule="auto"/>
        <w:ind w:left="420" w:hanging="420"/>
        <w:jc w:val="both"/>
        <w:rPr>
          <w:rFonts w:ascii="Cambria" w:hAnsi="Cambria"/>
        </w:rPr>
      </w:pPr>
      <w:r w:rsidRPr="003053AF">
        <w:rPr>
          <w:rFonts w:ascii="Cambria" w:eastAsia="Calibri" w:hAnsi="Cambria" w:cs="Calibri"/>
          <w:b/>
          <w:bCs/>
          <w:color w:val="B87A1E"/>
          <w:sz w:val="21"/>
          <w:szCs w:val="21"/>
        </w:rPr>
        <w:t xml:space="preserve">6.  </w:t>
      </w:r>
      <w:r w:rsidRPr="003053AF">
        <w:rPr>
          <w:rFonts w:ascii="Cambria" w:eastAsia="Calibri" w:hAnsi="Cambria" w:cs="Calibri"/>
          <w:color w:val="16222F"/>
          <w:sz w:val="21"/>
          <w:szCs w:val="21"/>
        </w:rPr>
        <w:t>Because a regex cannot be instructed. Text collected from an adversary-controlled source may contain instructions aimed at a model in your pipeline, but a deterministic extractor has no instruction-following surface</w:t>
      </w:r>
      <w:r w:rsidR="003053AF">
        <w:rPr>
          <w:rFonts w:ascii="Cambria" w:eastAsia="Calibri" w:hAnsi="Cambria" w:cs="Calibri"/>
          <w:color w:val="16222F"/>
          <w:sz w:val="21"/>
          <w:szCs w:val="21"/>
        </w:rPr>
        <w:t>,</w:t>
      </w:r>
      <w:r w:rsidRPr="003053AF">
        <w:rPr>
          <w:rFonts w:ascii="Cambria" w:eastAsia="Calibri" w:hAnsi="Cambria" w:cs="Calibri"/>
          <w:color w:val="16222F"/>
          <w:sz w:val="21"/>
          <w:szCs w:val="21"/>
        </w:rPr>
        <w:t xml:space="preserve"> it either matches a </w:t>
      </w:r>
      <w:proofErr w:type="gramStart"/>
      <w:r w:rsidRPr="003053AF">
        <w:rPr>
          <w:rFonts w:ascii="Cambria" w:eastAsia="Calibri" w:hAnsi="Cambria" w:cs="Calibri"/>
          <w:color w:val="16222F"/>
          <w:sz w:val="21"/>
          <w:szCs w:val="21"/>
        </w:rPr>
        <w:t>pattern</w:t>
      </w:r>
      <w:proofErr w:type="gramEnd"/>
      <w:r w:rsidRPr="003053AF">
        <w:rPr>
          <w:rFonts w:ascii="Cambria" w:eastAsia="Calibri" w:hAnsi="Cambria" w:cs="Calibri"/>
          <w:color w:val="16222F"/>
          <w:sz w:val="21"/>
          <w:szCs w:val="21"/>
        </w:rPr>
        <w:t xml:space="preserve"> or it does not, so injected text cannot manufacture an indicator. Keeping the actioned half of the pipeline deterministic is an architectural defence, not just a quality choice.</w:t>
      </w:r>
    </w:p>
    <w:p w14:paraId="07955837" w14:textId="77777777" w:rsidR="00FD5E4C" w:rsidRPr="003053AF" w:rsidRDefault="00FD5E4C" w:rsidP="003053AF">
      <w:pPr>
        <w:spacing w:line="276" w:lineRule="auto"/>
        <w:rPr>
          <w:rFonts w:ascii="Cambria" w:hAnsi="Cambria"/>
        </w:rPr>
      </w:pPr>
    </w:p>
    <w:p w14:paraId="0765EAA9" w14:textId="77777777" w:rsidR="00FD5E4C" w:rsidRPr="003053AF" w:rsidRDefault="00000000" w:rsidP="003053AF">
      <w:pPr>
        <w:spacing w:line="276" w:lineRule="auto"/>
        <w:rPr>
          <w:rFonts w:ascii="Cambria" w:hAnsi="Cambria"/>
        </w:rPr>
      </w:pPr>
      <w:r w:rsidRPr="003053AF">
        <w:rPr>
          <w:rFonts w:ascii="Cambria" w:hAnsi="Cambria"/>
        </w:rPr>
        <w:br w:type="page"/>
      </w:r>
    </w:p>
    <w:p w14:paraId="6BE7FD1B" w14:textId="77777777" w:rsidR="00FD5E4C" w:rsidRPr="003053AF" w:rsidRDefault="00000000" w:rsidP="003053AF">
      <w:pPr>
        <w:pStyle w:val="Heading1"/>
        <w:spacing w:before="340" w:line="276" w:lineRule="auto"/>
        <w:rPr>
          <w:rFonts w:ascii="Cambria" w:hAnsi="Cambria"/>
        </w:rPr>
      </w:pPr>
      <w:bookmarkStart w:id="12" w:name="_Toc237190733"/>
      <w:r w:rsidRPr="003053AF">
        <w:rPr>
          <w:rFonts w:ascii="Cambria" w:eastAsia="Cambria" w:hAnsi="Cambria" w:cs="Cambria"/>
          <w:b/>
          <w:bCs/>
          <w:color w:val="16324C"/>
          <w:sz w:val="34"/>
          <w:szCs w:val="34"/>
        </w:rPr>
        <w:lastRenderedPageBreak/>
        <w:t>Appendix B — Glossary</w:t>
      </w:r>
      <w:bookmarkEnd w:id="12"/>
    </w:p>
    <w:tbl>
      <w:tblPr>
        <w:tblW w:w="9360" w:type="dxa"/>
        <w:tblBorders>
          <w:top w:val="single" w:sz="2" w:space="0" w:color="D8E0E8"/>
          <w:left w:val="single" w:sz="2" w:space="0" w:color="D8E0E8"/>
          <w:bottom w:val="single" w:sz="2" w:space="0" w:color="D8E0E8"/>
          <w:right w:val="single" w:sz="2"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350"/>
        <w:gridCol w:w="7010"/>
      </w:tblGrid>
      <w:tr w:rsidR="00FD5E4C" w:rsidRPr="003053AF" w14:paraId="76A64FFD" w14:textId="77777777">
        <w:tblPrEx>
          <w:tblCellMar>
            <w:top w:w="0" w:type="dxa"/>
            <w:bottom w:w="0" w:type="dxa"/>
          </w:tblCellMar>
        </w:tblPrEx>
        <w:trPr>
          <w:tblHeader/>
        </w:trPr>
        <w:tc>
          <w:tcPr>
            <w:tcW w:w="2350" w:type="dxa"/>
            <w:shd w:val="clear" w:color="auto" w:fill="16324C"/>
            <w:tcMar>
              <w:top w:w="100" w:type="dxa"/>
              <w:left w:w="140" w:type="dxa"/>
              <w:bottom w:w="100" w:type="dxa"/>
              <w:right w:w="120" w:type="dxa"/>
            </w:tcMar>
          </w:tcPr>
          <w:p w14:paraId="3DE5D8FD"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Term</w:t>
            </w:r>
          </w:p>
        </w:tc>
        <w:tc>
          <w:tcPr>
            <w:tcW w:w="7010" w:type="dxa"/>
            <w:shd w:val="clear" w:color="auto" w:fill="16324C"/>
            <w:tcMar>
              <w:top w:w="100" w:type="dxa"/>
              <w:left w:w="140" w:type="dxa"/>
              <w:bottom w:w="100" w:type="dxa"/>
              <w:right w:w="120" w:type="dxa"/>
            </w:tcMar>
          </w:tcPr>
          <w:p w14:paraId="35C23635"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Meaning</w:t>
            </w:r>
          </w:p>
        </w:tc>
      </w:tr>
      <w:tr w:rsidR="00FD5E4C" w:rsidRPr="003053AF" w14:paraId="1775F504"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65579AB6"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IOC</w:t>
            </w:r>
          </w:p>
        </w:tc>
        <w:tc>
          <w:tcPr>
            <w:tcW w:w="7010" w:type="dxa"/>
            <w:shd w:val="clear" w:color="auto" w:fill="F2F5F8"/>
            <w:tcMar>
              <w:top w:w="95" w:type="dxa"/>
              <w:left w:w="140" w:type="dxa"/>
              <w:bottom w:w="95" w:type="dxa"/>
              <w:right w:w="120" w:type="dxa"/>
            </w:tcMar>
          </w:tcPr>
          <w:p w14:paraId="6CD7376B"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Indicator of compromise: an observable such as a hash, address or domain associated with malicious activity.</w:t>
            </w:r>
          </w:p>
        </w:tc>
      </w:tr>
      <w:tr w:rsidR="00FD5E4C" w:rsidRPr="003053AF" w14:paraId="03F50300"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234558B8"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Defanging</w:t>
            </w:r>
          </w:p>
        </w:tc>
        <w:tc>
          <w:tcPr>
            <w:tcW w:w="7010" w:type="dxa"/>
            <w:shd w:val="clear" w:color="auto" w:fill="FFFFFF"/>
            <w:tcMar>
              <w:top w:w="95" w:type="dxa"/>
              <w:left w:w="140" w:type="dxa"/>
              <w:bottom w:w="95" w:type="dxa"/>
              <w:right w:w="120" w:type="dxa"/>
            </w:tcMar>
          </w:tcPr>
          <w:p w14:paraId="36696283"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A documentation convention that breaks indicators so they cannot be clicked or auto-linked, e.g. 1.2.3[.]4 and hxxp://.</w:t>
            </w:r>
          </w:p>
        </w:tc>
      </w:tr>
      <w:tr w:rsidR="00FD5E4C" w:rsidRPr="003053AF" w14:paraId="090984DF"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6980CE72"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Refanging</w:t>
            </w:r>
          </w:p>
        </w:tc>
        <w:tc>
          <w:tcPr>
            <w:tcW w:w="7010" w:type="dxa"/>
            <w:shd w:val="clear" w:color="auto" w:fill="F2F5F8"/>
            <w:tcMar>
              <w:top w:w="95" w:type="dxa"/>
              <w:left w:w="140" w:type="dxa"/>
              <w:bottom w:w="95" w:type="dxa"/>
              <w:right w:w="120" w:type="dxa"/>
            </w:tcMar>
          </w:tcPr>
          <w:p w14:paraId="0D7CD524"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Reversing that convention before extraction. One substitution; the whole of Lab 1 Part A.</w:t>
            </w:r>
          </w:p>
        </w:tc>
      </w:tr>
      <w:tr w:rsidR="00FD5E4C" w:rsidRPr="003053AF" w14:paraId="3460D9FE"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4D3B1ABB"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Pyramid of Pain</w:t>
            </w:r>
          </w:p>
        </w:tc>
        <w:tc>
          <w:tcPr>
            <w:tcW w:w="7010" w:type="dxa"/>
            <w:shd w:val="clear" w:color="auto" w:fill="FFFFFF"/>
            <w:tcMar>
              <w:top w:w="95" w:type="dxa"/>
              <w:left w:w="140" w:type="dxa"/>
              <w:bottom w:w="95" w:type="dxa"/>
              <w:right w:w="120" w:type="dxa"/>
            </w:tcMar>
          </w:tcPr>
          <w:p w14:paraId="6F7D48DB"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Bianco's model ranking indicator types by how costly they are for the adversary to change.</w:t>
            </w:r>
          </w:p>
        </w:tc>
      </w:tr>
      <w:tr w:rsidR="00FD5E4C" w:rsidRPr="003053AF" w14:paraId="16CD0855"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0297B66D"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TTPs</w:t>
            </w:r>
          </w:p>
        </w:tc>
        <w:tc>
          <w:tcPr>
            <w:tcW w:w="7010" w:type="dxa"/>
            <w:shd w:val="clear" w:color="auto" w:fill="F2F5F8"/>
            <w:tcMar>
              <w:top w:w="95" w:type="dxa"/>
              <w:left w:w="140" w:type="dxa"/>
              <w:bottom w:w="95" w:type="dxa"/>
              <w:right w:w="120" w:type="dxa"/>
            </w:tcMar>
          </w:tcPr>
          <w:p w14:paraId="113E1C36" w14:textId="254F1D49"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Tactics, techniques and procedures</w:t>
            </w:r>
            <w:r w:rsidR="003053AF">
              <w:rPr>
                <w:rFonts w:ascii="Cambria" w:eastAsia="Calibri" w:hAnsi="Cambria" w:cs="Calibri"/>
                <w:color w:val="16222F"/>
                <w:sz w:val="19"/>
                <w:szCs w:val="19"/>
              </w:rPr>
              <w:t>, that is</w:t>
            </w:r>
            <w:r w:rsidRPr="003053AF">
              <w:rPr>
                <w:rFonts w:ascii="Cambria" w:eastAsia="Calibri" w:hAnsi="Cambria" w:cs="Calibri"/>
                <w:color w:val="16222F"/>
                <w:sz w:val="19"/>
                <w:szCs w:val="19"/>
              </w:rPr>
              <w:t xml:space="preserve"> how an adversary works, as opposed to what they used.</w:t>
            </w:r>
          </w:p>
        </w:tc>
      </w:tr>
      <w:tr w:rsidR="00FD5E4C" w:rsidRPr="003053AF" w14:paraId="6701DA23"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52C55EA6"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MITRE ATT&amp;CK</w:t>
            </w:r>
          </w:p>
        </w:tc>
        <w:tc>
          <w:tcPr>
            <w:tcW w:w="7010" w:type="dxa"/>
            <w:shd w:val="clear" w:color="auto" w:fill="FFFFFF"/>
            <w:tcMar>
              <w:top w:w="95" w:type="dxa"/>
              <w:left w:w="140" w:type="dxa"/>
              <w:bottom w:w="95" w:type="dxa"/>
              <w:right w:w="120" w:type="dxa"/>
            </w:tcMar>
          </w:tcPr>
          <w:p w14:paraId="78CCE1DD"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A catalogue of adversary techniques observed in the wild. Technique IDs look like T1566.001.</w:t>
            </w:r>
          </w:p>
        </w:tc>
      </w:tr>
      <w:tr w:rsidR="00FD5E4C" w:rsidRPr="003053AF" w14:paraId="439FF348"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4D1A5E7C"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CVSS</w:t>
            </w:r>
          </w:p>
        </w:tc>
        <w:tc>
          <w:tcPr>
            <w:tcW w:w="7010" w:type="dxa"/>
            <w:shd w:val="clear" w:color="auto" w:fill="F2F5F8"/>
            <w:tcMar>
              <w:top w:w="95" w:type="dxa"/>
              <w:left w:w="140" w:type="dxa"/>
              <w:bottom w:w="95" w:type="dxa"/>
              <w:right w:w="120" w:type="dxa"/>
            </w:tcMar>
          </w:tcPr>
          <w:p w14:paraId="07A798DC"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Common Vulnerability Scoring System. Measures intrinsic severity, not exploitation.</w:t>
            </w:r>
          </w:p>
        </w:tc>
      </w:tr>
      <w:tr w:rsidR="00FD5E4C" w:rsidRPr="003053AF" w14:paraId="0238C795"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6A44F64F"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EPSS</w:t>
            </w:r>
          </w:p>
        </w:tc>
        <w:tc>
          <w:tcPr>
            <w:tcW w:w="7010" w:type="dxa"/>
            <w:shd w:val="clear" w:color="auto" w:fill="FFFFFF"/>
            <w:tcMar>
              <w:top w:w="95" w:type="dxa"/>
              <w:left w:w="140" w:type="dxa"/>
              <w:bottom w:w="95" w:type="dxa"/>
              <w:right w:w="120" w:type="dxa"/>
            </w:tcMar>
          </w:tcPr>
          <w:p w14:paraId="72AA16C7"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Exploit Prediction Scoring System. Estimates the probability of exploitation. A prediction, rescored daily.</w:t>
            </w:r>
          </w:p>
        </w:tc>
      </w:tr>
      <w:tr w:rsidR="00FD5E4C" w:rsidRPr="003053AF" w14:paraId="086054F5"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574D5932"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KEV</w:t>
            </w:r>
          </w:p>
        </w:tc>
        <w:tc>
          <w:tcPr>
            <w:tcW w:w="7010" w:type="dxa"/>
            <w:shd w:val="clear" w:color="auto" w:fill="F2F5F8"/>
            <w:tcMar>
              <w:top w:w="95" w:type="dxa"/>
              <w:left w:w="140" w:type="dxa"/>
              <w:bottom w:w="95" w:type="dxa"/>
              <w:right w:w="120" w:type="dxa"/>
            </w:tcMar>
          </w:tcPr>
          <w:p w14:paraId="4D63CA9A"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CISA's Known Exploited Vulnerabilities catalogue. A record of observed in-the-wild exploitation.</w:t>
            </w:r>
          </w:p>
        </w:tc>
      </w:tr>
      <w:tr w:rsidR="00FD5E4C" w:rsidRPr="003053AF" w14:paraId="50A070AA"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72A7FAC4"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STIX / TAXII</w:t>
            </w:r>
          </w:p>
        </w:tc>
        <w:tc>
          <w:tcPr>
            <w:tcW w:w="7010" w:type="dxa"/>
            <w:shd w:val="clear" w:color="auto" w:fill="FFFFFF"/>
            <w:tcMar>
              <w:top w:w="95" w:type="dxa"/>
              <w:left w:w="140" w:type="dxa"/>
              <w:bottom w:w="95" w:type="dxa"/>
              <w:right w:w="120" w:type="dxa"/>
            </w:tcMar>
          </w:tcPr>
          <w:p w14:paraId="314C2126"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The structured format for expressing threat intelligence, and the protocol for exchanging it.</w:t>
            </w:r>
          </w:p>
        </w:tc>
      </w:tr>
      <w:tr w:rsidR="00FD5E4C" w:rsidRPr="003053AF" w14:paraId="10AB8DF1" w14:textId="77777777">
        <w:tblPrEx>
          <w:tblCellMar>
            <w:top w:w="0" w:type="dxa"/>
            <w:bottom w:w="0" w:type="dxa"/>
          </w:tblCellMar>
        </w:tblPrEx>
        <w:tc>
          <w:tcPr>
            <w:tcW w:w="2350" w:type="dxa"/>
            <w:shd w:val="clear" w:color="auto" w:fill="F2F5F8"/>
            <w:tcMar>
              <w:top w:w="95" w:type="dxa"/>
              <w:left w:w="140" w:type="dxa"/>
              <w:bottom w:w="95" w:type="dxa"/>
              <w:right w:w="120" w:type="dxa"/>
            </w:tcMar>
          </w:tcPr>
          <w:p w14:paraId="360F1D00"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Estimative language</w:t>
            </w:r>
          </w:p>
        </w:tc>
        <w:tc>
          <w:tcPr>
            <w:tcW w:w="7010" w:type="dxa"/>
            <w:shd w:val="clear" w:color="auto" w:fill="F2F5F8"/>
            <w:tcMar>
              <w:top w:w="95" w:type="dxa"/>
              <w:left w:w="140" w:type="dxa"/>
              <w:bottom w:w="95" w:type="dxa"/>
              <w:right w:w="120" w:type="dxa"/>
            </w:tcMar>
          </w:tcPr>
          <w:p w14:paraId="7CD84A69"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A fixed vocabulary for expressing likelihood, published with the report so a reader can decode it.</w:t>
            </w:r>
          </w:p>
        </w:tc>
      </w:tr>
      <w:tr w:rsidR="00FD5E4C" w:rsidRPr="003053AF" w14:paraId="1A4F3EEF" w14:textId="77777777">
        <w:tblPrEx>
          <w:tblCellMar>
            <w:top w:w="0" w:type="dxa"/>
            <w:bottom w:w="0" w:type="dxa"/>
          </w:tblCellMar>
        </w:tblPrEx>
        <w:tc>
          <w:tcPr>
            <w:tcW w:w="2350" w:type="dxa"/>
            <w:shd w:val="clear" w:color="auto" w:fill="FFFFFF"/>
            <w:tcMar>
              <w:top w:w="95" w:type="dxa"/>
              <w:left w:w="140" w:type="dxa"/>
              <w:bottom w:w="95" w:type="dxa"/>
              <w:right w:w="120" w:type="dxa"/>
            </w:tcMar>
          </w:tcPr>
          <w:p w14:paraId="20710A54"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Prompt injection</w:t>
            </w:r>
          </w:p>
        </w:tc>
        <w:tc>
          <w:tcPr>
            <w:tcW w:w="7010" w:type="dxa"/>
            <w:shd w:val="clear" w:color="auto" w:fill="FFFFFF"/>
            <w:tcMar>
              <w:top w:w="95" w:type="dxa"/>
              <w:left w:w="140" w:type="dxa"/>
              <w:bottom w:w="95" w:type="dxa"/>
              <w:right w:w="120" w:type="dxa"/>
            </w:tcMar>
          </w:tcPr>
          <w:p w14:paraId="2BA5FFB3" w14:textId="77777777" w:rsidR="00FD5E4C" w:rsidRPr="003053AF" w:rsidRDefault="00000000" w:rsidP="003053AF">
            <w:pPr>
              <w:spacing w:line="276" w:lineRule="auto"/>
              <w:jc w:val="both"/>
              <w:rPr>
                <w:rFonts w:ascii="Cambria" w:hAnsi="Cambria"/>
              </w:rPr>
            </w:pPr>
            <w:r w:rsidRPr="003053AF">
              <w:rPr>
                <w:rFonts w:ascii="Cambria" w:eastAsia="Calibri" w:hAnsi="Cambria" w:cs="Calibri"/>
                <w:color w:val="16222F"/>
                <w:sz w:val="19"/>
                <w:szCs w:val="19"/>
              </w:rPr>
              <w:t>Text in a collected document treated as instruction by a model that was only meant to read it as data.</w:t>
            </w:r>
          </w:p>
        </w:tc>
      </w:tr>
    </w:tbl>
    <w:p w14:paraId="6D2E268C" w14:textId="77777777" w:rsidR="00FD5E4C" w:rsidRPr="003053AF" w:rsidRDefault="00FD5E4C" w:rsidP="003053AF">
      <w:pPr>
        <w:spacing w:line="276" w:lineRule="auto"/>
        <w:rPr>
          <w:rFonts w:ascii="Cambria" w:hAnsi="Cambria"/>
        </w:rPr>
      </w:pPr>
    </w:p>
    <w:p w14:paraId="1E89ACE4" w14:textId="77777777" w:rsidR="00FD5E4C" w:rsidRPr="003053AF" w:rsidRDefault="00000000" w:rsidP="003053AF">
      <w:pPr>
        <w:pStyle w:val="Heading1"/>
        <w:spacing w:before="340" w:line="276" w:lineRule="auto"/>
        <w:rPr>
          <w:rFonts w:ascii="Cambria" w:hAnsi="Cambria"/>
        </w:rPr>
      </w:pPr>
      <w:bookmarkStart w:id="13" w:name="_Toc237190734"/>
      <w:r w:rsidRPr="003053AF">
        <w:rPr>
          <w:rFonts w:ascii="Cambria" w:eastAsia="Cambria" w:hAnsi="Cambria" w:cs="Cambria"/>
          <w:b/>
          <w:bCs/>
          <w:color w:val="16324C"/>
          <w:sz w:val="34"/>
          <w:szCs w:val="34"/>
        </w:rPr>
        <w:t>Appendix C — Sources</w:t>
      </w:r>
      <w:bookmarkEnd w:id="13"/>
    </w:p>
    <w:p w14:paraId="22BA6D30"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Bianco, D. (2013) — </w:t>
      </w:r>
      <w:r w:rsidRPr="003053AF">
        <w:rPr>
          <w:rFonts w:ascii="Cambria" w:eastAsia="Calibri" w:hAnsi="Cambria" w:cs="Calibri"/>
          <w:color w:val="16222F"/>
          <w:sz w:val="21"/>
          <w:szCs w:val="21"/>
        </w:rPr>
        <w:t>The Pyramid of Pain. The prioritisation model used throughout Lab 1.   https://detect-respond.blogspot.com/2013/03/the-pyramid-of-pain.html</w:t>
      </w:r>
    </w:p>
    <w:p w14:paraId="64FB936A"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MITRE ATT&amp;CK — </w:t>
      </w:r>
      <w:r w:rsidRPr="003053AF">
        <w:rPr>
          <w:rFonts w:ascii="Cambria" w:eastAsia="Calibri" w:hAnsi="Cambria" w:cs="Calibri"/>
          <w:color w:val="16222F"/>
          <w:sz w:val="21"/>
          <w:szCs w:val="21"/>
        </w:rPr>
        <w:t>Enterprise tactics and techniques catalogue. The mapping target for technique IDs.   https://attack.mitre.org/</w:t>
      </w:r>
    </w:p>
    <w:p w14:paraId="22534691"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CISA — </w:t>
      </w:r>
      <w:r w:rsidRPr="003053AF">
        <w:rPr>
          <w:rFonts w:ascii="Cambria" w:eastAsia="Calibri" w:hAnsi="Cambria" w:cs="Calibri"/>
          <w:color w:val="16222F"/>
          <w:sz w:val="21"/>
          <w:szCs w:val="21"/>
        </w:rPr>
        <w:t>Known Exploited Vulnerabilities Catalog. Observation of in-the-wild exploitation.   https://www.cisa.gov/known-exploited-vulnerabilities-catalog</w:t>
      </w:r>
    </w:p>
    <w:p w14:paraId="6FC6E238"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FIRST — </w:t>
      </w:r>
      <w:r w:rsidRPr="003053AF">
        <w:rPr>
          <w:rFonts w:ascii="Cambria" w:eastAsia="Calibri" w:hAnsi="Cambria" w:cs="Calibri"/>
          <w:color w:val="16222F"/>
          <w:sz w:val="21"/>
          <w:szCs w:val="21"/>
        </w:rPr>
        <w:t>Exploit Prediction Scoring System (EPSS).   https://www.first.org/epss/</w:t>
      </w:r>
    </w:p>
    <w:p w14:paraId="3BE16B5D"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FIRST — </w:t>
      </w:r>
      <w:r w:rsidRPr="003053AF">
        <w:rPr>
          <w:rFonts w:ascii="Cambria" w:eastAsia="Calibri" w:hAnsi="Cambria" w:cs="Calibri"/>
          <w:color w:val="16222F"/>
          <w:sz w:val="21"/>
          <w:szCs w:val="21"/>
        </w:rPr>
        <w:t>Common Vulnerability Scoring System (CVSS) v3.1 specification.   https://www.first.org/cvss/v3.1/specification-document</w:t>
      </w:r>
    </w:p>
    <w:p w14:paraId="51E0B3B6"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NVD — </w:t>
      </w:r>
      <w:r w:rsidRPr="003053AF">
        <w:rPr>
          <w:rFonts w:ascii="Cambria" w:eastAsia="Calibri" w:hAnsi="Cambria" w:cs="Calibri"/>
          <w:color w:val="16222F"/>
          <w:sz w:val="21"/>
          <w:szCs w:val="21"/>
        </w:rPr>
        <w:t>National Vulnerability Database, used for the severity counts in Lab 1 Part C. The API endpoint the notebook calls: https://services.nvd.nist.gov/rest/json/cves/2.0 · the developer documentation lives at nvd.nist.gov/developers/vulnerabilities, which was returning a 502 from the NIST web front-end when this manual was built.</w:t>
      </w:r>
    </w:p>
    <w:p w14:paraId="345B40A8"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lastRenderedPageBreak/>
        <w:t xml:space="preserve">CISA advisory AA26-204A — </w:t>
      </w:r>
      <w:r w:rsidRPr="003053AF">
        <w:rPr>
          <w:rFonts w:ascii="Cambria" w:eastAsia="Calibri" w:hAnsi="Cambria" w:cs="Calibri"/>
          <w:color w:val="16222F"/>
          <w:sz w:val="21"/>
          <w:szCs w:val="21"/>
        </w:rPr>
        <w:t>“Russian State-Supported Cyber Actors Conduct Phishing Campaign Targeting Users of Zimbra Collaboration Suite” — the extraction corpus for both labs.   https://www.cisa.gov/news-events/cybersecurity-advisories/aa26-204a</w:t>
      </w:r>
    </w:p>
    <w:p w14:paraId="2BCC4A52"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Kent, S. — </w:t>
      </w:r>
      <w:r w:rsidRPr="003053AF">
        <w:rPr>
          <w:rFonts w:ascii="Cambria" w:eastAsia="Calibri" w:hAnsi="Cambria" w:cs="Calibri"/>
          <w:color w:val="16222F"/>
          <w:sz w:val="21"/>
          <w:szCs w:val="21"/>
        </w:rPr>
        <w:t>Words of Estimative Probability. The origin of estimative language in intelligence writing.   https://www.cia.gov/resources/csi/studies-in-intelligence/archives/vol-8-no-4/words-of-estimative-probability/</w:t>
      </w:r>
    </w:p>
    <w:p w14:paraId="574BE4BC"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Lockheed Martin — </w:t>
      </w:r>
      <w:r w:rsidRPr="003053AF">
        <w:rPr>
          <w:rFonts w:ascii="Cambria" w:eastAsia="Calibri" w:hAnsi="Cambria" w:cs="Calibri"/>
          <w:color w:val="16222F"/>
          <w:sz w:val="21"/>
          <w:szCs w:val="21"/>
        </w:rPr>
        <w:t>Intelligence-Driven Computer Network Defense (the Cyber Kill Chain).   https://www.lockheedmartin.com/en-us/capabilities/cyber/cyber-kill-chain.html</w:t>
      </w:r>
    </w:p>
    <w:p w14:paraId="1592DBF0" w14:textId="77777777" w:rsidR="00FD5E4C" w:rsidRPr="003053AF" w:rsidRDefault="00000000" w:rsidP="003053AF">
      <w:pPr>
        <w:pStyle w:val="ListParagraph"/>
        <w:numPr>
          <w:ilvl w:val="0"/>
          <w:numId w:val="2"/>
        </w:numPr>
        <w:spacing w:before="30" w:line="276" w:lineRule="auto"/>
        <w:rPr>
          <w:rFonts w:ascii="Cambria" w:hAnsi="Cambria"/>
        </w:rPr>
      </w:pPr>
      <w:r w:rsidRPr="003053AF">
        <w:rPr>
          <w:rFonts w:ascii="Cambria" w:eastAsia="Calibri" w:hAnsi="Cambria" w:cs="Calibri"/>
          <w:b/>
          <w:bCs/>
          <w:color w:val="16222F"/>
          <w:sz w:val="21"/>
          <w:szCs w:val="21"/>
        </w:rPr>
        <w:t xml:space="preserve">Caltagirone, Pendergast &amp; Betz (2013) — </w:t>
      </w:r>
      <w:r w:rsidRPr="003053AF">
        <w:rPr>
          <w:rFonts w:ascii="Cambria" w:eastAsia="Calibri" w:hAnsi="Cambria" w:cs="Calibri"/>
          <w:color w:val="16222F"/>
          <w:sz w:val="21"/>
          <w:szCs w:val="21"/>
        </w:rPr>
        <w:t>The Diamond Model of Intrusion Analysis.   https://www.activeresponse.org/wp-content/uploads/2013/07/diamond.pdf</w:t>
      </w:r>
    </w:p>
    <w:p w14:paraId="3E0C3F49" w14:textId="77777777" w:rsidR="00FD5E4C" w:rsidRPr="003053AF" w:rsidRDefault="00000000" w:rsidP="003053AF">
      <w:pPr>
        <w:spacing w:line="276" w:lineRule="auto"/>
        <w:rPr>
          <w:rFonts w:ascii="Cambria" w:hAnsi="Cambria"/>
        </w:rPr>
      </w:pPr>
      <w:r w:rsidRPr="003053AF">
        <w:rPr>
          <w:rFonts w:ascii="Cambria" w:hAnsi="Cambria"/>
        </w:rPr>
        <w:br w:type="page"/>
      </w:r>
    </w:p>
    <w:p w14:paraId="76E496BA" w14:textId="77777777" w:rsidR="00FD5E4C" w:rsidRPr="003053AF" w:rsidRDefault="00000000" w:rsidP="003053AF">
      <w:pPr>
        <w:pStyle w:val="Heading1"/>
        <w:spacing w:before="340" w:line="276" w:lineRule="auto"/>
        <w:rPr>
          <w:rFonts w:ascii="Cambria" w:hAnsi="Cambria"/>
        </w:rPr>
      </w:pPr>
      <w:bookmarkStart w:id="14" w:name="_Toc237190735"/>
      <w:r w:rsidRPr="003053AF">
        <w:rPr>
          <w:rFonts w:ascii="Cambria" w:eastAsia="Cambria" w:hAnsi="Cambria" w:cs="Cambria"/>
          <w:b/>
          <w:bCs/>
          <w:color w:val="16324C"/>
          <w:sz w:val="34"/>
          <w:szCs w:val="34"/>
        </w:rPr>
        <w:lastRenderedPageBreak/>
        <w:t>Appendix D — Facilitator notes</w:t>
      </w:r>
      <w:bookmarkEnd w:id="14"/>
    </w:p>
    <w:p w14:paraId="3A775B27" w14:textId="77777777" w:rsidR="00FD5E4C" w:rsidRPr="003053AF" w:rsidRDefault="00000000" w:rsidP="003053AF">
      <w:pPr>
        <w:pStyle w:val="Heading2"/>
        <w:spacing w:before="260" w:line="276" w:lineRule="auto"/>
        <w:rPr>
          <w:rFonts w:ascii="Cambria" w:hAnsi="Cambria"/>
        </w:rPr>
      </w:pPr>
      <w:bookmarkStart w:id="15" w:name="_Toc237190736"/>
      <w:r w:rsidRPr="003053AF">
        <w:rPr>
          <w:rFonts w:ascii="Cambria" w:eastAsia="Cambria" w:hAnsi="Cambria" w:cs="Cambria"/>
          <w:b/>
          <w:bCs/>
          <w:color w:val="16324C"/>
        </w:rPr>
        <w:t>The night before</w:t>
      </w:r>
      <w:bookmarkEnd w:id="15"/>
    </w:p>
    <w:p w14:paraId="0FF0AB22"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1.  </w:t>
      </w:r>
      <w:r w:rsidRPr="003053AF">
        <w:rPr>
          <w:rFonts w:ascii="Cambria" w:eastAsia="Calibri" w:hAnsi="Cambria" w:cs="Calibri"/>
          <w:color w:val="16222F"/>
          <w:sz w:val="21"/>
          <w:szCs w:val="21"/>
        </w:rPr>
        <w:t xml:space="preserve">Run the whole notebook on the venue wifi. Four network calls, one of them to a </w:t>
      </w:r>
      <w:r w:rsidRPr="003053AF">
        <w:rPr>
          <w:rFonts w:ascii="Cambria" w:eastAsia="Courier New" w:hAnsi="Cambria" w:cs="Courier New"/>
          <w:color w:val="16222F"/>
          <w:sz w:val="21"/>
          <w:szCs w:val="21"/>
        </w:rPr>
        <w:t>.gov</w:t>
      </w:r>
      <w:r w:rsidRPr="003053AF">
        <w:rPr>
          <w:rFonts w:ascii="Cambria" w:eastAsia="Calibri" w:hAnsi="Cambria" w:cs="Calibri"/>
          <w:color w:val="16222F"/>
          <w:sz w:val="21"/>
          <w:szCs w:val="21"/>
        </w:rPr>
        <w:t xml:space="preserve"> domain — the most likely thing to be blocked.</w:t>
      </w:r>
    </w:p>
    <w:p w14:paraId="1EE1E12A"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2.  </w:t>
      </w:r>
      <w:r w:rsidRPr="003053AF">
        <w:rPr>
          <w:rFonts w:ascii="Cambria" w:eastAsia="Calibri" w:hAnsi="Cambria" w:cs="Calibri"/>
          <w:color w:val="16222F"/>
          <w:sz w:val="21"/>
          <w:szCs w:val="21"/>
        </w:rPr>
        <w:t xml:space="preserve">Save </w:t>
      </w:r>
      <w:r w:rsidRPr="003053AF">
        <w:rPr>
          <w:rFonts w:ascii="Cambria" w:eastAsia="Courier New" w:hAnsi="Cambria" w:cs="Courier New"/>
          <w:color w:val="16222F"/>
          <w:sz w:val="21"/>
          <w:szCs w:val="21"/>
        </w:rPr>
        <w:t>advisory.txt</w:t>
      </w:r>
      <w:r w:rsidRPr="003053AF">
        <w:rPr>
          <w:rFonts w:ascii="Cambria" w:eastAsia="Calibri" w:hAnsi="Cambria" w:cs="Calibri"/>
          <w:color w:val="16222F"/>
          <w:sz w:val="21"/>
          <w:szCs w:val="21"/>
        </w:rPr>
        <w:t xml:space="preserve"> to a USB stick as the offline fallback.</w:t>
      </w:r>
    </w:p>
    <w:p w14:paraId="5A87C95F"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3.  </w:t>
      </w:r>
      <w:r w:rsidRPr="003053AF">
        <w:rPr>
          <w:rFonts w:ascii="Cambria" w:eastAsia="Calibri" w:hAnsi="Cambria" w:cs="Calibri"/>
          <w:color w:val="16222F"/>
          <w:sz w:val="21"/>
          <w:szCs w:val="21"/>
        </w:rPr>
        <w:t>Re-read the deck's live figures against what the notebook prints today, and correct them verbally if they have moved. Say out loud that they moved — it makes the point better than the slide does.</w:t>
      </w:r>
    </w:p>
    <w:p w14:paraId="2645156F" w14:textId="77777777" w:rsidR="00FD5E4C" w:rsidRPr="003053AF" w:rsidRDefault="00000000" w:rsidP="003053AF">
      <w:pPr>
        <w:spacing w:before="80" w:line="276" w:lineRule="auto"/>
        <w:ind w:left="420" w:hanging="420"/>
        <w:rPr>
          <w:rFonts w:ascii="Cambria" w:hAnsi="Cambria"/>
        </w:rPr>
      </w:pPr>
      <w:r w:rsidRPr="003053AF">
        <w:rPr>
          <w:rFonts w:ascii="Cambria" w:eastAsia="Calibri" w:hAnsi="Cambria" w:cs="Calibri"/>
          <w:b/>
          <w:bCs/>
          <w:color w:val="B87A1E"/>
          <w:sz w:val="21"/>
          <w:szCs w:val="21"/>
        </w:rPr>
        <w:t xml:space="preserve">4.  </w:t>
      </w:r>
      <w:r w:rsidRPr="003053AF">
        <w:rPr>
          <w:rFonts w:ascii="Cambria" w:eastAsia="Calibri" w:hAnsi="Cambria" w:cs="Calibri"/>
          <w:color w:val="16222F"/>
          <w:sz w:val="21"/>
          <w:szCs w:val="21"/>
        </w:rPr>
        <w:t>Run the Section 5 prompt through ChatGPT yourself so you know what kind of draft the room will get and whether it fabricates anything today.</w:t>
      </w:r>
    </w:p>
    <w:p w14:paraId="43540796" w14:textId="77777777" w:rsidR="00FD5E4C" w:rsidRPr="003053AF" w:rsidRDefault="00000000" w:rsidP="003053AF">
      <w:pPr>
        <w:pStyle w:val="Heading2"/>
        <w:spacing w:before="260" w:line="276" w:lineRule="auto"/>
        <w:rPr>
          <w:rFonts w:ascii="Cambria" w:hAnsi="Cambria"/>
        </w:rPr>
      </w:pPr>
      <w:bookmarkStart w:id="16" w:name="_Toc237190737"/>
      <w:r w:rsidRPr="003053AF">
        <w:rPr>
          <w:rFonts w:ascii="Cambria" w:eastAsia="Cambria" w:hAnsi="Cambria" w:cs="Cambria"/>
          <w:b/>
          <w:bCs/>
          <w:color w:val="16324C"/>
        </w:rPr>
        <w:t>Run of show</w:t>
      </w:r>
      <w:bookmarkEnd w:id="16"/>
    </w:p>
    <w:tbl>
      <w:tblPr>
        <w:tblW w:w="9360" w:type="dxa"/>
        <w:tblBorders>
          <w:top w:val="single" w:sz="2" w:space="0" w:color="D8E0E8"/>
          <w:left w:val="single" w:sz="2" w:space="0" w:color="D8E0E8"/>
          <w:bottom w:val="single" w:sz="2" w:space="0" w:color="D8E0E8"/>
          <w:right w:val="single" w:sz="2"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1000"/>
        <w:gridCol w:w="2400"/>
        <w:gridCol w:w="5960"/>
      </w:tblGrid>
      <w:tr w:rsidR="00FD5E4C" w:rsidRPr="003053AF" w14:paraId="2509B9B8" w14:textId="77777777">
        <w:tblPrEx>
          <w:tblCellMar>
            <w:top w:w="0" w:type="dxa"/>
            <w:bottom w:w="0" w:type="dxa"/>
          </w:tblCellMar>
        </w:tblPrEx>
        <w:trPr>
          <w:tblHeader/>
        </w:trPr>
        <w:tc>
          <w:tcPr>
            <w:tcW w:w="1000" w:type="dxa"/>
            <w:shd w:val="clear" w:color="auto" w:fill="16324C"/>
            <w:tcMar>
              <w:top w:w="100" w:type="dxa"/>
              <w:left w:w="140" w:type="dxa"/>
              <w:bottom w:w="100" w:type="dxa"/>
              <w:right w:w="120" w:type="dxa"/>
            </w:tcMar>
          </w:tcPr>
          <w:p w14:paraId="09B3CB2E"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Clock</w:t>
            </w:r>
          </w:p>
        </w:tc>
        <w:tc>
          <w:tcPr>
            <w:tcW w:w="2400" w:type="dxa"/>
            <w:shd w:val="clear" w:color="auto" w:fill="16324C"/>
            <w:tcMar>
              <w:top w:w="100" w:type="dxa"/>
              <w:left w:w="140" w:type="dxa"/>
              <w:bottom w:w="100" w:type="dxa"/>
              <w:right w:w="120" w:type="dxa"/>
            </w:tcMar>
          </w:tcPr>
          <w:p w14:paraId="51865457"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Segment</w:t>
            </w:r>
          </w:p>
        </w:tc>
        <w:tc>
          <w:tcPr>
            <w:tcW w:w="5960" w:type="dxa"/>
            <w:shd w:val="clear" w:color="auto" w:fill="16324C"/>
            <w:tcMar>
              <w:top w:w="100" w:type="dxa"/>
              <w:left w:w="140" w:type="dxa"/>
              <w:bottom w:w="100" w:type="dxa"/>
              <w:right w:w="120" w:type="dxa"/>
            </w:tcMar>
          </w:tcPr>
          <w:p w14:paraId="295E6307"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What you are doing</w:t>
            </w:r>
          </w:p>
        </w:tc>
      </w:tr>
      <w:tr w:rsidR="00FD5E4C" w:rsidRPr="003053AF" w14:paraId="0FA41188" w14:textId="77777777">
        <w:tblPrEx>
          <w:tblCellMar>
            <w:top w:w="0" w:type="dxa"/>
            <w:bottom w:w="0" w:type="dxa"/>
          </w:tblCellMar>
        </w:tblPrEx>
        <w:tc>
          <w:tcPr>
            <w:tcW w:w="1000" w:type="dxa"/>
            <w:shd w:val="clear" w:color="auto" w:fill="F2F5F8"/>
            <w:tcMar>
              <w:top w:w="95" w:type="dxa"/>
              <w:left w:w="140" w:type="dxa"/>
              <w:bottom w:w="95" w:type="dxa"/>
              <w:right w:w="120" w:type="dxa"/>
            </w:tcMar>
          </w:tcPr>
          <w:p w14:paraId="012687D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0:00</w:t>
            </w:r>
          </w:p>
        </w:tc>
        <w:tc>
          <w:tcPr>
            <w:tcW w:w="2400" w:type="dxa"/>
            <w:shd w:val="clear" w:color="auto" w:fill="F2F5F8"/>
            <w:tcMar>
              <w:top w:w="95" w:type="dxa"/>
              <w:left w:w="140" w:type="dxa"/>
              <w:bottom w:w="95" w:type="dxa"/>
              <w:right w:w="120" w:type="dxa"/>
            </w:tcMar>
          </w:tcPr>
          <w:p w14:paraId="3E35D4DD"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Open + Exhibit A</w:t>
            </w:r>
          </w:p>
        </w:tc>
        <w:tc>
          <w:tcPr>
            <w:tcW w:w="5960" w:type="dxa"/>
            <w:shd w:val="clear" w:color="auto" w:fill="F2F5F8"/>
            <w:tcMar>
              <w:top w:w="95" w:type="dxa"/>
              <w:left w:w="140" w:type="dxa"/>
              <w:bottom w:w="95" w:type="dxa"/>
              <w:right w:w="120" w:type="dxa"/>
            </w:tcMar>
          </w:tcPr>
          <w:p w14:paraId="3233FE0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Two format-valid strings; ask which is real. Nobody can tell. Do not resolve it immediately.</w:t>
            </w:r>
          </w:p>
        </w:tc>
      </w:tr>
      <w:tr w:rsidR="00FD5E4C" w:rsidRPr="003053AF" w14:paraId="0A811ED3" w14:textId="77777777">
        <w:tblPrEx>
          <w:tblCellMar>
            <w:top w:w="0" w:type="dxa"/>
            <w:bottom w:w="0" w:type="dxa"/>
          </w:tblCellMar>
        </w:tblPrEx>
        <w:tc>
          <w:tcPr>
            <w:tcW w:w="1000" w:type="dxa"/>
            <w:shd w:val="clear" w:color="auto" w:fill="FFFFFF"/>
            <w:tcMar>
              <w:top w:w="95" w:type="dxa"/>
              <w:left w:w="140" w:type="dxa"/>
              <w:bottom w:w="95" w:type="dxa"/>
              <w:right w:w="120" w:type="dxa"/>
            </w:tcMar>
          </w:tcPr>
          <w:p w14:paraId="2441457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0:04</w:t>
            </w:r>
          </w:p>
        </w:tc>
        <w:tc>
          <w:tcPr>
            <w:tcW w:w="2400" w:type="dxa"/>
            <w:shd w:val="clear" w:color="auto" w:fill="FFFFFF"/>
            <w:tcMar>
              <w:top w:w="95" w:type="dxa"/>
              <w:left w:w="140" w:type="dxa"/>
              <w:bottom w:w="95" w:type="dxa"/>
              <w:right w:w="120" w:type="dxa"/>
            </w:tcMar>
          </w:tcPr>
          <w:p w14:paraId="7713469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Case study</w:t>
            </w:r>
          </w:p>
        </w:tc>
        <w:tc>
          <w:tcPr>
            <w:tcW w:w="5960" w:type="dxa"/>
            <w:shd w:val="clear" w:color="auto" w:fill="FFFFFF"/>
            <w:tcMar>
              <w:top w:w="95" w:type="dxa"/>
              <w:left w:w="140" w:type="dxa"/>
              <w:bottom w:w="95" w:type="dxa"/>
              <w:right w:w="120" w:type="dxa"/>
            </w:tcMar>
          </w:tcPr>
          <w:p w14:paraId="3986FC1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WannaCry and Log4Shell. Both had adequate intelligence and bad outcomes.</w:t>
            </w:r>
          </w:p>
        </w:tc>
      </w:tr>
      <w:tr w:rsidR="00FD5E4C" w:rsidRPr="003053AF" w14:paraId="333096A0" w14:textId="77777777">
        <w:tblPrEx>
          <w:tblCellMar>
            <w:top w:w="0" w:type="dxa"/>
            <w:bottom w:w="0" w:type="dxa"/>
          </w:tblCellMar>
        </w:tblPrEx>
        <w:tc>
          <w:tcPr>
            <w:tcW w:w="1000" w:type="dxa"/>
            <w:shd w:val="clear" w:color="auto" w:fill="F2F5F8"/>
            <w:tcMar>
              <w:top w:w="95" w:type="dxa"/>
              <w:left w:w="140" w:type="dxa"/>
              <w:bottom w:w="95" w:type="dxa"/>
              <w:right w:w="120" w:type="dxa"/>
            </w:tcMar>
          </w:tcPr>
          <w:p w14:paraId="168847CA"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0:10</w:t>
            </w:r>
          </w:p>
        </w:tc>
        <w:tc>
          <w:tcPr>
            <w:tcW w:w="2400" w:type="dxa"/>
            <w:shd w:val="clear" w:color="auto" w:fill="F2F5F8"/>
            <w:tcMar>
              <w:top w:w="95" w:type="dxa"/>
              <w:left w:w="140" w:type="dxa"/>
              <w:bottom w:w="95" w:type="dxa"/>
              <w:right w:w="120" w:type="dxa"/>
            </w:tcMar>
          </w:tcPr>
          <w:p w14:paraId="0536E0A3"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Micro-teach A</w:t>
            </w:r>
          </w:p>
        </w:tc>
        <w:tc>
          <w:tcPr>
            <w:tcW w:w="5960" w:type="dxa"/>
            <w:shd w:val="clear" w:color="auto" w:fill="F2F5F8"/>
            <w:tcMar>
              <w:top w:w="95" w:type="dxa"/>
              <w:left w:w="140" w:type="dxa"/>
              <w:bottom w:w="95" w:type="dxa"/>
              <w:right w:w="120" w:type="dxa"/>
            </w:tcMar>
          </w:tcPr>
          <w:p w14:paraId="25546EEF"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Six slides, hard stop. The Pyramid and the severity slide are non-negotiable.</w:t>
            </w:r>
          </w:p>
        </w:tc>
      </w:tr>
      <w:tr w:rsidR="00FD5E4C" w:rsidRPr="003053AF" w14:paraId="5DBB240A" w14:textId="77777777">
        <w:tblPrEx>
          <w:tblCellMar>
            <w:top w:w="0" w:type="dxa"/>
            <w:bottom w:w="0" w:type="dxa"/>
          </w:tblCellMar>
        </w:tblPrEx>
        <w:tc>
          <w:tcPr>
            <w:tcW w:w="1000" w:type="dxa"/>
            <w:shd w:val="clear" w:color="auto" w:fill="FFFFFF"/>
            <w:tcMar>
              <w:top w:w="95" w:type="dxa"/>
              <w:left w:w="140" w:type="dxa"/>
              <w:bottom w:w="95" w:type="dxa"/>
              <w:right w:w="120" w:type="dxa"/>
            </w:tcMar>
          </w:tcPr>
          <w:p w14:paraId="6A0F3CC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0:25</w:t>
            </w:r>
          </w:p>
        </w:tc>
        <w:tc>
          <w:tcPr>
            <w:tcW w:w="2400" w:type="dxa"/>
            <w:shd w:val="clear" w:color="auto" w:fill="FFFFFF"/>
            <w:tcMar>
              <w:top w:w="95" w:type="dxa"/>
              <w:left w:w="140" w:type="dxa"/>
              <w:bottom w:w="95" w:type="dxa"/>
              <w:right w:w="120" w:type="dxa"/>
            </w:tcMar>
          </w:tcPr>
          <w:p w14:paraId="659AC70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Lab 1</w:t>
            </w:r>
          </w:p>
        </w:tc>
        <w:tc>
          <w:tcPr>
            <w:tcW w:w="5960" w:type="dxa"/>
            <w:shd w:val="clear" w:color="auto" w:fill="FFFFFF"/>
            <w:tcMar>
              <w:top w:w="95" w:type="dxa"/>
              <w:left w:w="140" w:type="dxa"/>
              <w:bottom w:w="95" w:type="dxa"/>
              <w:right w:w="120" w:type="dxa"/>
            </w:tcMar>
          </w:tcPr>
          <w:p w14:paraId="7DD133BF"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Circulate during Part A. The naive IP count is where the conversation starts.</w:t>
            </w:r>
          </w:p>
        </w:tc>
      </w:tr>
      <w:tr w:rsidR="00FD5E4C" w:rsidRPr="003053AF" w14:paraId="5AF546A1" w14:textId="77777777">
        <w:tblPrEx>
          <w:tblCellMar>
            <w:top w:w="0" w:type="dxa"/>
            <w:bottom w:w="0" w:type="dxa"/>
          </w:tblCellMar>
        </w:tblPrEx>
        <w:tc>
          <w:tcPr>
            <w:tcW w:w="1000" w:type="dxa"/>
            <w:shd w:val="clear" w:color="auto" w:fill="F2F5F8"/>
            <w:tcMar>
              <w:top w:w="95" w:type="dxa"/>
              <w:left w:w="140" w:type="dxa"/>
              <w:bottom w:w="95" w:type="dxa"/>
              <w:right w:w="120" w:type="dxa"/>
            </w:tcMar>
          </w:tcPr>
          <w:p w14:paraId="6F6284FF"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0:55</w:t>
            </w:r>
          </w:p>
        </w:tc>
        <w:tc>
          <w:tcPr>
            <w:tcW w:w="2400" w:type="dxa"/>
            <w:shd w:val="clear" w:color="auto" w:fill="F2F5F8"/>
            <w:tcMar>
              <w:top w:w="95" w:type="dxa"/>
              <w:left w:w="140" w:type="dxa"/>
              <w:bottom w:w="95" w:type="dxa"/>
              <w:right w:w="120" w:type="dxa"/>
            </w:tcMar>
          </w:tcPr>
          <w:p w14:paraId="3195240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Debrief A</w:t>
            </w:r>
          </w:p>
        </w:tc>
        <w:tc>
          <w:tcPr>
            <w:tcW w:w="5960" w:type="dxa"/>
            <w:shd w:val="clear" w:color="auto" w:fill="F2F5F8"/>
            <w:tcMar>
              <w:top w:w="95" w:type="dxa"/>
              <w:left w:w="140" w:type="dxa"/>
              <w:bottom w:w="95" w:type="dxa"/>
              <w:right w:w="120" w:type="dxa"/>
            </w:tcMar>
          </w:tcPr>
          <w:p w14:paraId="4193B78C"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The silent-failure question. Two answers, no more.</w:t>
            </w:r>
          </w:p>
        </w:tc>
      </w:tr>
      <w:tr w:rsidR="00FD5E4C" w:rsidRPr="003053AF" w14:paraId="0B859931" w14:textId="77777777">
        <w:tblPrEx>
          <w:tblCellMar>
            <w:top w:w="0" w:type="dxa"/>
            <w:bottom w:w="0" w:type="dxa"/>
          </w:tblCellMar>
        </w:tblPrEx>
        <w:tc>
          <w:tcPr>
            <w:tcW w:w="1000" w:type="dxa"/>
            <w:shd w:val="clear" w:color="auto" w:fill="FFFFFF"/>
            <w:tcMar>
              <w:top w:w="95" w:type="dxa"/>
              <w:left w:w="140" w:type="dxa"/>
              <w:bottom w:w="95" w:type="dxa"/>
              <w:right w:w="120" w:type="dxa"/>
            </w:tcMar>
          </w:tcPr>
          <w:p w14:paraId="0EA3875A"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1:03</w:t>
            </w:r>
          </w:p>
        </w:tc>
        <w:tc>
          <w:tcPr>
            <w:tcW w:w="2400" w:type="dxa"/>
            <w:shd w:val="clear" w:color="auto" w:fill="FFFFFF"/>
            <w:tcMar>
              <w:top w:w="95" w:type="dxa"/>
              <w:left w:w="140" w:type="dxa"/>
              <w:bottom w:w="95" w:type="dxa"/>
              <w:right w:w="120" w:type="dxa"/>
            </w:tcMar>
          </w:tcPr>
          <w:p w14:paraId="328C3AA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Micro-teach B</w:t>
            </w:r>
          </w:p>
        </w:tc>
        <w:tc>
          <w:tcPr>
            <w:tcW w:w="5960" w:type="dxa"/>
            <w:shd w:val="clear" w:color="auto" w:fill="FFFFFF"/>
            <w:tcMar>
              <w:top w:w="95" w:type="dxa"/>
              <w:left w:w="140" w:type="dxa"/>
              <w:bottom w:w="95" w:type="dxa"/>
              <w:right w:w="120" w:type="dxa"/>
            </w:tcMar>
          </w:tcPr>
          <w:p w14:paraId="48B2B99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Five slides. Prompt injection and estimative language both earn their place.</w:t>
            </w:r>
          </w:p>
        </w:tc>
      </w:tr>
      <w:tr w:rsidR="00FD5E4C" w:rsidRPr="003053AF" w14:paraId="7BE34E75" w14:textId="77777777">
        <w:tblPrEx>
          <w:tblCellMar>
            <w:top w:w="0" w:type="dxa"/>
            <w:bottom w:w="0" w:type="dxa"/>
          </w:tblCellMar>
        </w:tblPrEx>
        <w:tc>
          <w:tcPr>
            <w:tcW w:w="1000" w:type="dxa"/>
            <w:shd w:val="clear" w:color="auto" w:fill="F2F5F8"/>
            <w:tcMar>
              <w:top w:w="95" w:type="dxa"/>
              <w:left w:w="140" w:type="dxa"/>
              <w:bottom w:w="95" w:type="dxa"/>
              <w:right w:w="120" w:type="dxa"/>
            </w:tcMar>
          </w:tcPr>
          <w:p w14:paraId="1F52920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1:18</w:t>
            </w:r>
          </w:p>
        </w:tc>
        <w:tc>
          <w:tcPr>
            <w:tcW w:w="2400" w:type="dxa"/>
            <w:shd w:val="clear" w:color="auto" w:fill="F2F5F8"/>
            <w:tcMar>
              <w:top w:w="95" w:type="dxa"/>
              <w:left w:w="140" w:type="dxa"/>
              <w:bottom w:w="95" w:type="dxa"/>
              <w:right w:w="120" w:type="dxa"/>
            </w:tcMar>
          </w:tcPr>
          <w:p w14:paraId="3DB96E0A"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Lab 2</w:t>
            </w:r>
          </w:p>
        </w:tc>
        <w:tc>
          <w:tcPr>
            <w:tcW w:w="5960" w:type="dxa"/>
            <w:shd w:val="clear" w:color="auto" w:fill="F2F5F8"/>
            <w:tcMar>
              <w:top w:w="95" w:type="dxa"/>
              <w:left w:w="140" w:type="dxa"/>
              <w:bottom w:w="95" w:type="dxa"/>
              <w:right w:w="120" w:type="dxa"/>
            </w:tcMar>
          </w:tcPr>
          <w:p w14:paraId="0DBF386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Protect the second half of Part B — the meaning check is what people skip.</w:t>
            </w:r>
          </w:p>
        </w:tc>
      </w:tr>
      <w:tr w:rsidR="00FD5E4C" w:rsidRPr="003053AF" w14:paraId="26514EBC" w14:textId="77777777">
        <w:tblPrEx>
          <w:tblCellMar>
            <w:top w:w="0" w:type="dxa"/>
            <w:bottom w:w="0" w:type="dxa"/>
          </w:tblCellMar>
        </w:tblPrEx>
        <w:tc>
          <w:tcPr>
            <w:tcW w:w="1000" w:type="dxa"/>
            <w:shd w:val="clear" w:color="auto" w:fill="FFFFFF"/>
            <w:tcMar>
              <w:top w:w="95" w:type="dxa"/>
              <w:left w:w="140" w:type="dxa"/>
              <w:bottom w:w="95" w:type="dxa"/>
              <w:right w:w="120" w:type="dxa"/>
            </w:tcMar>
          </w:tcPr>
          <w:p w14:paraId="5A45E18D"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1:48</w:t>
            </w:r>
          </w:p>
        </w:tc>
        <w:tc>
          <w:tcPr>
            <w:tcW w:w="2400" w:type="dxa"/>
            <w:shd w:val="clear" w:color="auto" w:fill="FFFFFF"/>
            <w:tcMar>
              <w:top w:w="95" w:type="dxa"/>
              <w:left w:w="140" w:type="dxa"/>
              <w:bottom w:w="95" w:type="dxa"/>
              <w:right w:w="120" w:type="dxa"/>
            </w:tcMar>
          </w:tcPr>
          <w:p w14:paraId="45EAD29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Debrief B</w:t>
            </w:r>
          </w:p>
        </w:tc>
        <w:tc>
          <w:tcPr>
            <w:tcW w:w="5960" w:type="dxa"/>
            <w:shd w:val="clear" w:color="auto" w:fill="FFFFFF"/>
            <w:tcMar>
              <w:top w:w="95" w:type="dxa"/>
              <w:left w:w="140" w:type="dxa"/>
              <w:bottom w:w="95" w:type="dxa"/>
              <w:right w:w="120" w:type="dxa"/>
            </w:tcMar>
          </w:tcPr>
          <w:p w14:paraId="5C9DA1B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What did the harness flag? What did it pass that was still wrong?</w:t>
            </w:r>
          </w:p>
        </w:tc>
      </w:tr>
      <w:tr w:rsidR="00FD5E4C" w:rsidRPr="003053AF" w14:paraId="484DB87C" w14:textId="77777777">
        <w:tblPrEx>
          <w:tblCellMar>
            <w:top w:w="0" w:type="dxa"/>
            <w:bottom w:w="0" w:type="dxa"/>
          </w:tblCellMar>
        </w:tblPrEx>
        <w:tc>
          <w:tcPr>
            <w:tcW w:w="1000" w:type="dxa"/>
            <w:shd w:val="clear" w:color="auto" w:fill="F2F5F8"/>
            <w:tcMar>
              <w:top w:w="95" w:type="dxa"/>
              <w:left w:w="140" w:type="dxa"/>
              <w:bottom w:w="95" w:type="dxa"/>
              <w:right w:w="120" w:type="dxa"/>
            </w:tcMar>
          </w:tcPr>
          <w:p w14:paraId="18463BB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1:55</w:t>
            </w:r>
          </w:p>
        </w:tc>
        <w:tc>
          <w:tcPr>
            <w:tcW w:w="2400" w:type="dxa"/>
            <w:shd w:val="clear" w:color="auto" w:fill="F2F5F8"/>
            <w:tcMar>
              <w:top w:w="95" w:type="dxa"/>
              <w:left w:w="140" w:type="dxa"/>
              <w:bottom w:w="95" w:type="dxa"/>
              <w:right w:w="120" w:type="dxa"/>
            </w:tcMar>
          </w:tcPr>
          <w:p w14:paraId="596CD462"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Close</w:t>
            </w:r>
          </w:p>
        </w:tc>
        <w:tc>
          <w:tcPr>
            <w:tcW w:w="5960" w:type="dxa"/>
            <w:shd w:val="clear" w:color="auto" w:fill="F2F5F8"/>
            <w:tcMar>
              <w:top w:w="95" w:type="dxa"/>
              <w:left w:w="140" w:type="dxa"/>
              <w:bottom w:w="95" w:type="dxa"/>
              <w:right w:w="120" w:type="dxa"/>
            </w:tcMar>
          </w:tcPr>
          <w:p w14:paraId="3F1CA0B3"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Four carry-outs. Hand forward to Session 9.</w:t>
            </w:r>
          </w:p>
        </w:tc>
      </w:tr>
    </w:tbl>
    <w:p w14:paraId="68AB557F" w14:textId="77777777" w:rsidR="00FD5E4C" w:rsidRPr="003053AF" w:rsidRDefault="00FD5E4C" w:rsidP="003053AF">
      <w:pPr>
        <w:spacing w:line="276" w:lineRule="auto"/>
        <w:rPr>
          <w:rFonts w:ascii="Cambria" w:hAnsi="Cambria"/>
        </w:rPr>
      </w:pPr>
    </w:p>
    <w:p w14:paraId="0FFBCAEC" w14:textId="77777777" w:rsidR="00FD5E4C" w:rsidRPr="003053AF" w:rsidRDefault="00000000" w:rsidP="003053AF">
      <w:pPr>
        <w:pStyle w:val="Heading2"/>
        <w:spacing w:before="260" w:line="276" w:lineRule="auto"/>
        <w:rPr>
          <w:rFonts w:ascii="Cambria" w:hAnsi="Cambria"/>
        </w:rPr>
      </w:pPr>
      <w:bookmarkStart w:id="17" w:name="_Toc237190738"/>
      <w:r w:rsidRPr="003053AF">
        <w:rPr>
          <w:rFonts w:ascii="Cambria" w:eastAsia="Cambria" w:hAnsi="Cambria" w:cs="Cambria"/>
          <w:b/>
          <w:bCs/>
          <w:color w:val="16324C"/>
        </w:rPr>
        <w:t>Scoreboard — one row per participant</w:t>
      </w:r>
      <w:bookmarkEnd w:id="17"/>
    </w:p>
    <w:tbl>
      <w:tblPr>
        <w:tblW w:w="9360" w:type="dxa"/>
        <w:tblBorders>
          <w:top w:val="single" w:sz="2" w:space="0" w:color="D8E0E8"/>
          <w:left w:val="single" w:sz="2" w:space="0" w:color="D8E0E8"/>
          <w:bottom w:val="single" w:sz="2" w:space="0" w:color="D8E0E8"/>
          <w:right w:val="single" w:sz="2"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3400"/>
        <w:gridCol w:w="5960"/>
      </w:tblGrid>
      <w:tr w:rsidR="00FD5E4C" w:rsidRPr="003053AF" w14:paraId="20128FFA" w14:textId="77777777">
        <w:tblPrEx>
          <w:tblCellMar>
            <w:top w:w="0" w:type="dxa"/>
            <w:bottom w:w="0" w:type="dxa"/>
          </w:tblCellMar>
        </w:tblPrEx>
        <w:trPr>
          <w:tblHeader/>
        </w:trPr>
        <w:tc>
          <w:tcPr>
            <w:tcW w:w="3400" w:type="dxa"/>
            <w:shd w:val="clear" w:color="auto" w:fill="16324C"/>
            <w:tcMar>
              <w:top w:w="100" w:type="dxa"/>
              <w:left w:w="140" w:type="dxa"/>
              <w:bottom w:w="100" w:type="dxa"/>
              <w:right w:w="120" w:type="dxa"/>
            </w:tcMar>
          </w:tcPr>
          <w:p w14:paraId="49A474C9"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Column</w:t>
            </w:r>
          </w:p>
        </w:tc>
        <w:tc>
          <w:tcPr>
            <w:tcW w:w="5960" w:type="dxa"/>
            <w:shd w:val="clear" w:color="auto" w:fill="16324C"/>
            <w:tcMar>
              <w:top w:w="100" w:type="dxa"/>
              <w:left w:w="140" w:type="dxa"/>
              <w:bottom w:w="100" w:type="dxa"/>
              <w:right w:w="120" w:type="dxa"/>
            </w:tcMar>
          </w:tcPr>
          <w:p w14:paraId="45210D93" w14:textId="77777777" w:rsidR="00FD5E4C" w:rsidRPr="003053AF" w:rsidRDefault="00000000" w:rsidP="003053AF">
            <w:pPr>
              <w:spacing w:line="276" w:lineRule="auto"/>
              <w:rPr>
                <w:rFonts w:ascii="Cambria" w:hAnsi="Cambria"/>
              </w:rPr>
            </w:pPr>
            <w:r w:rsidRPr="003053AF">
              <w:rPr>
                <w:rFonts w:ascii="Cambria" w:eastAsia="Calibri" w:hAnsi="Cambria" w:cs="Calibri"/>
                <w:b/>
                <w:bCs/>
                <w:color w:val="FFFFFF"/>
                <w:sz w:val="19"/>
                <w:szCs w:val="19"/>
              </w:rPr>
              <w:t>Expected value</w:t>
            </w:r>
          </w:p>
        </w:tc>
      </w:tr>
      <w:tr w:rsidR="00FD5E4C" w:rsidRPr="003053AF" w14:paraId="444DC309"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032A3FE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Name</w:t>
            </w:r>
          </w:p>
        </w:tc>
        <w:tc>
          <w:tcPr>
            <w:tcW w:w="5960" w:type="dxa"/>
            <w:shd w:val="clear" w:color="auto" w:fill="F2F5F8"/>
            <w:tcMar>
              <w:top w:w="95" w:type="dxa"/>
              <w:left w:w="140" w:type="dxa"/>
              <w:bottom w:w="95" w:type="dxa"/>
              <w:right w:w="120" w:type="dxa"/>
            </w:tcMar>
          </w:tcPr>
          <w:p w14:paraId="06E2C289" w14:textId="77777777" w:rsidR="00FD5E4C" w:rsidRPr="003053AF" w:rsidRDefault="00FD5E4C" w:rsidP="003053AF">
            <w:pPr>
              <w:spacing w:line="276" w:lineRule="auto"/>
              <w:rPr>
                <w:rFonts w:ascii="Cambria" w:hAnsi="Cambria"/>
              </w:rPr>
            </w:pPr>
          </w:p>
        </w:tc>
      </w:tr>
      <w:tr w:rsidR="00FD5E4C" w:rsidRPr="003053AF" w14:paraId="47B8BE63" w14:textId="77777777">
        <w:tblPrEx>
          <w:tblCellMar>
            <w:top w:w="0" w:type="dxa"/>
            <w:bottom w:w="0" w:type="dxa"/>
          </w:tblCellMar>
        </w:tblPrEx>
        <w:tc>
          <w:tcPr>
            <w:tcW w:w="3400" w:type="dxa"/>
            <w:shd w:val="clear" w:color="auto" w:fill="FFFFFF"/>
            <w:tcMar>
              <w:top w:w="95" w:type="dxa"/>
              <w:left w:w="140" w:type="dxa"/>
              <w:bottom w:w="95" w:type="dxa"/>
              <w:right w:w="120" w:type="dxa"/>
            </w:tcMar>
          </w:tcPr>
          <w:p w14:paraId="764002C1"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L1 naive network indicators</w:t>
            </w:r>
          </w:p>
        </w:tc>
        <w:tc>
          <w:tcPr>
            <w:tcW w:w="5960" w:type="dxa"/>
            <w:shd w:val="clear" w:color="auto" w:fill="FFFFFF"/>
            <w:tcMar>
              <w:top w:w="95" w:type="dxa"/>
              <w:left w:w="140" w:type="dxa"/>
              <w:bottom w:w="95" w:type="dxa"/>
              <w:right w:w="120" w:type="dxa"/>
            </w:tcMar>
          </w:tcPr>
          <w:p w14:paraId="10B69682"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9"/>
                <w:szCs w:val="19"/>
              </w:rPr>
              <w:t>10</w:t>
            </w:r>
          </w:p>
        </w:tc>
      </w:tr>
      <w:tr w:rsidR="00FD5E4C" w:rsidRPr="003053AF" w14:paraId="566B2AF8"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156CA88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L1 refanged network indicators</w:t>
            </w:r>
          </w:p>
        </w:tc>
        <w:tc>
          <w:tcPr>
            <w:tcW w:w="5960" w:type="dxa"/>
            <w:shd w:val="clear" w:color="auto" w:fill="F2F5F8"/>
            <w:tcMar>
              <w:top w:w="95" w:type="dxa"/>
              <w:left w:w="140" w:type="dxa"/>
              <w:bottom w:w="95" w:type="dxa"/>
              <w:right w:w="120" w:type="dxa"/>
            </w:tcMar>
          </w:tcPr>
          <w:p w14:paraId="048AA867"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9"/>
                <w:szCs w:val="19"/>
              </w:rPr>
              <w:t>28</w:t>
            </w:r>
          </w:p>
        </w:tc>
      </w:tr>
      <w:tr w:rsidR="00FD5E4C" w:rsidRPr="003053AF" w14:paraId="59D34A46" w14:textId="77777777">
        <w:tblPrEx>
          <w:tblCellMar>
            <w:top w:w="0" w:type="dxa"/>
            <w:bottom w:w="0" w:type="dxa"/>
          </w:tblCellMar>
        </w:tblPrEx>
        <w:tc>
          <w:tcPr>
            <w:tcW w:w="3400" w:type="dxa"/>
            <w:shd w:val="clear" w:color="auto" w:fill="FFFFFF"/>
            <w:tcMar>
              <w:top w:w="95" w:type="dxa"/>
              <w:left w:w="140" w:type="dxa"/>
              <w:bottom w:w="95" w:type="dxa"/>
              <w:right w:w="120" w:type="dxa"/>
            </w:tcMar>
          </w:tcPr>
          <w:p w14:paraId="685C44B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L1 naive recall</w:t>
            </w:r>
          </w:p>
        </w:tc>
        <w:tc>
          <w:tcPr>
            <w:tcW w:w="5960" w:type="dxa"/>
            <w:shd w:val="clear" w:color="auto" w:fill="FFFFFF"/>
            <w:tcMar>
              <w:top w:w="95" w:type="dxa"/>
              <w:left w:w="140" w:type="dxa"/>
              <w:bottom w:w="95" w:type="dxa"/>
              <w:right w:w="120" w:type="dxa"/>
            </w:tcMar>
          </w:tcPr>
          <w:p w14:paraId="36C5B591"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9"/>
                <w:szCs w:val="19"/>
              </w:rPr>
              <w:t>35.7%</w:t>
            </w:r>
          </w:p>
        </w:tc>
      </w:tr>
      <w:tr w:rsidR="00FD5E4C" w:rsidRPr="003053AF" w14:paraId="6F3208C3"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19D54E07"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L1 pyramid bottom share</w:t>
            </w:r>
          </w:p>
        </w:tc>
        <w:tc>
          <w:tcPr>
            <w:tcW w:w="5960" w:type="dxa"/>
            <w:shd w:val="clear" w:color="auto" w:fill="F2F5F8"/>
            <w:tcMar>
              <w:top w:w="95" w:type="dxa"/>
              <w:left w:w="140" w:type="dxa"/>
              <w:bottom w:w="95" w:type="dxa"/>
              <w:right w:w="120" w:type="dxa"/>
            </w:tcMar>
          </w:tcPr>
          <w:p w14:paraId="271F19EB" w14:textId="77777777" w:rsidR="00FD5E4C" w:rsidRPr="003053AF" w:rsidRDefault="00000000" w:rsidP="003053AF">
            <w:pPr>
              <w:spacing w:line="276" w:lineRule="auto"/>
              <w:rPr>
                <w:rFonts w:ascii="Cambria" w:hAnsi="Cambria"/>
              </w:rPr>
            </w:pPr>
            <w:r w:rsidRPr="003053AF">
              <w:rPr>
                <w:rFonts w:ascii="Cambria" w:eastAsia="Courier New" w:hAnsi="Cambria" w:cs="Courier New"/>
                <w:color w:val="16222F"/>
                <w:sz w:val="19"/>
                <w:szCs w:val="19"/>
              </w:rPr>
              <w:t>47.8%</w:t>
            </w:r>
          </w:p>
        </w:tc>
      </w:tr>
      <w:tr w:rsidR="00FD5E4C" w:rsidRPr="003053AF" w14:paraId="265FEAEA" w14:textId="77777777">
        <w:tblPrEx>
          <w:tblCellMar>
            <w:top w:w="0" w:type="dxa"/>
            <w:bottom w:w="0" w:type="dxa"/>
          </w:tblCellMar>
        </w:tblPrEx>
        <w:tc>
          <w:tcPr>
            <w:tcW w:w="3400" w:type="dxa"/>
            <w:shd w:val="clear" w:color="auto" w:fill="FFFFFF"/>
            <w:tcMar>
              <w:top w:w="95" w:type="dxa"/>
              <w:left w:w="140" w:type="dxa"/>
              <w:bottom w:w="95" w:type="dxa"/>
              <w:right w:w="120" w:type="dxa"/>
            </w:tcMar>
          </w:tcPr>
          <w:p w14:paraId="6D870A1D"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L1 which signal you would brief</w:t>
            </w:r>
          </w:p>
        </w:tc>
        <w:tc>
          <w:tcPr>
            <w:tcW w:w="5960" w:type="dxa"/>
            <w:shd w:val="clear" w:color="auto" w:fill="FFFFFF"/>
            <w:tcMar>
              <w:top w:w="95" w:type="dxa"/>
              <w:left w:w="140" w:type="dxa"/>
              <w:bottom w:w="95" w:type="dxa"/>
              <w:right w:w="120" w:type="dxa"/>
            </w:tcMar>
          </w:tcPr>
          <w:p w14:paraId="709BDC50"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free text — should not be CVSS alone</w:t>
            </w:r>
          </w:p>
        </w:tc>
      </w:tr>
      <w:tr w:rsidR="00FD5E4C" w:rsidRPr="003053AF" w14:paraId="2E2B3848"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48C3E49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lastRenderedPageBreak/>
              <w:t>L2 audience chosen</w:t>
            </w:r>
          </w:p>
        </w:tc>
        <w:tc>
          <w:tcPr>
            <w:tcW w:w="5960" w:type="dxa"/>
            <w:shd w:val="clear" w:color="auto" w:fill="F2F5F8"/>
            <w:tcMar>
              <w:top w:w="95" w:type="dxa"/>
              <w:left w:w="140" w:type="dxa"/>
              <w:bottom w:w="95" w:type="dxa"/>
              <w:right w:w="120" w:type="dxa"/>
            </w:tcMar>
          </w:tcPr>
          <w:p w14:paraId="1E25E0B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SOC engineer or board member</w:t>
            </w:r>
          </w:p>
        </w:tc>
      </w:tr>
      <w:tr w:rsidR="00FD5E4C" w:rsidRPr="003053AF" w14:paraId="153AD632" w14:textId="77777777">
        <w:tblPrEx>
          <w:tblCellMar>
            <w:top w:w="0" w:type="dxa"/>
            <w:bottom w:w="0" w:type="dxa"/>
          </w:tblCellMar>
        </w:tblPrEx>
        <w:tc>
          <w:tcPr>
            <w:tcW w:w="3400" w:type="dxa"/>
            <w:shd w:val="clear" w:color="auto" w:fill="FFFFFF"/>
            <w:tcMar>
              <w:top w:w="95" w:type="dxa"/>
              <w:left w:w="140" w:type="dxa"/>
              <w:bottom w:w="95" w:type="dxa"/>
              <w:right w:w="120" w:type="dxa"/>
            </w:tcMar>
          </w:tcPr>
          <w:p w14:paraId="4B1AED89"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L2 model + version + date</w:t>
            </w:r>
          </w:p>
        </w:tc>
        <w:tc>
          <w:tcPr>
            <w:tcW w:w="5960" w:type="dxa"/>
            <w:shd w:val="clear" w:color="auto" w:fill="FFFFFF"/>
            <w:tcMar>
              <w:top w:w="95" w:type="dxa"/>
              <w:left w:w="140" w:type="dxa"/>
              <w:bottom w:w="95" w:type="dxa"/>
              <w:right w:w="120" w:type="dxa"/>
            </w:tcMar>
          </w:tcPr>
          <w:p w14:paraId="63177044"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free text — check it is actually filled in</w:t>
            </w:r>
          </w:p>
        </w:tc>
      </w:tr>
      <w:tr w:rsidR="00FD5E4C" w:rsidRPr="003053AF" w14:paraId="27A01323"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0D37E873"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L2 indicators flagged by harness</w:t>
            </w:r>
          </w:p>
        </w:tc>
        <w:tc>
          <w:tcPr>
            <w:tcW w:w="5960" w:type="dxa"/>
            <w:shd w:val="clear" w:color="auto" w:fill="F2F5F8"/>
            <w:tcMar>
              <w:top w:w="95" w:type="dxa"/>
              <w:left w:w="140" w:type="dxa"/>
              <w:bottom w:w="95" w:type="dxa"/>
              <w:right w:w="120" w:type="dxa"/>
            </w:tcMar>
          </w:tcPr>
          <w:p w14:paraId="34DD44A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0 or more; 0 is a legitimate result</w:t>
            </w:r>
          </w:p>
        </w:tc>
      </w:tr>
      <w:tr w:rsidR="00FD5E4C" w:rsidRPr="003053AF" w14:paraId="0D4028D1" w14:textId="77777777">
        <w:tblPrEx>
          <w:tblCellMar>
            <w:top w:w="0" w:type="dxa"/>
            <w:bottom w:w="0" w:type="dxa"/>
          </w:tblCellMar>
        </w:tblPrEx>
        <w:tc>
          <w:tcPr>
            <w:tcW w:w="3400" w:type="dxa"/>
            <w:shd w:val="clear" w:color="auto" w:fill="FFFFFF"/>
            <w:tcMar>
              <w:top w:w="95" w:type="dxa"/>
              <w:left w:w="140" w:type="dxa"/>
              <w:bottom w:w="95" w:type="dxa"/>
              <w:right w:w="120" w:type="dxa"/>
            </w:tcMar>
          </w:tcPr>
          <w:p w14:paraId="430AF656"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L2 indicators miscategorised</w:t>
            </w:r>
          </w:p>
        </w:tc>
        <w:tc>
          <w:tcPr>
            <w:tcW w:w="5960" w:type="dxa"/>
            <w:shd w:val="clear" w:color="auto" w:fill="FFFFFF"/>
            <w:tcMar>
              <w:top w:w="95" w:type="dxa"/>
              <w:left w:w="140" w:type="dxa"/>
              <w:bottom w:w="95" w:type="dxa"/>
              <w:right w:w="120" w:type="dxa"/>
            </w:tcMar>
          </w:tcPr>
          <w:p w14:paraId="16992C2B"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 1 in most runs; this is the number that shows they read the source</w:t>
            </w:r>
          </w:p>
        </w:tc>
      </w:tr>
      <w:tr w:rsidR="00FD5E4C" w:rsidRPr="003053AF" w14:paraId="7998ADF8" w14:textId="77777777">
        <w:tblPrEx>
          <w:tblCellMar>
            <w:top w:w="0" w:type="dxa"/>
            <w:bottom w:w="0" w:type="dxa"/>
          </w:tblCellMar>
        </w:tblPrEx>
        <w:tc>
          <w:tcPr>
            <w:tcW w:w="3400" w:type="dxa"/>
            <w:shd w:val="clear" w:color="auto" w:fill="F2F5F8"/>
            <w:tcMar>
              <w:top w:w="95" w:type="dxa"/>
              <w:left w:w="140" w:type="dxa"/>
              <w:bottom w:w="95" w:type="dxa"/>
              <w:right w:w="120" w:type="dxa"/>
            </w:tcMar>
          </w:tcPr>
          <w:p w14:paraId="716AA06E"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Rewritten claim</w:t>
            </w:r>
          </w:p>
        </w:tc>
        <w:tc>
          <w:tcPr>
            <w:tcW w:w="5960" w:type="dxa"/>
            <w:shd w:val="clear" w:color="auto" w:fill="F2F5F8"/>
            <w:tcMar>
              <w:top w:w="95" w:type="dxa"/>
              <w:left w:w="140" w:type="dxa"/>
              <w:bottom w:w="95" w:type="dxa"/>
              <w:right w:w="120" w:type="dxa"/>
            </w:tcMar>
          </w:tcPr>
          <w:p w14:paraId="2299993E" w14:textId="77777777" w:rsidR="00FD5E4C" w:rsidRPr="003053AF" w:rsidRDefault="00000000" w:rsidP="003053AF">
            <w:pPr>
              <w:spacing w:line="276" w:lineRule="auto"/>
              <w:rPr>
                <w:rFonts w:ascii="Cambria" w:hAnsi="Cambria"/>
              </w:rPr>
            </w:pPr>
            <w:r w:rsidRPr="003053AF">
              <w:rPr>
                <w:rFonts w:ascii="Cambria" w:eastAsia="Calibri" w:hAnsi="Cambria" w:cs="Calibri"/>
                <w:color w:val="16222F"/>
                <w:sz w:val="19"/>
                <w:szCs w:val="19"/>
              </w:rPr>
              <w:t>must carry a likelihood term AND a separate confidence statement</w:t>
            </w:r>
          </w:p>
        </w:tc>
      </w:tr>
    </w:tbl>
    <w:p w14:paraId="71570A1D" w14:textId="77777777" w:rsidR="00FD5E4C" w:rsidRPr="003053AF" w:rsidRDefault="00FD5E4C" w:rsidP="003053AF">
      <w:pPr>
        <w:spacing w:line="276" w:lineRule="auto"/>
        <w:rPr>
          <w:rFonts w:ascii="Cambria" w:hAnsi="Cambria"/>
        </w:rPr>
      </w:pPr>
    </w:p>
    <w:tbl>
      <w:tblPr>
        <w:tblW w:w="9360" w:type="dxa"/>
        <w:tblBorders>
          <w:top w:val="single" w:sz="2" w:space="0" w:color="B87A1E"/>
          <w:left w:val="single" w:sz="14" w:space="0" w:color="B87A1E"/>
          <w:bottom w:val="single" w:sz="2" w:space="0" w:color="B87A1E"/>
          <w:right w:val="single" w:sz="2" w:space="0" w:color="B87A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07E599CB" w14:textId="77777777">
        <w:tblPrEx>
          <w:tblCellMar>
            <w:top w:w="0" w:type="dxa"/>
            <w:bottom w:w="0" w:type="dxa"/>
          </w:tblCellMar>
        </w:tblPrEx>
        <w:tc>
          <w:tcPr>
            <w:tcW w:w="9360" w:type="dxa"/>
            <w:shd w:val="clear" w:color="auto" w:fill="FBEFDC"/>
            <w:tcMar>
              <w:top w:w="120" w:type="dxa"/>
              <w:left w:w="200" w:type="dxa"/>
              <w:bottom w:w="120" w:type="dxa"/>
              <w:right w:w="180" w:type="dxa"/>
            </w:tcMar>
          </w:tcPr>
          <w:p w14:paraId="332BE0AA"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B87A1E"/>
                <w:sz w:val="21"/>
                <w:szCs w:val="21"/>
              </w:rPr>
              <w:t>Three things to say out loud, all of them honest</w:t>
            </w:r>
          </w:p>
          <w:p w14:paraId="3556A36A"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1.  </w:t>
            </w:r>
            <w:r w:rsidRPr="003053AF">
              <w:rPr>
                <w:rFonts w:ascii="Cambria" w:eastAsia="Calibri" w:hAnsi="Cambria" w:cs="Calibri"/>
                <w:color w:val="16222F"/>
              </w:rPr>
              <w:t>The figures are live and will have moved since the deck was built. Show the difference rather than hiding it.</w:t>
            </w:r>
          </w:p>
          <w:p w14:paraId="57C7E230"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2.  </w:t>
            </w:r>
            <w:r w:rsidRPr="003053AF">
              <w:rPr>
                <w:rFonts w:ascii="Cambria" w:eastAsia="Calibri" w:hAnsi="Cambria" w:cs="Calibri"/>
                <w:color w:val="16222F"/>
              </w:rPr>
              <w:t>The two audit fixtures in Section 4 were written by hand as test cases, not produced by a model. The notebook says so; say it too.</w:t>
            </w:r>
          </w:p>
          <w:p w14:paraId="2A3D2C9F" w14:textId="77777777" w:rsidR="00FD5E4C" w:rsidRPr="003053AF" w:rsidRDefault="00000000" w:rsidP="003053AF">
            <w:pPr>
              <w:spacing w:before="20" w:line="276" w:lineRule="auto"/>
              <w:rPr>
                <w:rFonts w:ascii="Cambria" w:hAnsi="Cambria"/>
              </w:rPr>
            </w:pPr>
            <w:r w:rsidRPr="003053AF">
              <w:rPr>
                <w:rFonts w:ascii="Cambria" w:eastAsia="Calibri" w:hAnsi="Cambria" w:cs="Calibri"/>
                <w:b/>
                <w:bCs/>
                <w:color w:val="16222F"/>
              </w:rPr>
              <w:t xml:space="preserve">3.  </w:t>
            </w:r>
            <w:r w:rsidRPr="003053AF">
              <w:rPr>
                <w:rFonts w:ascii="Cambria" w:eastAsia="Calibri" w:hAnsi="Cambria" w:cs="Calibri"/>
                <w:color w:val="16222F"/>
              </w:rPr>
              <w:t>This advisory is unusually TTP-rich (36 techniques). Most feeds are entirely bottom-tier. Without that caveat the room leaves with the wrong impression of the average advisory.</w:t>
            </w:r>
          </w:p>
        </w:tc>
      </w:tr>
    </w:tbl>
    <w:p w14:paraId="0E49C5E9" w14:textId="77777777" w:rsidR="00FD5E4C" w:rsidRPr="003053AF" w:rsidRDefault="00FD5E4C" w:rsidP="003053AF">
      <w:pPr>
        <w:spacing w:line="276" w:lineRule="auto"/>
        <w:rPr>
          <w:rFonts w:ascii="Cambria" w:hAnsi="Cambria"/>
        </w:rPr>
      </w:pPr>
    </w:p>
    <w:tbl>
      <w:tblPr>
        <w:tblW w:w="9360" w:type="dxa"/>
        <w:tblBorders>
          <w:top w:val="single" w:sz="2" w:space="0" w:color="16324C"/>
          <w:left w:val="single" w:sz="14" w:space="0" w:color="16324C"/>
          <w:bottom w:val="single" w:sz="2" w:space="0" w:color="16324C"/>
          <w:right w:val="single" w:sz="2" w:space="0" w:color="1632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E4C" w:rsidRPr="003053AF" w14:paraId="7834F622" w14:textId="77777777">
        <w:tblPrEx>
          <w:tblCellMar>
            <w:top w:w="0" w:type="dxa"/>
            <w:bottom w:w="0" w:type="dxa"/>
          </w:tblCellMar>
        </w:tblPrEx>
        <w:tc>
          <w:tcPr>
            <w:tcW w:w="9360" w:type="dxa"/>
            <w:shd w:val="clear" w:color="auto" w:fill="F2F5F8"/>
            <w:tcMar>
              <w:top w:w="120" w:type="dxa"/>
              <w:left w:w="200" w:type="dxa"/>
              <w:bottom w:w="120" w:type="dxa"/>
              <w:right w:w="180" w:type="dxa"/>
            </w:tcMar>
          </w:tcPr>
          <w:p w14:paraId="3F3A21DC" w14:textId="77777777" w:rsidR="00FD5E4C" w:rsidRPr="003053AF" w:rsidRDefault="00000000" w:rsidP="003053AF">
            <w:pPr>
              <w:spacing w:before="40" w:line="276" w:lineRule="auto"/>
              <w:rPr>
                <w:rFonts w:ascii="Cambria" w:hAnsi="Cambria"/>
              </w:rPr>
            </w:pPr>
            <w:r w:rsidRPr="003053AF">
              <w:rPr>
                <w:rFonts w:ascii="Cambria" w:eastAsia="Calibri" w:hAnsi="Cambria" w:cs="Calibri"/>
                <w:b/>
                <w:bCs/>
                <w:color w:val="16324C"/>
                <w:sz w:val="21"/>
                <w:szCs w:val="21"/>
              </w:rPr>
              <w:t>If the room is ahead of schedule</w:t>
            </w:r>
          </w:p>
          <w:p w14:paraId="3431C0D3"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Three discussion questions, in increasing difficulty:</w:t>
            </w:r>
          </w:p>
          <w:p w14:paraId="73BF3890"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1.  If a Log4Shell-class flaw were announced this afternoon, how long before you could answer whether you run it, and where? The honest answers are measured in days.</w:t>
            </w:r>
          </w:p>
          <w:p w14:paraId="09E9EB52"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2.  Your triage pipeline reads adversary-controlled text and passes it to a model. Draw the trust boundary. Where does the deterministic half end?</w:t>
            </w:r>
          </w:p>
          <w:p w14:paraId="6DF557C4" w14:textId="77777777" w:rsidR="00FD5E4C" w:rsidRPr="003053AF" w:rsidRDefault="00000000" w:rsidP="003053AF">
            <w:pPr>
              <w:spacing w:before="20" w:line="276" w:lineRule="auto"/>
              <w:rPr>
                <w:rFonts w:ascii="Cambria" w:hAnsi="Cambria"/>
              </w:rPr>
            </w:pPr>
            <w:r w:rsidRPr="003053AF">
              <w:rPr>
                <w:rFonts w:ascii="Cambria" w:eastAsia="Calibri" w:hAnsi="Cambria" w:cs="Calibri"/>
                <w:color w:val="16222F"/>
              </w:rPr>
              <w:t>3.  You have no way to score whether your intelligence was any good, because nobody reports the attack that did not happen. What would you have to record today for a future reader to judge you fairly?</w:t>
            </w:r>
          </w:p>
        </w:tc>
      </w:tr>
    </w:tbl>
    <w:p w14:paraId="22D360FA" w14:textId="77777777" w:rsidR="00FD5E4C" w:rsidRPr="003053AF" w:rsidRDefault="00FD5E4C" w:rsidP="003053AF">
      <w:pPr>
        <w:spacing w:line="276" w:lineRule="auto"/>
        <w:rPr>
          <w:rFonts w:ascii="Cambria" w:hAnsi="Cambria"/>
        </w:rPr>
      </w:pPr>
    </w:p>
    <w:sectPr w:rsidR="00FD5E4C" w:rsidRPr="003053AF" w:rsidSect="006B7BFB">
      <w:headerReference w:type="default" r:id="rId10"/>
      <w:footerReference w:type="default" r:id="rId11"/>
      <w:pgSz w:w="11906" w:h="16838" w:code="9"/>
      <w:pgMar w:top="1225" w:right="1366" w:bottom="1225" w:left="1366" w:header="709" w:footer="709" w:gutter="0"/>
      <w:pgBorders>
        <w:top w:val="single" w:sz="6" w:space="22" w:color="D8E0E8"/>
        <w:left w:val="single" w:sz="6" w:space="22" w:color="D8E0E8"/>
        <w:bottom w:val="single" w:sz="6" w:space="22" w:color="D8E0E8"/>
        <w:right w:val="single" w:sz="6" w:space="22" w:color="D8E0E8"/>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674C" w14:textId="77777777" w:rsidR="003E3110" w:rsidRDefault="003E3110">
      <w:r>
        <w:separator/>
      </w:r>
    </w:p>
  </w:endnote>
  <w:endnote w:type="continuationSeparator" w:id="0">
    <w:p w14:paraId="72DDE9D3" w14:textId="77777777" w:rsidR="003E3110" w:rsidRDefault="003E3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35E5" w14:textId="77777777" w:rsidR="00FD5E4C" w:rsidRDefault="00000000">
    <w:pPr>
      <w:jc w:val="center"/>
    </w:pPr>
    <w:r>
      <w:rPr>
        <w:rFonts w:ascii="Calibri" w:eastAsia="Calibri" w:hAnsi="Calibri" w:cs="Calibri"/>
        <w:color w:val="51708D"/>
        <w:sz w:val="16"/>
        <w:szCs w:val="16"/>
      </w:rPr>
      <w:fldChar w:fldCharType="begin"/>
    </w:r>
    <w:r>
      <w:rPr>
        <w:rFonts w:ascii="Calibri" w:eastAsia="Calibri" w:hAnsi="Calibri" w:cs="Calibri"/>
        <w:color w:val="51708D"/>
        <w:sz w:val="16"/>
        <w:szCs w:val="16"/>
      </w:rPr>
      <w:instrText>PAGE</w:instrText>
    </w:r>
    <w:r>
      <w:rPr>
        <w:rFonts w:ascii="Calibri" w:eastAsia="Calibri" w:hAnsi="Calibri" w:cs="Calibri"/>
        <w:color w:val="51708D"/>
        <w:sz w:val="16"/>
        <w:szCs w:val="16"/>
      </w:rPr>
      <w:fldChar w:fldCharType="separate"/>
    </w:r>
    <w:r w:rsidR="001E0C46">
      <w:rPr>
        <w:rFonts w:ascii="Calibri" w:eastAsia="Calibri" w:hAnsi="Calibri" w:cs="Calibri"/>
        <w:noProof/>
        <w:color w:val="51708D"/>
        <w:sz w:val="16"/>
        <w:szCs w:val="16"/>
      </w:rPr>
      <w:t>1</w:t>
    </w:r>
    <w:r>
      <w:rPr>
        <w:rFonts w:ascii="Calibri" w:eastAsia="Calibri" w:hAnsi="Calibri" w:cs="Calibri"/>
        <w:color w:val="5170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C076" w14:textId="77777777" w:rsidR="003E3110" w:rsidRDefault="003E3110">
      <w:r>
        <w:separator/>
      </w:r>
    </w:p>
  </w:footnote>
  <w:footnote w:type="continuationSeparator" w:id="0">
    <w:p w14:paraId="6BA9A794" w14:textId="77777777" w:rsidR="003E3110" w:rsidRDefault="003E3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18B8" w14:textId="77777777" w:rsidR="00FD5E4C" w:rsidRDefault="00000000">
    <w:pPr>
      <w:jc w:val="right"/>
    </w:pPr>
    <w:r>
      <w:rPr>
        <w:rFonts w:ascii="Calibri" w:eastAsia="Calibri" w:hAnsi="Calibri" w:cs="Calibri"/>
        <w:color w:val="51708D"/>
        <w:sz w:val="16"/>
        <w:szCs w:val="16"/>
      </w:rPr>
      <w:t>ISEA · Intelligent Digital Forensics · Session 8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810C2"/>
    <w:multiLevelType w:val="hybridMultilevel"/>
    <w:tmpl w:val="4A0AE972"/>
    <w:lvl w:ilvl="0" w:tplc="73DAE960">
      <w:start w:val="1"/>
      <w:numFmt w:val="bullet"/>
      <w:lvlText w:val="●"/>
      <w:lvlJc w:val="left"/>
      <w:pPr>
        <w:ind w:left="720" w:hanging="360"/>
      </w:pPr>
    </w:lvl>
    <w:lvl w:ilvl="1" w:tplc="863A0424">
      <w:start w:val="1"/>
      <w:numFmt w:val="bullet"/>
      <w:lvlText w:val="○"/>
      <w:lvlJc w:val="left"/>
      <w:pPr>
        <w:ind w:left="1440" w:hanging="360"/>
      </w:pPr>
    </w:lvl>
    <w:lvl w:ilvl="2" w:tplc="47C00470">
      <w:start w:val="1"/>
      <w:numFmt w:val="bullet"/>
      <w:lvlText w:val="■"/>
      <w:lvlJc w:val="left"/>
      <w:pPr>
        <w:ind w:left="2160" w:hanging="360"/>
      </w:pPr>
    </w:lvl>
    <w:lvl w:ilvl="3" w:tplc="93082C8C">
      <w:start w:val="1"/>
      <w:numFmt w:val="bullet"/>
      <w:lvlText w:val="●"/>
      <w:lvlJc w:val="left"/>
      <w:pPr>
        <w:ind w:left="2880" w:hanging="360"/>
      </w:pPr>
    </w:lvl>
    <w:lvl w:ilvl="4" w:tplc="6E0C4144">
      <w:start w:val="1"/>
      <w:numFmt w:val="bullet"/>
      <w:lvlText w:val="○"/>
      <w:lvlJc w:val="left"/>
      <w:pPr>
        <w:ind w:left="3600" w:hanging="360"/>
      </w:pPr>
    </w:lvl>
    <w:lvl w:ilvl="5" w:tplc="3088588A">
      <w:start w:val="1"/>
      <w:numFmt w:val="bullet"/>
      <w:lvlText w:val="■"/>
      <w:lvlJc w:val="left"/>
      <w:pPr>
        <w:ind w:left="4320" w:hanging="360"/>
      </w:pPr>
    </w:lvl>
    <w:lvl w:ilvl="6" w:tplc="2FFE7C4C">
      <w:start w:val="1"/>
      <w:numFmt w:val="bullet"/>
      <w:lvlText w:val="●"/>
      <w:lvlJc w:val="left"/>
      <w:pPr>
        <w:ind w:left="5040" w:hanging="360"/>
      </w:pPr>
    </w:lvl>
    <w:lvl w:ilvl="7" w:tplc="E39202EA">
      <w:start w:val="1"/>
      <w:numFmt w:val="bullet"/>
      <w:lvlText w:val="●"/>
      <w:lvlJc w:val="left"/>
      <w:pPr>
        <w:ind w:left="5760" w:hanging="360"/>
      </w:pPr>
    </w:lvl>
    <w:lvl w:ilvl="8" w:tplc="3548537A">
      <w:start w:val="1"/>
      <w:numFmt w:val="bullet"/>
      <w:lvlText w:val="●"/>
      <w:lvlJc w:val="left"/>
      <w:pPr>
        <w:ind w:left="6480" w:hanging="360"/>
      </w:pPr>
    </w:lvl>
  </w:abstractNum>
  <w:abstractNum w:abstractNumId="1" w15:restartNumberingAfterBreak="0">
    <w:nsid w:val="45B15F9D"/>
    <w:multiLevelType w:val="hybridMultilevel"/>
    <w:tmpl w:val="CE5421BE"/>
    <w:lvl w:ilvl="0" w:tplc="FDECDCE0">
      <w:start w:val="1"/>
      <w:numFmt w:val="bullet"/>
      <w:lvlText w:val="•"/>
      <w:lvlJc w:val="left"/>
      <w:pPr>
        <w:ind w:left="420" w:hanging="250"/>
      </w:pPr>
    </w:lvl>
    <w:lvl w:ilvl="1" w:tplc="15C8EBE0">
      <w:start w:val="1"/>
      <w:numFmt w:val="bullet"/>
      <w:lvlText w:val="◦"/>
      <w:lvlJc w:val="left"/>
      <w:pPr>
        <w:ind w:left="820" w:hanging="250"/>
      </w:pPr>
    </w:lvl>
    <w:lvl w:ilvl="2" w:tplc="88CA0D3A">
      <w:numFmt w:val="decimal"/>
      <w:lvlText w:val=""/>
      <w:lvlJc w:val="left"/>
    </w:lvl>
    <w:lvl w:ilvl="3" w:tplc="BCE2D146">
      <w:numFmt w:val="decimal"/>
      <w:lvlText w:val=""/>
      <w:lvlJc w:val="left"/>
    </w:lvl>
    <w:lvl w:ilvl="4" w:tplc="F9A01A7A">
      <w:numFmt w:val="decimal"/>
      <w:lvlText w:val=""/>
      <w:lvlJc w:val="left"/>
    </w:lvl>
    <w:lvl w:ilvl="5" w:tplc="1E6C8BD2">
      <w:numFmt w:val="decimal"/>
      <w:lvlText w:val=""/>
      <w:lvlJc w:val="left"/>
    </w:lvl>
    <w:lvl w:ilvl="6" w:tplc="7A3E0402">
      <w:numFmt w:val="decimal"/>
      <w:lvlText w:val=""/>
      <w:lvlJc w:val="left"/>
    </w:lvl>
    <w:lvl w:ilvl="7" w:tplc="0144D5F4">
      <w:numFmt w:val="decimal"/>
      <w:lvlText w:val=""/>
      <w:lvlJc w:val="left"/>
    </w:lvl>
    <w:lvl w:ilvl="8" w:tplc="898ADA5E">
      <w:numFmt w:val="decimal"/>
      <w:lvlText w:val=""/>
      <w:lvlJc w:val="left"/>
    </w:lvl>
  </w:abstractNum>
  <w:num w:numId="1" w16cid:durableId="1500344383">
    <w:abstractNumId w:val="0"/>
    <w:lvlOverride w:ilvl="0">
      <w:startOverride w:val="1"/>
    </w:lvlOverride>
  </w:num>
  <w:num w:numId="2" w16cid:durableId="1070008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4C"/>
    <w:rsid w:val="001E0C46"/>
    <w:rsid w:val="00233E02"/>
    <w:rsid w:val="003053AF"/>
    <w:rsid w:val="003E3110"/>
    <w:rsid w:val="006B7BFB"/>
    <w:rsid w:val="00C80A12"/>
    <w:rsid w:val="00FD5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53B4"/>
  <w15:docId w15:val="{A5ECFEE8-C6B6-4018-B596-9424C105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C46"/>
    <w:pPr>
      <w:spacing w:after="100"/>
    </w:pPr>
  </w:style>
  <w:style w:type="paragraph" w:styleId="TOC2">
    <w:name w:val="toc 2"/>
    <w:basedOn w:val="Normal"/>
    <w:next w:val="Normal"/>
    <w:autoRedefine/>
    <w:uiPriority w:val="39"/>
    <w:unhideWhenUsed/>
    <w:rsid w:val="001E0C46"/>
    <w:pPr>
      <w:spacing w:after="100"/>
      <w:ind w:left="200"/>
    </w:pPr>
  </w:style>
  <w:style w:type="character" w:styleId="UnresolvedMention">
    <w:name w:val="Unresolved Mention"/>
    <w:basedOn w:val="DefaultParagraphFont"/>
    <w:uiPriority w:val="99"/>
    <w:semiHidden/>
    <w:unhideWhenUsed/>
    <w:rsid w:val="003053AF"/>
    <w:rPr>
      <w:color w:val="605E5C"/>
      <w:shd w:val="clear" w:color="auto" w:fill="E1DFDD"/>
    </w:rPr>
  </w:style>
  <w:style w:type="character" w:styleId="FollowedHyperlink">
    <w:name w:val="FollowedHyperlink"/>
    <w:basedOn w:val="DefaultParagraphFont"/>
    <w:uiPriority w:val="99"/>
    <w:semiHidden/>
    <w:unhideWhenUsed/>
    <w:rsid w:val="00305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3320</Words>
  <Characters>18929</Characters>
  <Application>Microsoft Office Word</Application>
  <DocSecurity>0</DocSecurity>
  <Lines>157</Lines>
  <Paragraphs>44</Paragraphs>
  <ScaleCrop>false</ScaleCrop>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ISEA Session 8 Lab Manual</dc:title>
  <dc:creator>Dr Akshi Kumar</dc:creator>
  <cp:lastModifiedBy>Akshi Kumar</cp:lastModifiedBy>
  <cp:revision>5</cp:revision>
  <dcterms:created xsi:type="dcterms:W3CDTF">2026-08-09T17:18:00Z</dcterms:created>
  <dcterms:modified xsi:type="dcterms:W3CDTF">2026-08-09T17:24:00Z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7c861607-f8ce-4e47-891c-c83ccb6dfdc7</vt:lpwstr>
  </property>
</Properties>
</file>