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Technology Stack (Architecture &amp; Stack)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31 January 3035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>
            <w:r>
              <w:t>HouseHunt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Technical Architecture: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The Deliverable shall include the architectural diagram as below and the information as per the table1 &amp; table 2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Example: Order processing during pandemics for offline mode</w:t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Reference: </w:t>
      </w:r>
      <w:hyperlink r:id="rId7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https://developer.ibm.com/patterns/ai-powered-backend-system-for-order-processing-during-pandemics/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Guidelines: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Include all the processes (As an application logic / Technology Block)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Provide infrastructural demarcation (Local / Cloud)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external interfaces (third party API’s etc.)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Data Storage components / services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interface to machine learning models (if applicable)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78375" cy="26511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4326550" cy="2482850"/>
            <wp:effectExtent b="0" l="0" r="0" t="0"/>
            <wp:wrapSquare wrapText="bothSides" distB="0" distT="0" distL="114300" distR="114300"/>
            <wp:docPr descr="flow" id="2" name="image1.png"/>
            <a:graphic>
              <a:graphicData uri="http://schemas.openxmlformats.org/drawingml/2006/picture">
                <pic:pic>
                  <pic:nvPicPr>
                    <pic:cNvPr descr="flow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  <w:tab/>
        <w:tab/>
        <w:br w:type="textWrapping"/>
      </w:r>
    </w:p>
    <w:p w:rsidR="00000000" w:rsidDel="00000000" w:rsidP="00000000" w:rsidRDefault="00000000" w:rsidRPr="00000000" w14:paraId="00000014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Table-1 : Components &amp; Technologies:</w:t>
      </w:r>
    </w:p>
    <w:tbl>
      <w:tblPr>
        <w:tblStyle w:val="Table2"/>
        <w:tblW w:w="142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0"/>
        <w:gridCol w:w="3930"/>
        <w:gridCol w:w="5205"/>
        <w:gridCol w:w="4140"/>
        <w:tblGridChange w:id="0">
          <w:tblGrid>
            <w:gridCol w:w="930"/>
            <w:gridCol w:w="3930"/>
            <w:gridCol w:w="5205"/>
            <w:gridCol w:w="4140"/>
          </w:tblGrid>
        </w:tblGridChange>
      </w:tblGrid>
      <w:tr>
        <w:trPr>
          <w:cantSplit w:val="0"/>
          <w:trHeight w:val="398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1E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Component</w:t>
            </w:r>
          </w:p>
        </w:tc>
        <w:tc>
          <w:tcPr/>
          <w:p w:rsidR="00000000" w:rsidDel="00000000" w:rsidP="00000000" w:rsidRDefault="00000000" w:rsidRPr="00000000" w14:paraId="0000001F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20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User Interface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How user interacts with application e.g.</w:t>
            </w:r>
          </w:p>
          <w:p w:rsidR="00000000" w:rsidDel="00000000" w:rsidP="00000000" w:rsidRDefault="00000000" w:rsidRPr="00000000" w14:paraId="0000002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Web UI, Mobile App, Chatbot etc.</w:t>
            </w:r>
          </w:p>
        </w:tc>
        <w:tc>
          <w:tcPr/>
          <w:p>
            <w:r>
              <w:t>React.js, HTML, CSS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Logic-1</w:t>
            </w:r>
          </w:p>
        </w:tc>
        <w:tc>
          <w:tcPr/>
          <w:p w:rsidR="00000000" w:rsidDel="00000000" w:rsidP="00000000" w:rsidRDefault="00000000" w:rsidRPr="00000000" w14:paraId="0000002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Logic for a process in the application</w:t>
            </w:r>
          </w:p>
        </w:tc>
        <w:tc>
          <w:tcPr/>
          <w:p>
            <w:r>
              <w:t>Node.js, Express.js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Logic-2</w:t>
            </w:r>
          </w:p>
        </w:tc>
        <w:tc>
          <w:tcPr/>
          <w:p w:rsidR="00000000" w:rsidDel="00000000" w:rsidP="00000000" w:rsidRDefault="00000000" w:rsidRPr="00000000" w14:paraId="0000002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Logic for a process in the application</w:t>
            </w:r>
          </w:p>
        </w:tc>
        <w:tc>
          <w:tcPr/>
          <w:p w:rsidR="00000000" w:rsidDel="00000000" w:rsidP="00000000" w:rsidRDefault="00000000" w:rsidRPr="00000000" w14:paraId="0000002D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IBM Watson STT service 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Logic-3</w:t>
            </w:r>
          </w:p>
        </w:tc>
        <w:tc>
          <w:tcPr/>
          <w:p w:rsidR="00000000" w:rsidDel="00000000" w:rsidP="00000000" w:rsidRDefault="00000000" w:rsidRPr="00000000" w14:paraId="00000030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Logic for a process in the application</w:t>
            </w:r>
          </w:p>
        </w:tc>
        <w:tc>
          <w:tcPr/>
          <w:p w:rsidR="00000000" w:rsidDel="00000000" w:rsidP="00000000" w:rsidRDefault="00000000" w:rsidRPr="00000000" w14:paraId="00000031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IBM Watson Assistant 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Database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 Type, Configurations etc.</w:t>
            </w:r>
          </w:p>
        </w:tc>
        <w:tc>
          <w:tcPr/>
          <w:p>
            <w:r>
              <w:t>MongoDB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Cloud Database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Database Service on Cloud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IBM DB2, IBM Cloudant etc.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File Storage</w:t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File storage requirements</w:t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IBM Block Storage or Other Storage Service or Local Filesystem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External API-1</w:t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Purpose of External API used in the application</w:t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IBM Weather API, etc.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External API-2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Purpose of External API used in the application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Aadhar API, etc.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Machine Learning Model</w:t>
            </w:r>
          </w:p>
        </w:tc>
        <w:tc>
          <w:tcPr/>
          <w:p w:rsidR="00000000" w:rsidDel="00000000" w:rsidP="00000000" w:rsidRDefault="00000000" w:rsidRPr="00000000" w14:paraId="0000004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Purpose of Machine Learning Model</w:t>
            </w:r>
          </w:p>
        </w:tc>
        <w:tc>
          <w:tcPr/>
          <w:p w:rsidR="00000000" w:rsidDel="00000000" w:rsidP="00000000" w:rsidRDefault="00000000" w:rsidRPr="00000000" w14:paraId="0000004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Object Recognition Model, etc.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Infrastructure (Server / Cloud)</w:t>
            </w:r>
          </w:p>
        </w:tc>
        <w:tc>
          <w:tcPr/>
          <w:p w:rsidR="00000000" w:rsidDel="00000000" w:rsidP="00000000" w:rsidRDefault="00000000" w:rsidRPr="00000000" w14:paraId="0000004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Deployment on Local System / Cloud</w:t>
            </w:r>
          </w:p>
          <w:p w:rsidR="00000000" w:rsidDel="00000000" w:rsidP="00000000" w:rsidRDefault="00000000" w:rsidRPr="00000000" w14:paraId="0000004D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Local Server Configuration:</w:t>
            </w:r>
          </w:p>
          <w:p w:rsidR="00000000" w:rsidDel="00000000" w:rsidP="00000000" w:rsidRDefault="00000000" w:rsidRPr="00000000" w14:paraId="0000004E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Cloud Server Configuration : </w:t>
            </w:r>
          </w:p>
        </w:tc>
        <w:tc>
          <w:tcPr/>
          <w:p w:rsidR="00000000" w:rsidDel="00000000" w:rsidP="00000000" w:rsidRDefault="00000000" w:rsidRPr="00000000" w14:paraId="0000004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Local, Cloud Foundry, Kubernetes, etc.</w:t>
            </w:r>
          </w:p>
        </w:tc>
      </w:tr>
    </w:tbl>
    <w:p w:rsidR="00000000" w:rsidDel="00000000" w:rsidP="00000000" w:rsidRDefault="00000000" w:rsidRPr="00000000" w14:paraId="00000050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Table-2: Application Characteristics:</w:t>
      </w:r>
    </w:p>
    <w:tbl>
      <w:tblPr>
        <w:tblStyle w:val="Table3"/>
        <w:tblW w:w="14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26"/>
        <w:gridCol w:w="3969"/>
        <w:gridCol w:w="5170"/>
        <w:gridCol w:w="4097"/>
        <w:tblGridChange w:id="0">
          <w:tblGrid>
            <w:gridCol w:w="826"/>
            <w:gridCol w:w="3969"/>
            <w:gridCol w:w="5170"/>
            <w:gridCol w:w="4097"/>
          </w:tblGrid>
        </w:tblGridChange>
      </w:tblGrid>
      <w:tr>
        <w:trPr>
          <w:cantSplit w:val="0"/>
          <w:trHeight w:val="539" w:hRule="atLeast"/>
          <w:tblHeader w:val="1"/>
        </w:trPr>
        <w:tc>
          <w:tcPr/>
          <w:p w:rsidR="00000000" w:rsidDel="00000000" w:rsidP="00000000" w:rsidRDefault="00000000" w:rsidRPr="00000000" w14:paraId="00000052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Characteristics</w:t>
            </w:r>
          </w:p>
        </w:tc>
        <w:tc>
          <w:tcPr/>
          <w:p w:rsidR="00000000" w:rsidDel="00000000" w:rsidP="00000000" w:rsidRDefault="00000000" w:rsidRPr="00000000" w14:paraId="00000054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 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Open-Source Frameworks</w:t>
            </w:r>
          </w:p>
        </w:tc>
        <w:tc>
          <w:tcPr/>
          <w:p w:rsidR="00000000" w:rsidDel="00000000" w:rsidP="00000000" w:rsidRDefault="00000000" w:rsidRPr="00000000" w14:paraId="0000005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 the open-source frameworks used</w:t>
            </w:r>
          </w:p>
        </w:tc>
        <w:tc>
          <w:tcPr/>
          <w:p w:rsidR="00000000" w:rsidDel="00000000" w:rsidP="00000000" w:rsidRDefault="00000000" w:rsidRPr="00000000" w14:paraId="0000005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Technology of Opensource framework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Security Implementations</w:t>
            </w:r>
          </w:p>
        </w:tc>
        <w:tc>
          <w:tcPr/>
          <w:p w:rsidR="00000000" w:rsidDel="00000000" w:rsidP="00000000" w:rsidRDefault="00000000" w:rsidRPr="00000000" w14:paraId="0000005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 all the security / access controls implemented, use of firewalls etc.</w:t>
            </w:r>
          </w:p>
        </w:tc>
        <w:tc>
          <w:tcPr/>
          <w:p w:rsidR="00000000" w:rsidDel="00000000" w:rsidP="00000000" w:rsidRDefault="00000000" w:rsidRPr="00000000" w14:paraId="0000005D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e.g. SHA-256, Encryptions, IAM Controls, OWASP etc.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Scalable Architecture</w:t>
            </w:r>
          </w:p>
        </w:tc>
        <w:tc>
          <w:tcPr/>
          <w:p w:rsidR="00000000" w:rsidDel="00000000" w:rsidP="00000000" w:rsidRDefault="00000000" w:rsidRPr="00000000" w14:paraId="00000060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Justify the scalability of architecture (3 – tier, Micro-services)</w:t>
            </w:r>
          </w:p>
        </w:tc>
        <w:tc>
          <w:tcPr/>
          <w:p w:rsidR="00000000" w:rsidDel="00000000" w:rsidP="00000000" w:rsidRDefault="00000000" w:rsidRPr="00000000" w14:paraId="00000061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Technology used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Availability</w:t>
            </w:r>
          </w:p>
        </w:tc>
        <w:tc>
          <w:tcPr/>
          <w:p w:rsidR="00000000" w:rsidDel="00000000" w:rsidP="00000000" w:rsidRDefault="00000000" w:rsidRPr="00000000" w14:paraId="0000006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Justify the availability of application (e.g. use of load balancers, distributed servers etc.)</w:t>
            </w:r>
          </w:p>
        </w:tc>
        <w:tc>
          <w:tcPr/>
          <w:p w:rsidR="00000000" w:rsidDel="00000000" w:rsidP="00000000" w:rsidRDefault="00000000" w:rsidRPr="00000000" w14:paraId="0000006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Technology used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Performance</w:t>
            </w:r>
          </w:p>
        </w:tc>
        <w:tc>
          <w:tcPr/>
          <w:p w:rsidR="00000000" w:rsidDel="00000000" w:rsidP="00000000" w:rsidRDefault="00000000" w:rsidRPr="00000000" w14:paraId="0000006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Design consideration for the performance of the application (number of requests per sec, use of Cache, use of CDN’s) etc.</w:t>
            </w:r>
          </w:p>
        </w:tc>
        <w:tc>
          <w:tcPr/>
          <w:p w:rsidR="00000000" w:rsidDel="00000000" w:rsidP="00000000" w:rsidRDefault="00000000" w:rsidRPr="00000000" w14:paraId="0000006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Technology used</w:t>
            </w:r>
          </w:p>
        </w:tc>
      </w:tr>
    </w:tbl>
    <w:p w:rsidR="00000000" w:rsidDel="00000000" w:rsidP="00000000" w:rsidRDefault="00000000" w:rsidRPr="00000000" w14:paraId="0000006A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References:</w:t>
      </w:r>
    </w:p>
    <w:p w:rsidR="00000000" w:rsidDel="00000000" w:rsidP="00000000" w:rsidRDefault="00000000" w:rsidRPr="00000000" w14:paraId="0000006D">
      <w:pPr>
        <w:rPr>
          <w:rFonts w:ascii="Arial" w:cs="Arial" w:eastAsia="Arial" w:hAnsi="Arial"/>
          <w:b w:val="1"/>
          <w:bCs w:val="1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https://c4model.com/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Arial" w:cs="Arial" w:eastAsia="Arial" w:hAnsi="Arial"/>
          <w:b w:val="1"/>
          <w:bCs w:val="1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https://developer.ibm.com/patterns/online-order-processing-system-during-pandemic/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Arial" w:cs="Arial" w:eastAsia="Arial" w:hAnsi="Arial"/>
          <w:b w:val="1"/>
          <w:bCs w:val="1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https://www.ibm.com/cloud/architecture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Arial" w:cs="Arial" w:eastAsia="Arial" w:hAnsi="Arial"/>
          <w:b w:val="1"/>
          <w:bCs w:val="1"/>
        </w:rPr>
      </w:pP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https://aws.amazon.com/architecture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Arial" w:cs="Arial" w:eastAsia="Arial" w:hAnsi="Arial"/>
          <w:b w:val="1"/>
          <w:bCs w:val="1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https://medium.com/the-internal-startup/how-to-draw-useful-technical-architecture-diagrams-2d20c9fda90d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4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developer.ibm.com/patterns/online-order-processing-system-during-pandemic/" TargetMode="External"/><Relationship Id="rId10" Type="http://schemas.openxmlformats.org/officeDocument/2006/relationships/hyperlink" Target="https://c4model.com/" TargetMode="External"/><Relationship Id="rId13" Type="http://schemas.openxmlformats.org/officeDocument/2006/relationships/hyperlink" Target="https://aws.amazon.com/architecture" TargetMode="External"/><Relationship Id="rId12" Type="http://schemas.openxmlformats.org/officeDocument/2006/relationships/hyperlink" Target="https://www.ibm.com/cloud/architectur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medium.com/the-internal-startup/how-to-draw-useful-technical-architecture-diagrams-2d20c9fda90d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eveloper.ibm.com/patterns/ai-powered-backend-system-for-order-processing-during-pandemics/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1dWbWL23mNE6+9DnEE64mlYW/w==">CgMxLjA4AHIhMTA5SWIycTZYMnM4a193YjlBZGM5STFrZ2w4cVVDRGtD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