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Emma UI — Code Flow &amp; Architecture Reference</w:t>
      </w:r>
    </w:p>
    <w:p>
      <w:r>
        <w:rPr>
          <w:i/>
          <w:color w:val="595959"/>
          <w:sz w:val="20"/>
        </w:rPr>
        <w:t>HubSpot-Integration project · real HubSpot + QuickBooks + Groq/Anthropic data wired into the Emma UI prototype</w:t>
      </w:r>
    </w:p>
    <w:p>
      <w:pPr>
        <w:pStyle w:val="Heading1"/>
      </w:pPr>
      <w:r>
        <w:rPr>
          <w:color w:val="1A1A1A"/>
        </w:rPr>
        <w:t>1. Architecture</w:t>
      </w:r>
    </w:p>
    <w:p>
      <w:r>
        <w:rPr>
          <w:i w:val="0"/>
          <w:sz w:val="21"/>
        </w:rPr>
        <w:t>Three layers, no database. Two in-memory caches on the server (5-minute TTL); everything else lives in plain JS arrays in the browser tab and resets on reload.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5F5"/>
          </w:tcPr>
          <w:p>
            <w:r/>
            <w:r>
              <w:rPr>
                <w:rFonts w:ascii="Consolas" w:hAnsi="Consolas"/>
                <w:sz w:val="19"/>
              </w:rPr>
              <w:t>HubSpot  /  QuickBooks Online  /  Groq (or Anthropic)   ← external APIs</w:t>
            </w:r>
          </w:p>
          <w:p>
            <w:r>
              <w:rPr>
                <w:rFonts w:ascii="Consolas" w:hAnsi="Consolas"/>
                <w:sz w:val="19"/>
              </w:rPr>
              <w:t xml:space="preserve">        │</w:t>
            </w:r>
          </w:p>
          <w:p>
            <w:r>
              <w:rPr>
                <w:rFonts w:ascii="Consolas" w:hAnsi="Consolas"/>
                <w:sz w:val="19"/>
              </w:rPr>
              <w:t>integrations/_http.py, hubspot.py, qbo.py     ← thin API clients</w:t>
            </w:r>
          </w:p>
          <w:p>
            <w:r>
              <w:rPr>
                <w:rFonts w:ascii="Consolas" w:hAnsi="Consolas"/>
                <w:sz w:val="19"/>
              </w:rPr>
              <w:t>content_extractor.py, pdf_text.py             ← PDF → text → AI extraction</w:t>
            </w:r>
          </w:p>
          <w:p>
            <w:r>
              <w:rPr>
                <w:rFonts w:ascii="Consolas" w:hAnsi="Consolas"/>
                <w:sz w:val="19"/>
              </w:rPr>
              <w:t xml:space="preserve">        │</w:t>
            </w:r>
          </w:p>
          <w:p>
            <w:r>
              <w:rPr>
                <w:rFonts w:ascii="Consolas" w:hAnsi="Consolas"/>
                <w:sz w:val="19"/>
              </w:rPr>
              <w:t>ui/server.py                                  ← stdlib http.server, caches results,</w:t>
            </w:r>
          </w:p>
          <w:p>
            <w:r>
              <w:rPr>
                <w:rFonts w:ascii="Consolas" w:hAnsi="Consolas"/>
                <w:sz w:val="19"/>
              </w:rPr>
              <w:t xml:space="preserve">                                                 exposes JSON + PDF endpoints</w:t>
            </w:r>
          </w:p>
          <w:p>
            <w:r>
              <w:rPr>
                <w:rFonts w:ascii="Consolas" w:hAnsi="Consolas"/>
                <w:sz w:val="19"/>
              </w:rPr>
              <w:t xml:space="preserve">        │</w:t>
            </w:r>
          </w:p>
          <w:p>
            <w:r>
              <w:rPr>
                <w:rFonts w:ascii="Consolas" w:hAnsi="Consolas"/>
                <w:sz w:val="19"/>
              </w:rPr>
              <w:t>ui/emma_workspace.html                        ← static page, fetches from server.py,</w:t>
            </w:r>
          </w:p>
          <w:p>
            <w:r>
              <w:rPr>
                <w:rFonts w:ascii="Consolas" w:hAnsi="Consolas"/>
                <w:sz w:val="19"/>
              </w:rPr>
              <w:t xml:space="preserve">                                                 merges real data into the mock UI</w:t>
            </w:r>
          </w:p>
        </w:tc>
      </w:tr>
    </w:tbl>
    <w:p/>
    <w:p>
      <w:pPr>
        <w:pStyle w:val="Heading1"/>
      </w:pPr>
      <w:r>
        <w:rPr>
          <w:color w:val="1A1A1A"/>
        </w:rPr>
        <w:t>2. End-to-end Code Flow</w:t>
      </w:r>
    </w:p>
    <w:p>
      <w:pPr>
        <w:pStyle w:val="Heading2"/>
      </w:pPr>
      <w:r>
        <w:t>2.1  Extraction pipeline (backend, real data)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config.py:49  </w:t>
      </w:r>
      <w:r>
        <w:rPr>
          <w:rFonts w:ascii="Consolas" w:hAnsi="Consolas"/>
          <w:b/>
          <w:sz w:val="19"/>
        </w:rPr>
        <w:t>load_settings()</w:t>
      </w:r>
      <w:r>
        <w:rPr>
          <w:rFonts w:ascii="Calibri" w:hAnsi="Calibri"/>
          <w:sz w:val="20"/>
        </w:rPr>
        <w:t xml:space="preserve">  —  reads .env, returns a Settings dataclass (config.py:31)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integrations/hubspot.py:70  </w:t>
      </w:r>
      <w:r>
        <w:rPr>
          <w:rFonts w:ascii="Consolas" w:hAnsi="Consolas"/>
          <w:b/>
          <w:sz w:val="19"/>
        </w:rPr>
        <w:t>HubSpotClient.list_closed_deals()</w:t>
      </w:r>
      <w:r>
        <w:rPr>
          <w:rFonts w:ascii="Calibri" w:hAnsi="Calibri"/>
          <w:sz w:val="20"/>
        </w:rPr>
        <w:t xml:space="preserve">  —  returns Deal objects (hubspot.py:40), each with an agreement_ref (resolved at hubspot.py:181)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integrations/hubspot.py:116  </w:t>
      </w:r>
      <w:r>
        <w:rPr>
          <w:rFonts w:ascii="Consolas" w:hAnsi="Consolas"/>
          <w:b/>
          <w:sz w:val="19"/>
        </w:rPr>
        <w:t>get_agreement(ref)</w:t>
      </w:r>
      <w:r>
        <w:rPr>
          <w:rFonts w:ascii="Calibri" w:hAnsi="Calibri"/>
          <w:sz w:val="20"/>
        </w:rPr>
        <w:t xml:space="preserve">  —  downloads the real signed PDF bytes, returns an Agreement (hubspot.py:52)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pdf_text.py:47  </w:t>
      </w:r>
      <w:r>
        <w:rPr>
          <w:rFonts w:ascii="Consolas" w:hAnsi="Consolas"/>
          <w:b/>
          <w:sz w:val="19"/>
        </w:rPr>
        <w:t>extract_text(content)</w:t>
      </w:r>
      <w:r>
        <w:rPr>
          <w:rFonts w:ascii="Calibri" w:hAnsi="Calibri"/>
          <w:sz w:val="20"/>
        </w:rPr>
        <w:t xml:space="preserve">  —  pdfplumber text extraction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content_extractor.py:276  </w:t>
      </w:r>
      <w:r>
        <w:rPr>
          <w:rFonts w:ascii="Consolas" w:hAnsi="Consolas"/>
          <w:b/>
          <w:sz w:val="19"/>
        </w:rPr>
        <w:t>extract(text, settings)</w:t>
      </w:r>
      <w:r>
        <w:rPr>
          <w:rFonts w:ascii="Calibri" w:hAnsi="Calibri"/>
          <w:sz w:val="20"/>
        </w:rPr>
        <w:t xml:space="preserve">  —  main entry point — chunk, call the LLM, merge results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content_extractor.py:226  </w:t>
      </w:r>
      <w:r>
        <w:rPr>
          <w:rFonts w:ascii="Consolas" w:hAnsi="Consolas"/>
          <w:b/>
          <w:sz w:val="19"/>
        </w:rPr>
        <w:t>_split_into_chunks()</w:t>
      </w:r>
      <w:r>
        <w:rPr>
          <w:rFonts w:ascii="Calibri" w:hAnsi="Calibri"/>
          <w:sz w:val="20"/>
        </w:rPr>
        <w:t xml:space="preserve">  —  paragraph-aligned ≤ 16K-char chunks (keeps requests under Groq's free-tier TPM limit)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content_extractor.py:98  </w:t>
      </w:r>
      <w:r>
        <w:rPr>
          <w:rFonts w:ascii="Consolas" w:hAnsi="Consolas"/>
          <w:b/>
          <w:sz w:val="19"/>
        </w:rPr>
        <w:t>extract_groq()</w:t>
      </w:r>
      <w:r>
        <w:rPr>
          <w:rFonts w:ascii="Calibri" w:hAnsi="Calibri"/>
          <w:sz w:val="20"/>
        </w:rPr>
        <w:t xml:space="preserve">  —  live call — OpenAI-compatible chat completions endpoint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content_extractor.py:74  </w:t>
      </w:r>
      <w:r>
        <w:rPr>
          <w:rFonts w:ascii="Consolas" w:hAnsi="Consolas"/>
          <w:b/>
          <w:sz w:val="19"/>
        </w:rPr>
        <w:t>extract_anthropic()</w:t>
      </w:r>
      <w:r>
        <w:rPr>
          <w:rFonts w:ascii="Calibri" w:hAnsi="Calibri"/>
          <w:sz w:val="20"/>
        </w:rPr>
        <w:t xml:space="preserve">  —  live call — Anthropic Messages API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content_extractor.py:156  </w:t>
      </w:r>
      <w:r>
        <w:rPr>
          <w:rFonts w:ascii="Consolas" w:hAnsi="Consolas"/>
          <w:b/>
          <w:sz w:val="19"/>
        </w:rPr>
        <w:t>extract_heuristic()</w:t>
      </w:r>
      <w:r>
        <w:rPr>
          <w:rFonts w:ascii="Calibri" w:hAnsi="Calibri"/>
          <w:sz w:val="20"/>
        </w:rPr>
        <w:t xml:space="preserve">  —  regex-only fallback used when LLM_MODE=mock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content_extractor.py:253  </w:t>
      </w:r>
      <w:r>
        <w:rPr>
          <w:rFonts w:ascii="Consolas" w:hAnsi="Consolas"/>
          <w:b/>
          <w:sz w:val="19"/>
        </w:rPr>
        <w:t>_merge_results()</w:t>
      </w:r>
      <w:r>
        <w:rPr>
          <w:rFonts w:ascii="Calibri" w:hAnsi="Calibri"/>
          <w:sz w:val="20"/>
        </w:rPr>
        <w:t xml:space="preserve">  —  per field, keeps the highest-confidence non-null value across chunks</w:t>
      </w:r>
    </w:p>
    <w:p>
      <w:r>
        <w:rPr>
          <w:i w:val="0"/>
          <w:color w:val="595959"/>
          <w:sz w:val="20"/>
        </w:rPr>
        <w:t>Returns an ExtractionResult (content_extractor.py:68): a fields dict and a confidence dict, one entry per schema key.</w:t>
      </w:r>
    </w:p>
    <w:p>
      <w:pPr>
        <w:pStyle w:val="Heading2"/>
      </w:pPr>
      <w:r>
        <w:t>2.2  Server layer — shapes extraction into UI-ready JSON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ui/server.py:137  </w:t>
      </w:r>
      <w:r>
        <w:rPr>
          <w:rFonts w:ascii="Consolas" w:hAnsi="Consolas"/>
          <w:b/>
          <w:sz w:val="19"/>
        </w:rPr>
        <w:t>compute_deals()</w:t>
      </w:r>
      <w:r>
        <w:rPr>
          <w:rFonts w:ascii="Calibri" w:hAnsi="Calibri"/>
          <w:sz w:val="20"/>
        </w:rPr>
        <w:t xml:space="preserve">  —  orchestrates the whole extraction chain above, once per closed HubSpot deal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ui/server.py:99  </w:t>
      </w:r>
      <w:r>
        <w:rPr>
          <w:rFonts w:ascii="Consolas" w:hAnsi="Consolas"/>
          <w:b/>
          <w:sz w:val="19"/>
        </w:rPr>
        <w:t>_build_deal()</w:t>
      </w:r>
      <w:r>
        <w:rPr>
          <w:rFonts w:ascii="Calibri" w:hAnsi="Calibri"/>
          <w:sz w:val="20"/>
        </w:rPr>
        <w:t xml:space="preserve">  —  maps raw fields/confidence into the UI's exact shape: c, amt, terms, conf, lineItems, termMonths, autoRenew, agreementRef, contract{...}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ui/server.py:61  </w:t>
      </w:r>
      <w:r>
        <w:rPr>
          <w:rFonts w:ascii="Consolas" w:hAnsi="Consolas"/>
          <w:b/>
          <w:sz w:val="19"/>
        </w:rPr>
        <w:t>_build_line_items()</w:t>
      </w:r>
      <w:r>
        <w:rPr>
          <w:rFonts w:ascii="Calibri" w:hAnsi="Calibri"/>
          <w:sz w:val="20"/>
        </w:rPr>
        <w:t xml:space="preserve">  —  reshapes {description, quantity, unit_price, amount} → {desc, qty, unit, amount}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ui/server.py:81  </w:t>
      </w:r>
      <w:r>
        <w:rPr>
          <w:rFonts w:ascii="Consolas" w:hAnsi="Consolas"/>
          <w:b/>
          <w:sz w:val="19"/>
        </w:rPr>
        <w:t>_build_signatories()</w:t>
      </w:r>
      <w:r>
        <w:rPr>
          <w:rFonts w:ascii="Calibri" w:hAnsi="Calibri"/>
          <w:sz w:val="20"/>
        </w:rPr>
        <w:t xml:space="preserve">  —  formats the customer signatory — em-dash joined, not comma (avoids colliding with the UI's comma-separated-signatories edit convention)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ui/server.py:174  </w:t>
      </w:r>
      <w:r>
        <w:rPr>
          <w:rFonts w:ascii="Consolas" w:hAnsi="Consolas"/>
          <w:b/>
          <w:sz w:val="19"/>
        </w:rPr>
        <w:t>get_deals()</w:t>
      </w:r>
      <w:r>
        <w:rPr>
          <w:rFonts w:ascii="Calibri" w:hAnsi="Calibri"/>
          <w:sz w:val="20"/>
        </w:rPr>
        <w:t xml:space="preserve">  —  TTL-cached wrapper around compute_deals()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ui/server.py:195  </w:t>
      </w:r>
      <w:r>
        <w:rPr>
          <w:rFonts w:ascii="Consolas" w:hAnsi="Consolas"/>
          <w:b/>
          <w:sz w:val="19"/>
        </w:rPr>
        <w:t>compute_cash()</w:t>
      </w:r>
      <w:r>
        <w:rPr>
          <w:rFonts w:ascii="Calibri" w:hAnsi="Calibri"/>
          <w:sz w:val="20"/>
        </w:rPr>
        <w:t xml:space="preserve">  —  same pattern for QuickBooks — matched / unmatched / partial payment buckets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integrations/qbo.py:94  </w:t>
      </w:r>
      <w:r>
        <w:rPr>
          <w:rFonts w:ascii="Consolas" w:hAnsi="Consolas"/>
          <w:b/>
          <w:sz w:val="19"/>
        </w:rPr>
        <w:t>QboClient.list_payments_since()</w:t>
      </w:r>
      <w:r>
        <w:rPr>
          <w:rFonts w:ascii="Calibri" w:hAnsi="Calibri"/>
          <w:sz w:val="20"/>
        </w:rPr>
        <w:t xml:space="preserve">  —  real payments, each carrying QBO's own LinkedTxn (authoritative match, not a guess)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integrations/qbo.py:115  </w:t>
      </w:r>
      <w:r>
        <w:rPr>
          <w:rFonts w:ascii="Consolas" w:hAnsi="Consolas"/>
          <w:b/>
          <w:sz w:val="19"/>
        </w:rPr>
        <w:t>list_invoices()</w:t>
      </w:r>
      <w:r>
        <w:rPr>
          <w:rFonts w:ascii="Calibri" w:hAnsi="Calibri"/>
          <w:sz w:val="20"/>
        </w:rPr>
        <w:t xml:space="preserve">  —  real invoices — Balance vs TotalAmt drives the “partial” bucket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ui/server.py:254  </w:t>
      </w:r>
      <w:r>
        <w:rPr>
          <w:rFonts w:ascii="Consolas" w:hAnsi="Consolas"/>
          <w:b/>
          <w:sz w:val="19"/>
        </w:rPr>
        <w:t>get_cash()</w:t>
      </w:r>
      <w:r>
        <w:rPr>
          <w:rFonts w:ascii="Calibri" w:hAnsi="Calibri"/>
          <w:sz w:val="20"/>
        </w:rPr>
        <w:t xml:space="preserve">  —  TTL-cached wrapper around compute_cash()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ui/server.py:268  </w:t>
      </w:r>
      <w:r>
        <w:rPr>
          <w:rFonts w:ascii="Consolas" w:hAnsi="Consolas"/>
          <w:b/>
          <w:sz w:val="19"/>
        </w:rPr>
        <w:t>class Handler</w:t>
      </w:r>
      <w:r>
        <w:rPr>
          <w:rFonts w:ascii="Calibri" w:hAnsi="Calibri"/>
          <w:sz w:val="20"/>
        </w:rPr>
        <w:t xml:space="preserve">  —  stdlib BaseHTTPRequestHandler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ui/server.py:317  </w:t>
      </w:r>
      <w:r>
        <w:rPr>
          <w:rFonts w:ascii="Consolas" w:hAnsi="Consolas"/>
          <w:b/>
          <w:sz w:val="19"/>
        </w:rPr>
        <w:t>do_GET()</w:t>
      </w:r>
      <w:r>
        <w:rPr>
          <w:rFonts w:ascii="Calibri" w:hAnsi="Calibri"/>
          <w:sz w:val="20"/>
        </w:rPr>
        <w:t xml:space="preserve">  —  routes: /api/deals, /api/cash, /api/deals/&lt;id&gt;/pdf, static files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ui/server.py:282  </w:t>
      </w:r>
      <w:r>
        <w:rPr>
          <w:rFonts w:ascii="Consolas" w:hAnsi="Consolas"/>
          <w:b/>
          <w:sz w:val="19"/>
        </w:rPr>
        <w:t>_serve_deal_pdf()</w:t>
      </w:r>
      <w:r>
        <w:rPr>
          <w:rFonts w:ascii="Calibri" w:hAnsi="Calibri"/>
          <w:sz w:val="20"/>
        </w:rPr>
        <w:t xml:space="preserve">  —  re-fetches the real PDF bytes from HubSpot on demand — not cached</w:t>
      </w:r>
    </w:p>
    <w:p>
      <w:pPr>
        <w:pStyle w:val="Heading2"/>
      </w:pPr>
      <w:r>
        <w:t>2.3  Browser — merges real data into the mock UI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ui/emma_workspace.html:4693  </w:t>
      </w:r>
      <w:r>
        <w:rPr>
          <w:rFonts w:ascii="Consolas" w:hAnsi="Consolas"/>
          <w:b/>
          <w:sz w:val="19"/>
        </w:rPr>
        <w:t>loadRealDeals()</w:t>
      </w:r>
      <w:r>
        <w:rPr>
          <w:rFonts w:ascii="Calibri" w:hAnsi="Calibri"/>
          <w:sz w:val="20"/>
        </w:rPr>
        <w:t xml:space="preserve">  —  fetches /api/deals, dedupes, unshifts real deals into DEALS, re-renders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ui/emma_workspace.html:4717  </w:t>
      </w:r>
      <w:r>
        <w:rPr>
          <w:rFonts w:ascii="Consolas" w:hAnsi="Consolas"/>
          <w:b/>
          <w:sz w:val="19"/>
        </w:rPr>
        <w:t>loadRealCash()</w:t>
      </w:r>
      <w:r>
        <w:rPr>
          <w:rFonts w:ascii="Calibri" w:hAnsi="Calibri"/>
          <w:sz w:val="20"/>
        </w:rPr>
        <w:t xml:space="preserve">  —  same pattern for /api/cash → CASH_MATCHED / CASH_UNMATCHED / CASH_PARTIAL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ui/emma_workspace.html:2766  </w:t>
      </w:r>
      <w:r>
        <w:rPr>
          <w:rFonts w:ascii="Consolas" w:hAnsi="Consolas"/>
          <w:b/>
          <w:sz w:val="19"/>
        </w:rPr>
        <w:t>openDealDrawer(id, editMode)</w:t>
      </w:r>
      <w:r>
        <w:rPr>
          <w:rFonts w:ascii="Calibri" w:hAnsi="Calibri"/>
          <w:sz w:val="20"/>
        </w:rPr>
        <w:t xml:space="preserve">  —  the deal detail panel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ui/emma_workspace.html:2186  </w:t>
      </w:r>
      <w:r>
        <w:rPr>
          <w:rFonts w:ascii="Consolas" w:hAnsi="Consolas"/>
          <w:b/>
          <w:sz w:val="19"/>
        </w:rPr>
        <w:t>_dealLineItems()</w:t>
      </w:r>
      <w:r>
        <w:rPr>
          <w:rFonts w:ascii="Calibri" w:hAnsi="Calibri"/>
          <w:sz w:val="20"/>
        </w:rPr>
        <w:t xml:space="preserve">  —  honest empty array for real deals with nothing extracted — no fabricated split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ui/emma_workspace.html:2651  </w:t>
      </w:r>
      <w:r>
        <w:rPr>
          <w:rFonts w:ascii="Consolas" w:hAnsi="Consolas"/>
          <w:b/>
          <w:sz w:val="19"/>
        </w:rPr>
        <w:t>contractSectionHTML()</w:t>
      </w:r>
      <w:r>
        <w:rPr>
          <w:rFonts w:ascii="Calibri" w:hAnsi="Calibri"/>
          <w:sz w:val="20"/>
        </w:rPr>
        <w:t xml:space="preserve">  —  the Contract card — View PDF / Download / parties / signatories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ui/emma_workspace.html:1161  </w:t>
      </w:r>
      <w:r>
        <w:rPr>
          <w:rFonts w:ascii="Consolas" w:hAnsi="Consolas"/>
          <w:b/>
          <w:sz w:val="19"/>
        </w:rPr>
        <w:t>dealReviewStatus()</w:t>
      </w:r>
      <w:r>
        <w:rPr>
          <w:rFonts w:ascii="Calibri" w:hAnsi="Calibri"/>
          <w:sz w:val="20"/>
        </w:rPr>
        <w:t xml:space="preserve">  —  awaiting / approved / failed, gated at conf &lt; 0.85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ui/emma_workspace.html:2180  </w:t>
      </w:r>
      <w:r>
        <w:rPr>
          <w:rFonts w:ascii="Consolas" w:hAnsi="Consolas"/>
          <w:b/>
          <w:sz w:val="19"/>
        </w:rPr>
        <w:t>editDeal()</w:t>
      </w:r>
      <w:r>
        <w:rPr>
          <w:rFonts w:ascii="Calibri" w:hAnsi="Calibri"/>
          <w:sz w:val="20"/>
        </w:rPr>
        <w:t xml:space="preserve">  —  reopens the drawer in edit mode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ui/emma_workspace.html:2207  </w:t>
      </w:r>
      <w:r>
        <w:rPr>
          <w:rFonts w:ascii="Consolas" w:hAnsi="Consolas"/>
          <w:b/>
          <w:sz w:val="19"/>
        </w:rPr>
        <w:t>saveDealEdits()</w:t>
      </w:r>
      <w:r>
        <w:rPr>
          <w:rFonts w:ascii="Calibri" w:hAnsi="Calibri"/>
          <w:sz w:val="20"/>
        </w:rPr>
        <w:t xml:space="preserve">  —  reads every #edit-* input, writes back to DEALS, logs to AUDIT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ui/emma_workspace.html:2125  </w:t>
      </w:r>
      <w:r>
        <w:rPr>
          <w:rFonts w:ascii="Consolas" w:hAnsi="Consolas"/>
          <w:b/>
          <w:sz w:val="19"/>
        </w:rPr>
        <w:t>approveDeal()</w:t>
      </w:r>
      <w:r>
        <w:rPr>
          <w:rFonts w:ascii="Calibri" w:hAnsi="Calibri"/>
          <w:sz w:val="20"/>
        </w:rPr>
        <w:t xml:space="preserve">  —  for real deals, creates/updates a real invoice instead of just flipping a status flag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ui/emma_workspace.html:2071  </w:t>
      </w:r>
      <w:r>
        <w:rPr>
          <w:rFonts w:ascii="Consolas" w:hAnsi="Consolas"/>
          <w:b/>
          <w:sz w:val="19"/>
        </w:rPr>
        <w:t>createOrUpdateInvoiceFromDeal()</w:t>
      </w:r>
      <w:r>
        <w:rPr>
          <w:rFonts w:ascii="Calibri" w:hAnsi="Calibri"/>
          <w:sz w:val="20"/>
        </w:rPr>
        <w:t xml:space="preserve">  —  builds the Invoice Pipeline entry from the deal's (possibly edited) extracted terms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ui/emma_workspace.html:2059  </w:t>
      </w:r>
      <w:r>
        <w:rPr>
          <w:rFonts w:ascii="Consolas" w:hAnsi="Consolas"/>
          <w:b/>
          <w:sz w:val="19"/>
        </w:rPr>
        <w:t>_dueDateFromTerms()</w:t>
      </w:r>
      <w:r>
        <w:rPr>
          <w:rFonts w:ascii="Calibri" w:hAnsi="Calibri"/>
          <w:sz w:val="20"/>
        </w:rPr>
        <w:t xml:space="preserve">  —  parses “Net N” → a due date N days out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ui/emma_workspace.html:2110  </w:t>
      </w:r>
      <w:r>
        <w:rPr>
          <w:rFonts w:ascii="Consolas" w:hAnsi="Consolas"/>
          <w:b/>
          <w:sz w:val="19"/>
        </w:rPr>
        <w:t>sendRealInvoice()</w:t>
      </w:r>
      <w:r>
        <w:rPr>
          <w:rFonts w:ascii="Calibri" w:hAnsi="Calibri"/>
          <w:sz w:val="20"/>
        </w:rPr>
        <w:t xml:space="preserve">  —  moves an invoice from Draft → Sent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ui/emma_workspace.html:2699  </w:t>
      </w:r>
      <w:r>
        <w:rPr>
          <w:rFonts w:ascii="Consolas" w:hAnsi="Consolas"/>
          <w:b/>
          <w:sz w:val="19"/>
        </w:rPr>
        <w:t>openContractModal()</w:t>
      </w:r>
      <w:r>
        <w:rPr>
          <w:rFonts w:ascii="Calibri" w:hAnsi="Calibri"/>
          <w:sz w:val="20"/>
        </w:rPr>
        <w:t xml:space="preserve">  —  real deals get an &lt;iframe src="/api/deals/&lt;id&gt;/pdf"&gt;; mock deals keep the flattened text preview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ui/emma_workspace.html:2762  </w:t>
      </w:r>
      <w:r>
        <w:rPr>
          <w:rFonts w:ascii="Consolas" w:hAnsi="Consolas"/>
          <w:b/>
          <w:sz w:val="19"/>
        </w:rPr>
        <w:t>closeContractModal()</w:t>
      </w:r>
      <w:r>
        <w:rPr>
          <w:rFonts w:ascii="Calibri" w:hAnsi="Calibri"/>
          <w:sz w:val="20"/>
        </w:rPr>
        <w:t xml:space="preserve">  —  closes the PDF modal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ui/emma_workspace.html:2426  </w:t>
      </w:r>
      <w:r>
        <w:rPr>
          <w:rFonts w:ascii="Consolas" w:hAnsi="Consolas"/>
          <w:b/>
          <w:sz w:val="19"/>
        </w:rPr>
        <w:t>renderInvoicePipeline()</w:t>
      </w:r>
      <w:r>
        <w:rPr>
          <w:rFonts w:ascii="Calibri" w:hAnsi="Calibri"/>
          <w:sz w:val="20"/>
        </w:rPr>
        <w:t xml:space="preserve">  —  the Invoice Pipeline kanban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ui/emma_workspace.html:2450  </w:t>
      </w:r>
      <w:r>
        <w:rPr>
          <w:rFonts w:ascii="Consolas" w:hAnsi="Consolas"/>
          <w:b/>
          <w:sz w:val="19"/>
        </w:rPr>
        <w:t>invoiceCardHTML()</w:t>
      </w:r>
      <w:r>
        <w:rPr>
          <w:rFonts w:ascii="Calibri" w:hAnsi="Calibri"/>
          <w:sz w:val="20"/>
        </w:rPr>
        <w:t xml:space="preserve">  —  one kanban card — shows the Live badge for real invoices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ui/emma_workspace.html:2486  </w:t>
      </w:r>
      <w:r>
        <w:rPr>
          <w:rFonts w:ascii="Consolas" w:hAnsi="Consolas"/>
          <w:b/>
          <w:sz w:val="19"/>
        </w:rPr>
        <w:t>openInvoicePipelineDrawer()</w:t>
      </w:r>
      <w:r>
        <w:rPr>
          <w:rFonts w:ascii="Calibri" w:hAnsi="Calibri"/>
          <w:sz w:val="20"/>
        </w:rPr>
        <w:t xml:space="preserve">  —  the invoice detail drawer — Bill To, PDF preview, Send invoice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ui/emma_workspace.html:2299  </w:t>
      </w:r>
      <w:r>
        <w:rPr>
          <w:rFonts w:ascii="Consolas" w:hAnsi="Consolas"/>
          <w:b/>
          <w:sz w:val="19"/>
        </w:rPr>
        <w:t>renderCash()</w:t>
      </w:r>
      <w:r>
        <w:rPr>
          <w:rFonts w:ascii="Calibri" w:hAnsi="Calibri"/>
          <w:sz w:val="20"/>
        </w:rPr>
        <w:t xml:space="preserve">  —  the Cash Application table — also recomputes the live subtab counts on every render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ui/emma_workspace.html:3050  </w:t>
      </w:r>
      <w:r>
        <w:rPr>
          <w:rFonts w:ascii="Consolas" w:hAnsi="Consolas"/>
          <w:b/>
          <w:sz w:val="19"/>
        </w:rPr>
        <w:t>openPaymentDrawer()</w:t>
      </w:r>
      <w:r>
        <w:rPr>
          <w:rFonts w:ascii="Calibri" w:hAnsi="Calibri"/>
          <w:sz w:val="20"/>
        </w:rPr>
        <w:t xml:space="preserve">  —  a single matched/unmatched/partial payment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ui/emma_workspace.html:3080  </w:t>
      </w:r>
      <w:r>
        <w:rPr>
          <w:rFonts w:ascii="Consolas" w:hAnsi="Consolas"/>
          <w:b/>
          <w:sz w:val="19"/>
        </w:rPr>
        <w:t>reconciliationHTML()</w:t>
      </w:r>
      <w:r>
        <w:rPr>
          <w:rFonts w:ascii="Calibri" w:hAnsi="Calibri"/>
          <w:sz w:val="20"/>
        </w:rPr>
        <w:t xml:space="preserve">  —  the real “Matched by: QuickBooks LinkedTxn” label lives here</w:t>
      </w:r>
    </w:p>
    <w:p>
      <w:pPr>
        <w:pStyle w:val="Heading1"/>
      </w:pPr>
      <w:r>
        <w:rPr>
          <w:color w:val="1A1A1A"/>
        </w:rPr>
        <w:t>3. Supporting / shared helpers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ui/emma_workspace.html:1600  </w:t>
      </w:r>
      <w:r>
        <w:rPr>
          <w:rFonts w:ascii="Consolas" w:hAnsi="Consolas"/>
          <w:b/>
          <w:sz w:val="19"/>
        </w:rPr>
        <w:t>findDeal(id)</w:t>
      </w:r>
      <w:r>
        <w:rPr>
          <w:rFonts w:ascii="Calibri" w:hAnsi="Calibri"/>
          <w:sz w:val="20"/>
        </w:rPr>
        <w:t xml:space="preserve">  —  looks up a deal by id across all persona buckets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ui/emma_workspace.html:1570  </w:t>
      </w:r>
      <w:r>
        <w:rPr>
          <w:rFonts w:ascii="Consolas" w:hAnsi="Consolas"/>
          <w:b/>
          <w:sz w:val="19"/>
        </w:rPr>
        <w:t>getDeals()</w:t>
      </w:r>
      <w:r>
        <w:rPr>
          <w:rFonts w:ascii="Calibri" w:hAnsi="Calibri"/>
          <w:sz w:val="20"/>
        </w:rPr>
        <w:t xml:space="preserve">  —  returns the active client's deal array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ui/emma_workspace.html:1650  </w:t>
      </w:r>
      <w:r>
        <w:rPr>
          <w:rFonts w:ascii="Consolas" w:hAnsi="Consolas"/>
          <w:b/>
          <w:sz w:val="19"/>
        </w:rPr>
        <w:t>customerFor(inv)</w:t>
      </w:r>
      <w:r>
        <w:rPr>
          <w:rFonts w:ascii="Calibri" w:hAnsi="Calibri"/>
          <w:sz w:val="20"/>
        </w:rPr>
        <w:t xml:space="preserve">  —  resolves the real bill-to customer name for an invoice/payment row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ui/emma_workspace.html:1343  </w:t>
      </w:r>
      <w:r>
        <w:rPr>
          <w:rFonts w:ascii="Consolas" w:hAnsi="Consolas"/>
          <w:b/>
          <w:sz w:val="19"/>
        </w:rPr>
        <w:t>billToFor(customer)</w:t>
      </w:r>
      <w:r>
        <w:rPr>
          <w:rFonts w:ascii="Calibri" w:hAnsi="Calibri"/>
          <w:sz w:val="20"/>
        </w:rPr>
        <w:t xml:space="preserve">  —  builds the {name, addr, email} block for the invoice PDF preview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ui/emma_workspace.html:1242  </w:t>
      </w:r>
      <w:r>
        <w:rPr>
          <w:rFonts w:ascii="Consolas" w:hAnsi="Consolas"/>
          <w:b/>
          <w:sz w:val="19"/>
        </w:rPr>
        <w:t>sellerFor(dealId)</w:t>
      </w:r>
      <w:r>
        <w:rPr>
          <w:rFonts w:ascii="Calibri" w:hAnsi="Calibri"/>
          <w:sz w:val="20"/>
        </w:rPr>
        <w:t xml:space="preserve">  —  picks the seller identity by deal-id prefix (Rally / Trade Space / Halcyon)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ui/emma_workspace.html:1232  </w:t>
      </w:r>
      <w:r>
        <w:rPr>
          <w:rFonts w:ascii="Consolas" w:hAnsi="Consolas"/>
          <w:b/>
          <w:sz w:val="19"/>
        </w:rPr>
        <w:t>money(n)</w:t>
      </w:r>
      <w:r>
        <w:rPr>
          <w:rFonts w:ascii="Calibri" w:hAnsi="Calibri"/>
          <w:sz w:val="20"/>
        </w:rPr>
        <w:t xml:space="preserve">  —  currency formatting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ui/emma_workspace.html:1425  </w:t>
      </w:r>
      <w:r>
        <w:rPr>
          <w:rFonts w:ascii="Consolas" w:hAnsi="Consolas"/>
          <w:b/>
          <w:sz w:val="19"/>
        </w:rPr>
        <w:t>nowStamp()</w:t>
      </w:r>
      <w:r>
        <w:rPr>
          <w:rFonts w:ascii="Calibri" w:hAnsi="Calibri"/>
          <w:sz w:val="20"/>
        </w:rPr>
        <w:t xml:space="preserve">  —  fixed demo clock used for audit timestamps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integrations/_http.py:43  </w:t>
      </w:r>
      <w:r>
        <w:rPr>
          <w:rFonts w:ascii="Consolas" w:hAnsi="Consolas"/>
          <w:b/>
          <w:sz w:val="19"/>
        </w:rPr>
        <w:t>request()</w:t>
      </w:r>
      <w:r>
        <w:rPr>
          <w:rFonts w:ascii="Calibri" w:hAnsi="Calibri"/>
          <w:sz w:val="20"/>
        </w:rPr>
        <w:t xml:space="preserve">  —  shared JSON / form-urlencoded HTTP helper with retry + backoff, used by every integration client</w:t>
      </w:r>
    </w:p>
    <w:p>
      <w:pPr>
        <w:spacing w:after="120"/>
      </w:pPr>
      <w:r>
        <w:rPr>
          <w:rFonts w:ascii="Consolas" w:hAnsi="Consolas"/>
          <w:color w:val="2F5496"/>
          <w:sz w:val="19"/>
        </w:rPr>
        <w:t xml:space="preserve">integrations/qbo.py:54  </w:t>
      </w:r>
      <w:r>
        <w:rPr>
          <w:rFonts w:ascii="Consolas" w:hAnsi="Consolas"/>
          <w:b/>
          <w:sz w:val="19"/>
        </w:rPr>
        <w:t>_ensure_token()</w:t>
      </w:r>
      <w:r>
        <w:rPr>
          <w:rFonts w:ascii="Calibri" w:hAnsi="Calibri"/>
          <w:sz w:val="20"/>
        </w:rPr>
        <w:t xml:space="preserve">  —  OAuth refresh-token flow for QuickBooks (Basic-auth header + form-urlencoded body)</w:t>
      </w:r>
    </w:p>
    <w:p>
      <w:r>
        <w:br w:type="page"/>
      </w:r>
    </w:p>
    <w:p>
      <w:pPr>
        <w:pStyle w:val="Heading1"/>
      </w:pPr>
      <w:r>
        <w:rPr>
          <w:color w:val="1A1A1A"/>
        </w:rPr>
        <w:t>4. File Index</w:t>
      </w:r>
    </w:p>
    <w:p>
      <w:r>
        <w:rPr>
          <w:i w:val="0"/>
          <w:sz w:val="21"/>
        </w:rPr>
        <w:t>Every top-level function/class in each backend file, for quick scanning.</w:t>
      </w:r>
    </w:p>
    <w:p>
      <w:pPr>
        <w:pStyle w:val="Heading3"/>
      </w:pPr>
      <w:r>
        <w:t>config.py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EDEDED"/>
          </w:tcPr>
          <w:p>
            <w:r>
              <w:rPr>
                <w:b/>
                <w:sz w:val="20"/>
              </w:rPr>
              <w:t>Line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68"/>
            <w:shd w:val="clear" w:color="auto" w:fill="EDEDED"/>
          </w:tcPr>
          <w:p>
            <w:r>
              <w:rPr>
                <w:b/>
                <w:sz w:val="20"/>
              </w:rPr>
              <w:t>Kind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13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_load_dotenv()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25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_env()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31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Settings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dataclass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49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load_settings()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</w:tbl>
    <w:p>
      <w:pPr>
        <w:pStyle w:val="Heading3"/>
      </w:pPr>
      <w:r>
        <w:t>integrations/_http.py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EDEDED"/>
          </w:tcPr>
          <w:p>
            <w:r>
              <w:rPr>
                <w:b/>
                <w:sz w:val="20"/>
              </w:rPr>
              <w:t>Line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68"/>
            <w:shd w:val="clear" w:color="auto" w:fill="EDEDED"/>
          </w:tcPr>
          <w:p>
            <w:r>
              <w:rPr>
                <w:b/>
                <w:sz w:val="20"/>
              </w:rPr>
              <w:t>Kind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HttpError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exception class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34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_sleep_for()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43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request()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</w:tbl>
    <w:p>
      <w:pPr>
        <w:pStyle w:val="Heading3"/>
      </w:pPr>
      <w:r>
        <w:t>integrations/hubspot.py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EDEDED"/>
          </w:tcPr>
          <w:p>
            <w:r>
              <w:rPr>
                <w:b/>
                <w:sz w:val="20"/>
              </w:rPr>
              <w:t>Line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68"/>
            <w:shd w:val="clear" w:color="auto" w:fill="EDEDED"/>
          </w:tcPr>
          <w:p>
            <w:r>
              <w:rPr>
                <w:b/>
                <w:sz w:val="20"/>
              </w:rPr>
              <w:t>Kind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35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NoAgreementFound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exception class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40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Deal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dataclass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52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Agreement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dataclass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59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_to_millis()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66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HubSpotClient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class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70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.list_closed_deals()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90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.get_deal()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116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.get_agreement()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154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.write_deal_property()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163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._company()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171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._billing_email()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181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._resolve_agreement_ref()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</w:tbl>
    <w:p>
      <w:pPr>
        <w:pStyle w:val="Heading3"/>
      </w:pPr>
      <w:r>
        <w:t>integrations/qbo.py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EDEDED"/>
          </w:tcPr>
          <w:p>
            <w:r>
              <w:rPr>
                <w:b/>
                <w:sz w:val="20"/>
              </w:rPr>
              <w:t>Line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68"/>
            <w:shd w:val="clear" w:color="auto" w:fill="EDEDED"/>
          </w:tcPr>
          <w:p>
            <w:r>
              <w:rPr>
                <w:b/>
                <w:sz w:val="20"/>
              </w:rPr>
              <w:t>Kind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32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QboPayment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dataclass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43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QboClient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class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54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._ensure_token()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75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._h()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79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._get()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89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._query()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94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.list_payments_since()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106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.get_payment()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110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.get_invoice_balance()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115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.list_invoices()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122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._invoice_docnumber()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134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._to_payment()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</w:tbl>
    <w:p>
      <w:pPr>
        <w:pStyle w:val="Heading3"/>
      </w:pPr>
      <w:r>
        <w:t>pdf_text.py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EDEDED"/>
          </w:tcPr>
          <w:p>
            <w:r>
              <w:rPr>
                <w:b/>
                <w:sz w:val="20"/>
              </w:rPr>
              <w:t>Line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68"/>
            <w:shd w:val="clear" w:color="auto" w:fill="EDEDED"/>
          </w:tcPr>
          <w:p>
            <w:r>
              <w:rPr>
                <w:b/>
                <w:sz w:val="20"/>
              </w:rPr>
              <w:t>Kind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28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_looks_like_pdf()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32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_try_pdfplumber()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47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extract_text()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</w:tbl>
    <w:p>
      <w:pPr>
        <w:pStyle w:val="Heading3"/>
      </w:pPr>
      <w:r>
        <w:t>content_extractor.py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EDEDED"/>
          </w:tcPr>
          <w:p>
            <w:r>
              <w:rPr>
                <w:b/>
                <w:sz w:val="20"/>
              </w:rPr>
              <w:t>Line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68"/>
            <w:shd w:val="clear" w:color="auto" w:fill="EDEDED"/>
          </w:tcPr>
          <w:p>
            <w:r>
              <w:rPr>
                <w:b/>
                <w:sz w:val="20"/>
              </w:rPr>
              <w:t>Kind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68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ExtractionResult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dataclass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74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extract_anthropic()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98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extract_groq()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124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_extract_json()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145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_parse_date()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156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extract_heuristic()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226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_split_into_chunks()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253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_merge_results()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276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extract()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</w:tbl>
    <w:p>
      <w:pPr>
        <w:pStyle w:val="Heading3"/>
      </w:pPr>
      <w:r>
        <w:t>ui/server.py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EDEDED"/>
          </w:tcPr>
          <w:p>
            <w:r>
              <w:rPr>
                <w:b/>
                <w:sz w:val="20"/>
              </w:rPr>
              <w:t>Line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68"/>
            <w:shd w:val="clear" w:color="auto" w:fill="EDEDED"/>
          </w:tcPr>
          <w:p>
            <w:r>
              <w:rPr>
                <w:b/>
                <w:sz w:val="20"/>
              </w:rPr>
              <w:t>Kind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44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_prio_for()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52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_fmt_signed_date()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61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_build_line_items()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81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_build_signatories()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99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_build_deal()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137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compute_deals()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174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get_deals()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188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_fmt_when()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195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compute_cash()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254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get_cash()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268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Handler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class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271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.log_message()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274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._send_json()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282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._serve_deal_pdf()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317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.do_GET()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method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362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main()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</w:tbl>
    <w:p>
      <w:pPr>
        <w:pStyle w:val="Heading3"/>
      </w:pPr>
      <w:r>
        <w:t>ui/emma_workspace.html — real-data-relevant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EDEDED"/>
          </w:tcPr>
          <w:p>
            <w:r>
              <w:rPr>
                <w:b/>
                <w:sz w:val="20"/>
              </w:rPr>
              <w:t>Line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68"/>
            <w:shd w:val="clear" w:color="auto" w:fill="EDEDED"/>
          </w:tcPr>
          <w:p>
            <w:r>
              <w:rPr>
                <w:b/>
                <w:sz w:val="20"/>
              </w:rPr>
              <w:t>Kind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1161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dealReviewStatus()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1232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money()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1242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sellerFor()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1343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billToFor()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1425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nowStamp()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1570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getDeals()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1600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findDeal()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1650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customerFor()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1996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renderPipeline()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2059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_dueDateFromTerms()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2071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createOrUpdateInvoiceFromDeal()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2110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sendRealInvoice()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2125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approveDeal()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2148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rejectDeal()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2180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editDeal()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2186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_dealLineItems()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2207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saveDealEdits()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2299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renderCash()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2426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renderInvoicePipeline()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2450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invoiceCardHTML()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2486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openInvoicePipelineDrawer()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2651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contractSectionHTML()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2699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openContractModal()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2762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closeContractModal()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2766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openDealDrawer()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3050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openPaymentDrawer()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3080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reconciliationHTML()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4693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loadRealDeals()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async function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Consolas" w:hAnsi="Consolas"/>
                <w:color w:val="2F5496"/>
                <w:sz w:val="19"/>
              </w:rPr>
              <w:t>4717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sz w:val="19"/>
              </w:rPr>
              <w:t>loadRealCash()</w:t>
            </w:r>
          </w:p>
        </w:tc>
        <w:tc>
          <w:tcPr>
            <w:tcW w:type="dxa" w:w="3168"/>
          </w:tcPr>
          <w:p>
            <w:r>
              <w:rPr>
                <w:color w:val="595959"/>
                <w:sz w:val="19"/>
              </w:rPr>
              <w:t>async function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