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Aptos Display" w:hAnsi="Aptos Display"/>
          <w:b/>
          <w:color w:val="A47E2D"/>
          <w:sz w:val="68"/>
        </w:rPr>
        <w:t>PHISHGUARD</w:t>
      </w:r>
    </w:p>
    <w:p>
      <w:pPr>
        <w:jc w:val="center"/>
      </w:pPr>
      <w:r>
        <w:rPr>
          <w:b/>
          <w:sz w:val="36"/>
        </w:rPr>
        <w:t>Phishing Website Detection Using Machine Learning</w:t>
      </w:r>
    </w:p>
    <w:p>
      <w:pPr>
        <w:jc w:val="center"/>
      </w:pPr>
      <w:r>
        <w:t>AE013 ? Software Project Documentation</w:t>
        <w:br/>
        <w:t>Final local integration report</w:t>
        <w:br/>
        <w:t>1 October 2026</w:t>
      </w:r>
    </w:p>
    <w:p>
      <w:r>
        <w:br w:type="page"/>
      </w:r>
    </w:p>
    <w:p>
      <w:pPr>
        <w:pStyle w:val="Heading1"/>
      </w:pPr>
      <w:r>
        <w:t>1. Executive Summary</w:t>
      </w:r>
    </w:p>
    <w:p>
      <w:r>
        <w:t>PhishGuard analyzes submitted URLs using the existing Random Forest as its primary phishing detector, then combines ML evidence with URL structure, DNS, TLS, and risk-engine results. Supporting Information Retrieval (IR) components score URL terms, rank URLs in a local project graph, and retrieve similar historical URLs. IR does not replace the classifier or change the risk formula.</w:t>
      </w:r>
    </w:p>
    <w:p>
      <w:pPr>
        <w:pStyle w:val="Heading1"/>
      </w:pPr>
      <w:r>
        <w:t>2. Problem and Objectives</w:t>
      </w:r>
    </w:p>
    <w:p>
      <w:r>
        <w:t>Problem statement AE013: Phishing Website Detection Using Machine Learning. The system validates URL input, extracts the model's trained URL features, classifies the URL, runs supporting security checks, stores valid scans, and presents a result and explanation.</w:t>
      </w:r>
    </w:p>
    <w:p>
      <w:r>
        <w:t>- Preserve the existing trained Random Forest model and its feature contract.</w:t>
      </w:r>
    </w:p>
    <w:p>
      <w:r>
        <w:t>- Reject malformed URL input without stale results or invalid history records.</w:t>
      </w:r>
    </w:p>
    <w:p>
      <w:r>
        <w:t>- Provide DNS, TLS, and URL-security evidence alongside?not instead of?the ML prediction.</w:t>
      </w:r>
    </w:p>
    <w:p>
      <w:r>
        <w:t>- Demonstrate IR concepts from Units IV, V, and VI using local project data.</w:t>
      </w:r>
    </w:p>
    <w:p>
      <w:pPr>
        <w:pStyle w:val="Heading1"/>
      </w:pPr>
      <w:r>
        <w:t>3. Team Responsibilities</w:t>
      </w:r>
    </w:p>
    <w:tbl>
      <w:tblPr>
        <w:tblStyle w:val="TableGrid"/>
        <w:tblW w:type="auto" w:w="0"/>
        <w:jc w:val="center"/>
        <w:tblLook w:firstColumn="1" w:firstRow="1" w:lastColumn="0" w:lastRow="0" w:noHBand="0" w:noVBand="1" w:val="04A0"/>
      </w:tblPr>
      <w:tblGrid>
        <w:gridCol w:w="4968"/>
        <w:gridCol w:w="4968"/>
      </w:tblGrid>
      <w:tr>
        <w:tc>
          <w:tcPr>
            <w:tcW w:type="dxa" w:w="4968"/>
            <w:shd w:fill="252629"/>
          </w:tcPr>
          <w:p>
            <w:r>
              <w:rPr>
                <w:b/>
                <w:color w:val="EFD38F"/>
                <w:sz w:val="18"/>
              </w:rPr>
              <w:t>Owner</w:t>
            </w:r>
          </w:p>
        </w:tc>
        <w:tc>
          <w:tcPr>
            <w:tcW w:type="dxa" w:w="4968"/>
            <w:shd w:fill="252629"/>
          </w:tcPr>
          <w:p>
            <w:r>
              <w:rPr>
                <w:b/>
                <w:color w:val="EFD38F"/>
                <w:sz w:val="18"/>
              </w:rPr>
              <w:t>Responsibilities</w:t>
            </w:r>
          </w:p>
        </w:tc>
      </w:tr>
      <w:tr>
        <w:tc>
          <w:tcPr>
            <w:tcW w:type="dxa" w:w="4968"/>
          </w:tcPr>
          <w:p>
            <w:r>
              <w:rPr>
                <w:sz w:val="18"/>
              </w:rPr>
              <w:t>Chandan</w:t>
            </w:r>
          </w:p>
        </w:tc>
        <w:tc>
          <w:tcPr>
            <w:tcW w:type="dxa" w:w="4968"/>
          </w:tcPr>
          <w:p>
            <w:r>
              <w:rPr>
                <w:sz w:val="18"/>
              </w:rPr>
              <w:t>Frontend, IR Units IV/V/VI, frontend integration, tests, README, and project documentation.</w:t>
            </w:r>
          </w:p>
        </w:tc>
      </w:tr>
      <w:tr>
        <w:tc>
          <w:tcPr>
            <w:tcW w:type="dxa" w:w="4968"/>
          </w:tcPr>
          <w:p>
            <w:r>
              <w:rPr>
                <w:sz w:val="18"/>
              </w:rPr>
              <w:t>Raj</w:t>
            </w:r>
          </w:p>
        </w:tc>
        <w:tc>
          <w:tcPr>
            <w:tcW w:type="dxa" w:w="4968"/>
          </w:tcPr>
          <w:p>
            <w:r>
              <w:rPr>
                <w:sz w:val="18"/>
              </w:rPr>
              <w:t>FastAPI backend, database, risk engine, DNS, SSL, URL security, and backend security.</w:t>
            </w:r>
          </w:p>
        </w:tc>
      </w:tr>
      <w:tr>
        <w:tc>
          <w:tcPr>
            <w:tcW w:type="dxa" w:w="4968"/>
          </w:tcPr>
          <w:p>
            <w:r>
              <w:rPr>
                <w:sz w:val="18"/>
              </w:rPr>
              <w:t>Sumit</w:t>
            </w:r>
          </w:p>
        </w:tc>
        <w:tc>
          <w:tcPr>
            <w:tcW w:type="dxa" w:w="4968"/>
          </w:tcPr>
          <w:p>
            <w:r>
              <w:rPr>
                <w:sz w:val="18"/>
              </w:rPr>
              <w:t>Dataset, Random Forest, training/evaluation, and ML feature extraction.</w:t>
            </w:r>
          </w:p>
        </w:tc>
      </w:tr>
    </w:tbl>
    <w:p/>
    <w:p>
      <w:pPr>
        <w:pStyle w:val="Heading1"/>
      </w:pPr>
      <w:r>
        <w:t>4. Architecture and Workflow</w:t>
      </w:r>
    </w:p>
    <w:p>
      <w:r>
        <w:t>Browser URL input -&gt; syntax validation -&gt; POST /api/v1/scan -&gt; backend URL validation -&gt; feature extraction -&gt; Random Forest -&gt; DNS/TLS/URL-security checks -&gt; existing risk engine -&gt; local IR analysis -&gt; SQLite persistence -&gt; response and frontend report.</w:t>
      </w:r>
    </w:p>
    <w:p>
      <w:r>
        <w:t>An IR component failure returns an unavailable status and does not fail the primary scan. Submitted pages are not crawled, downloaded, or executed; the existing DNS and TLS checks make bounded network connections to validated public addresses.</w:t>
      </w:r>
    </w:p>
    <w:p>
      <w:pPr>
        <w:pStyle w:val="Heading1"/>
      </w:pPr>
      <w:r>
        <w:t>5. Technologies and Components</w:t>
      </w:r>
    </w:p>
    <w:tbl>
      <w:tblPr>
        <w:tblStyle w:val="TableGrid"/>
        <w:tblW w:type="auto" w:w="0"/>
        <w:jc w:val="center"/>
        <w:tblLook w:firstColumn="1" w:firstRow="1" w:lastColumn="0" w:lastRow="0" w:noHBand="0" w:noVBand="1" w:val="04A0"/>
      </w:tblPr>
      <w:tblGrid>
        <w:gridCol w:w="4968"/>
        <w:gridCol w:w="4968"/>
      </w:tblGrid>
      <w:tr>
        <w:tc>
          <w:tcPr>
            <w:tcW w:type="dxa" w:w="4968"/>
            <w:shd w:fill="252629"/>
          </w:tcPr>
          <w:p>
            <w:r>
              <w:rPr>
                <w:b/>
                <w:color w:val="EFD38F"/>
                <w:sz w:val="18"/>
              </w:rPr>
              <w:t>Area</w:t>
            </w:r>
          </w:p>
        </w:tc>
        <w:tc>
          <w:tcPr>
            <w:tcW w:type="dxa" w:w="4968"/>
            <w:shd w:fill="252629"/>
          </w:tcPr>
          <w:p>
            <w:r>
              <w:rPr>
                <w:b/>
                <w:color w:val="EFD38F"/>
                <w:sz w:val="18"/>
              </w:rPr>
              <w:t>Implementation</w:t>
            </w:r>
          </w:p>
        </w:tc>
      </w:tr>
      <w:tr>
        <w:tc>
          <w:tcPr>
            <w:tcW w:type="dxa" w:w="4968"/>
          </w:tcPr>
          <w:p>
            <w:r>
              <w:rPr>
                <w:sz w:val="18"/>
              </w:rPr>
              <w:t>Frontend</w:t>
            </w:r>
          </w:p>
        </w:tc>
        <w:tc>
          <w:tcPr>
            <w:tcW w:type="dxa" w:w="4968"/>
          </w:tcPr>
          <w:p>
            <w:r>
              <w:rPr>
                <w:sz w:val="18"/>
              </w:rPr>
              <w:t>Static HTML/CSS/JavaScript; responsive dark charcoal and gold dashboard.</w:t>
            </w:r>
          </w:p>
        </w:tc>
      </w:tr>
      <w:tr>
        <w:tc>
          <w:tcPr>
            <w:tcW w:type="dxa" w:w="4968"/>
          </w:tcPr>
          <w:p>
            <w:r>
              <w:rPr>
                <w:sz w:val="18"/>
              </w:rPr>
              <w:t>API</w:t>
            </w:r>
          </w:p>
        </w:tc>
        <w:tc>
          <w:tcPr>
            <w:tcW w:type="dxa" w:w="4968"/>
          </w:tcPr>
          <w:p>
            <w:r>
              <w:rPr>
                <w:sz w:val="18"/>
              </w:rPr>
              <w:t>FastAPI, Pydantic, Uvicorn, CORS.</w:t>
            </w:r>
          </w:p>
        </w:tc>
      </w:tr>
      <w:tr>
        <w:tc>
          <w:tcPr>
            <w:tcW w:type="dxa" w:w="4968"/>
          </w:tcPr>
          <w:p>
            <w:r>
              <w:rPr>
                <w:sz w:val="18"/>
              </w:rPr>
              <w:t>ML</w:t>
            </w:r>
          </w:p>
        </w:tc>
        <w:tc>
          <w:tcPr>
            <w:tcW w:type="dxa" w:w="4968"/>
          </w:tcPr>
          <w:p>
            <w:r>
              <w:rPr>
                <w:sz w:val="18"/>
              </w:rPr>
              <w:t>Existing joblib Random Forest: models/random_forest_url_final.joblib.</w:t>
            </w:r>
          </w:p>
        </w:tc>
      </w:tr>
      <w:tr>
        <w:tc>
          <w:tcPr>
            <w:tcW w:type="dxa" w:w="4968"/>
          </w:tcPr>
          <w:p>
            <w:r>
              <w:rPr>
                <w:sz w:val="18"/>
              </w:rPr>
              <w:t>Features</w:t>
            </w:r>
          </w:p>
        </w:tc>
        <w:tc>
          <w:tcPr>
            <w:tcW w:type="dxa" w:w="4968"/>
          </w:tcPr>
          <w:p>
            <w:r>
              <w:rPr>
                <w:sz w:val="18"/>
              </w:rPr>
              <w:t>Sumit's 25 URL-only feature columns aligned to the trained model order; tldextract uses bundled suffix data offline.</w:t>
            </w:r>
          </w:p>
        </w:tc>
      </w:tr>
      <w:tr>
        <w:tc>
          <w:tcPr>
            <w:tcW w:type="dxa" w:w="4968"/>
          </w:tcPr>
          <w:p>
            <w:r>
              <w:rPr>
                <w:sz w:val="18"/>
              </w:rPr>
              <w:t>Security</w:t>
            </w:r>
          </w:p>
        </w:tc>
        <w:tc>
          <w:tcPr>
            <w:tcW w:type="dxa" w:w="4968"/>
          </w:tcPr>
          <w:p>
            <w:r>
              <w:rPr>
                <w:sz w:val="18"/>
              </w:rPr>
              <w:t>URL validation, DNS, certificate-verified TLS, URL structure signals, hybrid risk engine.</w:t>
            </w:r>
          </w:p>
        </w:tc>
      </w:tr>
      <w:tr>
        <w:tc>
          <w:tcPr>
            <w:tcW w:type="dxa" w:w="4968"/>
          </w:tcPr>
          <w:p>
            <w:r>
              <w:rPr>
                <w:sz w:val="18"/>
              </w:rPr>
              <w:t>Persistence</w:t>
            </w:r>
          </w:p>
        </w:tc>
        <w:tc>
          <w:tcPr>
            <w:tcW w:type="dxa" w:w="4968"/>
          </w:tcPr>
          <w:p>
            <w:r>
              <w:rPr>
                <w:sz w:val="18"/>
              </w:rPr>
              <w:t>SQLite scan_history; GET /api/v1/history.</w:t>
            </w:r>
          </w:p>
        </w:tc>
      </w:tr>
      <w:tr>
        <w:tc>
          <w:tcPr>
            <w:tcW w:type="dxa" w:w="4968"/>
          </w:tcPr>
          <w:p>
            <w:r>
              <w:rPr>
                <w:sz w:val="18"/>
              </w:rPr>
              <w:t>IR</w:t>
            </w:r>
          </w:p>
        </w:tc>
        <w:tc>
          <w:tcPr>
            <w:tcW w:type="dxa" w:w="4968"/>
          </w:tcPr>
          <w:p>
            <w:r>
              <w:rPr>
                <w:sz w:val="18"/>
              </w:rPr>
              <w:t>Smoothed multinomial language model, local PageRank, and TF-IDF/cosine retrieval.</w:t>
            </w:r>
          </w:p>
        </w:tc>
      </w:tr>
    </w:tbl>
    <w:p/>
    <w:p>
      <w:pPr>
        <w:pStyle w:val="Heading1"/>
      </w:pPr>
      <w:r>
        <w:t>6. Random Forest and Feature Extraction</w:t>
      </w:r>
    </w:p>
    <w:p>
      <w:r>
        <w:t>The existing model remains the primary classifier and was neither replaced nor retrained. It is loaded from models/random_forest_url_final.joblib. The model schema test verifies 25 extractor outputs in the exact feature_names_in_ order. The model code maps class 0 to phishing and class 1 to legitimate and uses a 0.95 phishing-probability threshold. Confidence refers to the selected ML class, not confidence in the hybrid risk verdict.</w:t>
      </w:r>
    </w:p>
    <w:p>
      <w:r>
        <w:t>The local extractor was aligned with Sumit's branch implementation after comparison found different feature values despite identical column names. tldextract is configured with its bundled suffix snapshot, so inference does not fetch a suffix list. The current workspace does not include Sumit's training dataset or training scripts; the serialized model is available, but full retraining is not reproducible from this checkout alone.</w:t>
      </w:r>
    </w:p>
    <w:p>
      <w:r>
        <w:t>No model accuracy or benchmark is claimed. During this integration the serialized estimator emitted a warning that it was saved under scikit-learn 1.9.1 and is being loaded under 1.9.0; current tests and scans passed.</w:t>
      </w:r>
    </w:p>
    <w:p>
      <w:pPr>
        <w:pStyle w:val="Heading1"/>
      </w:pPr>
      <w:r>
        <w:t>7. Security Checks and Risk Assessment</w:t>
      </w:r>
    </w:p>
    <w:tbl>
      <w:tblPr>
        <w:tblStyle w:val="TableGrid"/>
        <w:tblW w:type="auto" w:w="0"/>
        <w:jc w:val="center"/>
        <w:tblLook w:firstColumn="1" w:firstRow="1" w:lastColumn="0" w:lastRow="0" w:noHBand="0" w:noVBand="1" w:val="04A0"/>
      </w:tblPr>
      <w:tblGrid>
        <w:gridCol w:w="4968"/>
        <w:gridCol w:w="4968"/>
      </w:tblGrid>
      <w:tr>
        <w:tc>
          <w:tcPr>
            <w:tcW w:type="dxa" w:w="4968"/>
            <w:shd w:fill="252629"/>
          </w:tcPr>
          <w:p>
            <w:r>
              <w:rPr>
                <w:b/>
                <w:color w:val="EFD38F"/>
                <w:sz w:val="18"/>
              </w:rPr>
              <w:t>Check</w:t>
            </w:r>
          </w:p>
        </w:tc>
        <w:tc>
          <w:tcPr>
            <w:tcW w:type="dxa" w:w="4968"/>
            <w:shd w:fill="252629"/>
          </w:tcPr>
          <w:p>
            <w:r>
              <w:rPr>
                <w:b/>
                <w:color w:val="EFD38F"/>
                <w:sz w:val="18"/>
              </w:rPr>
              <w:t>Behavior</w:t>
            </w:r>
          </w:p>
        </w:tc>
      </w:tr>
      <w:tr>
        <w:tc>
          <w:tcPr>
            <w:tcW w:type="dxa" w:w="4968"/>
          </w:tcPr>
          <w:p>
            <w:r>
              <w:rPr>
                <w:sz w:val="18"/>
              </w:rPr>
              <w:t>Validation</w:t>
            </w:r>
          </w:p>
        </w:tc>
        <w:tc>
          <w:tcPr>
            <w:tcW w:type="dxa" w:w="4968"/>
          </w:tcPr>
          <w:p>
            <w:r>
              <w:rPr>
                <w:sz w:val="18"/>
              </w:rPr>
              <w:t>Malformed host such as hello is rejected with HTTP 400; frontend clears prior scan state.</w:t>
            </w:r>
          </w:p>
        </w:tc>
      </w:tr>
      <w:tr>
        <w:tc>
          <w:tcPr>
            <w:tcW w:type="dxa" w:w="4968"/>
          </w:tcPr>
          <w:p>
            <w:r>
              <w:rPr>
                <w:sz w:val="18"/>
              </w:rPr>
              <w:t>DNS</w:t>
            </w:r>
          </w:p>
        </w:tc>
        <w:tc>
          <w:tcPr>
            <w:tcW w:type="dxa" w:w="4968"/>
          </w:tcPr>
          <w:p>
            <w:r>
              <w:rPr>
                <w:sz w:val="18"/>
              </w:rPr>
              <w:t>Resolves names and rejects non-public/private address results.</w:t>
            </w:r>
          </w:p>
        </w:tc>
      </w:tr>
      <w:tr>
        <w:tc>
          <w:tcPr>
            <w:tcW w:type="dxa" w:w="4968"/>
          </w:tcPr>
          <w:p>
            <w:r>
              <w:rPr>
                <w:sz w:val="18"/>
              </w:rPr>
              <w:t>TLS/SSL</w:t>
            </w:r>
          </w:p>
        </w:tc>
        <w:tc>
          <w:tcPr>
            <w:tcW w:type="dxa" w:w="4968"/>
          </w:tcPr>
          <w:p>
            <w:r>
              <w:rPr>
                <w:sz w:val="18"/>
              </w:rPr>
              <w:t>Verifies certificates and hostname SNI; connection is pinned to a validated public address.</w:t>
            </w:r>
          </w:p>
        </w:tc>
      </w:tr>
      <w:tr>
        <w:tc>
          <w:tcPr>
            <w:tcW w:type="dxa" w:w="4968"/>
          </w:tcPr>
          <w:p>
            <w:r>
              <w:rPr>
                <w:sz w:val="18"/>
              </w:rPr>
              <w:t>URL security</w:t>
            </w:r>
          </w:p>
        </w:tc>
        <w:tc>
          <w:tcPr>
            <w:tcW w:type="dxa" w:w="4968"/>
          </w:tcPr>
          <w:p>
            <w:r>
              <w:rPr>
                <w:sz w:val="18"/>
              </w:rPr>
              <w:t>Reports IP, @, encoding, subdomain, length, digit, and suspicious-keyword indicators.</w:t>
            </w:r>
          </w:p>
        </w:tc>
      </w:tr>
    </w:tbl>
    <w:p/>
    <w:p>
      <w:r>
        <w:t>The existing risk score is bounded 0-100: ML contributes up to 60 points, URL-security indicators up to 20, DNS failure 10, and TLS failure 10. Low risk is below 30, medium begins at 30, and high begins at 60. The API's overall phishing verdict starts at risk 30; an unresolved otherwise-low-risk hostname is marked unverifiable. This project score is a heuristic, not a calibrated probability.</w:t>
      </w:r>
    </w:p>
    <w:p>
      <w:pPr>
        <w:pStyle w:val="Heading1"/>
      </w:pPr>
      <w:r>
        <w:t>8. Information Retrieval</w:t>
      </w:r>
    </w:p>
    <w:p>
      <w:r>
        <w:t>The IR corpus uses real scan_history rows from SQLite through a read-only connection. It is local and dynamic; no external URL corpus or live web data is fetched. IR is supporting analysis, not a replacement for Random Forest.</w:t>
      </w:r>
    </w:p>
    <w:p>
      <w:pPr>
        <w:pStyle w:val="Heading2"/>
      </w:pPr>
      <w:r>
        <w:t>Unit IV ? Multinomial Language Model</w:t>
      </w:r>
    </w:p>
    <w:p>
      <w:r>
        <w:t>Hostname, path, and query are tokenized. Separate phishing and legitimate multinomial term distributions are built from labeled history with additive (Laplace) smoothing. The likelihood is computed from observed token probabilities and class priors. Phishing-associated terms are query tokens whose smoothed term probability is higher in phishing history. Results depend on the amount and labels of local scan history; they are not calibrated real-world probabilities.</w:t>
      </w:r>
    </w:p>
    <w:p>
      <w:pPr>
        <w:pStyle w:val="Heading2"/>
      </w:pPr>
      <w:r>
        <w:t>Unit V ? Project-Level PageRank</w:t>
      </w:r>
    </w:p>
    <w:p>
      <w:r>
        <w:t>Nodes are normalized history URLs plus the query URL. Undirected edges represent a shared host/parent-subdomain relationship or non-generic URL-token Jaccard similarity of at least 0.25. Custom iterative PageRank uses damping 0.85 and redistributes dangling-node mass. Insufficient/disconnected graphs return an explicit unavailable status.</w:t>
      </w:r>
    </w:p>
    <w:p>
      <w:r>
        <w:rPr>
          <w:b/>
        </w:rPr>
        <w:t xml:space="preserve">This is project-level URL/domain graph ranking, not Google's live PageRank. </w:t>
      </w:r>
      <w:r>
        <w:t>No web crawling or real page hyperlinks are claimed.</w:t>
      </w:r>
    </w:p>
    <w:p>
      <w:pPr>
        <w:pStyle w:val="Heading2"/>
      </w:pPr>
      <w:r>
        <w:t>Unit VI ? Content-Based Retrieval</w:t>
      </w:r>
    </w:p>
    <w:p>
      <w:r>
        <w:t>A cached scikit-learn TF-IDF index uses URL-token unigrams and bigrams. Cosine similarity returns up to three positive-similarity historical URLs. The normalized current URL is excluded from recommendations. Similarity means URL-string resemblance only and does not establish maliciousness.</w:t>
      </w:r>
    </w:p>
    <w:p>
      <w:pPr>
        <w:pStyle w:val="Heading1"/>
      </w:pPr>
      <w:r>
        <w:t>9. API, Database, and History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252629"/>
          </w:tcPr>
          <w:p>
            <w:r>
              <w:rPr>
                <w:b/>
                <w:color w:val="EFD38F"/>
                <w:sz w:val="18"/>
              </w:rPr>
              <w:t>Method</w:t>
            </w:r>
          </w:p>
        </w:tc>
        <w:tc>
          <w:tcPr>
            <w:tcW w:type="dxa" w:w="3312"/>
            <w:shd w:fill="252629"/>
          </w:tcPr>
          <w:p>
            <w:r>
              <w:rPr>
                <w:b/>
                <w:color w:val="EFD38F"/>
                <w:sz w:val="18"/>
              </w:rPr>
              <w:t>Path</w:t>
            </w:r>
          </w:p>
        </w:tc>
        <w:tc>
          <w:tcPr>
            <w:tcW w:type="dxa" w:w="3312"/>
            <w:shd w:fill="252629"/>
          </w:tcPr>
          <w:p>
            <w:r>
              <w:rPr>
                <w:b/>
                <w:color w:val="EFD38F"/>
                <w:sz w:val="18"/>
              </w:rPr>
              <w:t>Purpose</w:t>
            </w:r>
          </w:p>
        </w:tc>
      </w:tr>
      <w:tr>
        <w:tc>
          <w:tcPr>
            <w:tcW w:type="dxa" w:w="3312"/>
          </w:tcPr>
          <w:p>
            <w:r>
              <w:rPr>
                <w:sz w:val="18"/>
              </w:rPr>
              <w:t>GET</w:t>
            </w:r>
          </w:p>
        </w:tc>
        <w:tc>
          <w:tcPr>
            <w:tcW w:type="dxa" w:w="3312"/>
          </w:tcPr>
          <w:p>
            <w:r>
              <w:rPr>
                <w:sz w:val="18"/>
              </w:rPr>
              <w:t>/</w:t>
            </w:r>
          </w:p>
        </w:tc>
        <w:tc>
          <w:tcPr>
            <w:tcW w:type="dxa" w:w="3312"/>
          </w:tcPr>
          <w:p>
            <w:r>
              <w:rPr>
                <w:sz w:val="18"/>
              </w:rPr>
              <w:t>API health/root response.</w:t>
            </w:r>
          </w:p>
        </w:tc>
      </w:tr>
      <w:tr>
        <w:tc>
          <w:tcPr>
            <w:tcW w:type="dxa" w:w="3312"/>
          </w:tcPr>
          <w:p>
            <w:r>
              <w:rPr>
                <w:sz w:val="18"/>
              </w:rPr>
              <w:t>POST</w:t>
            </w:r>
          </w:p>
        </w:tc>
        <w:tc>
          <w:tcPr>
            <w:tcW w:type="dxa" w:w="3312"/>
          </w:tcPr>
          <w:p>
            <w:r>
              <w:rPr>
                <w:sz w:val="18"/>
              </w:rPr>
              <w:t>/api/v1/scan</w:t>
            </w:r>
          </w:p>
        </w:tc>
        <w:tc>
          <w:tcPr>
            <w:tcW w:type="dxa" w:w="3312"/>
          </w:tcPr>
          <w:p>
            <w:r>
              <w:rPr>
                <w:sz w:val="18"/>
              </w:rPr>
              <w:t>Validated scan; returns ML, risk, security, explanation, and ir_analysis.</w:t>
            </w:r>
          </w:p>
        </w:tc>
      </w:tr>
      <w:tr>
        <w:tc>
          <w:tcPr>
            <w:tcW w:type="dxa" w:w="3312"/>
          </w:tcPr>
          <w:p>
            <w:r>
              <w:rPr>
                <w:sz w:val="18"/>
              </w:rPr>
              <w:t>GET</w:t>
            </w:r>
          </w:p>
        </w:tc>
        <w:tc>
          <w:tcPr>
            <w:tcW w:type="dxa" w:w="3312"/>
          </w:tcPr>
          <w:p>
            <w:r>
              <w:rPr>
                <w:sz w:val="18"/>
              </w:rPr>
              <w:t>/api/v1/history</w:t>
            </w:r>
          </w:p>
        </w:tc>
        <w:tc>
          <w:tcPr>
            <w:tcW w:type="dxa" w:w="3312"/>
          </w:tcPr>
          <w:p>
            <w:r>
              <w:rPr>
                <w:sz w:val="18"/>
              </w:rPr>
              <w:t>Returns persisted SQLite scan rows.</w:t>
            </w:r>
          </w:p>
        </w:tc>
      </w:tr>
    </w:tbl>
    <w:p/>
    <w:p>
      <w:r>
        <w:t>The existing SQLite scan_history schema is retained and stores URL, classification, risk, confidence, timestamp, and result JSON. Invalid input is rejected before insertion. The browser dashboard keeps a separate localStorage history; it is not automatically synchronized from the API. Clear History clears that browser-local list, not SQLite.</w:t>
      </w:r>
    </w:p>
    <w:p>
      <w:r>
        <w:t>Frontend/api-config.js supplies the API base URL. It defaults to http://127.0.0.1:8000 locally and can be replaced during deployment build so production does not depend on localhost.</w:t>
      </w:r>
    </w:p>
    <w:p>
      <w:pPr>
        <w:pStyle w:val="Heading1"/>
      </w:pPr>
      <w:r>
        <w:t>10. Local Installation and Run</w:t>
      </w:r>
    </w:p>
    <w:p>
      <w:r>
        <w:t>From the repository root in PowerShell:</w:t>
      </w:r>
    </w:p>
    <w:p>
      <w:pPr>
        <w:ind w:left="360"/>
      </w:pPr>
      <w:r>
        <w:rPr>
          <w:rFonts w:ascii="Consolas" w:hAnsi="Consolas"/>
          <w:sz w:val="18"/>
        </w:rPr>
        <w:t>python -m venv venv</w:t>
      </w:r>
    </w:p>
    <w:p>
      <w:pPr>
        <w:ind w:left="360"/>
      </w:pPr>
      <w:r>
        <w:rPr>
          <w:rFonts w:ascii="Consolas" w:hAnsi="Consolas"/>
          <w:sz w:val="18"/>
        </w:rPr>
        <w:t>.\venv\Scripts\Activate.ps1</w:t>
      </w:r>
    </w:p>
    <w:p>
      <w:pPr>
        <w:ind w:left="360"/>
      </w:pPr>
      <w:r>
        <w:rPr>
          <w:rFonts w:ascii="Consolas" w:hAnsi="Consolas"/>
          <w:sz w:val="18"/>
        </w:rPr>
        <w:t>pip install -r requirements.txt</w:t>
      </w:r>
    </w:p>
    <w:p>
      <w:pPr>
        <w:ind w:left="360"/>
      </w:pPr>
      <w:r>
        <w:rPr>
          <w:rFonts w:ascii="Consolas" w:hAnsi="Consolas"/>
          <w:sz w:val="18"/>
        </w:rPr>
        <w:t>uvicorn Backend.main:app --reload --host 127.0.0.1 --port 8000</w:t>
      </w:r>
    </w:p>
    <w:p>
      <w:r>
        <w:t>In a second terminal:</w:t>
      </w:r>
    </w:p>
    <w:p>
      <w:pPr>
        <w:ind w:left="360"/>
      </w:pPr>
      <w:r>
        <w:rPr>
          <w:rFonts w:ascii="Consolas" w:hAnsi="Consolas"/>
          <w:sz w:val="18"/>
        </w:rPr>
        <w:t>cd Frontend</w:t>
      </w:r>
    </w:p>
    <w:p>
      <w:pPr>
        <w:ind w:left="360"/>
      </w:pPr>
      <w:r>
        <w:rPr>
          <w:rFonts w:ascii="Consolas" w:hAnsi="Consolas"/>
          <w:sz w:val="18"/>
        </w:rPr>
        <w:t>python -m http.server 5501 --bind 127.0.0.1</w:t>
      </w:r>
    </w:p>
    <w:p>
      <w:r>
        <w:t>Open http://127.0.0.1:5501.</w:t>
      </w:r>
    </w:p>
    <w:p>
      <w:pPr>
        <w:pStyle w:val="Heading1"/>
      </w:pPr>
      <w:r>
        <w:t>11. Verification</w:t>
      </w:r>
    </w:p>
    <w:p>
      <w:r>
        <w:t>Automated command: python -m pytest Test -q. Latest integration run: 17 passed, 0 failed. Python imports, pip check, JavaScript syntax, and git diff --check passed.</w:t>
      </w:r>
    </w:p>
    <w:tbl>
      <w:tblPr>
        <w:tblStyle w:val="TableGrid"/>
        <w:tblW w:type="auto" w:w="0"/>
        <w:jc w:val="center"/>
        <w:tblLook w:firstColumn="1" w:firstRow="1" w:lastColumn="0" w:lastRow="0" w:noHBand="0" w:noVBand="1" w:val="04A0"/>
      </w:tblPr>
      <w:tblGrid>
        <w:gridCol w:w="4968"/>
        <w:gridCol w:w="4968"/>
      </w:tblGrid>
      <w:tr>
        <w:tc>
          <w:tcPr>
            <w:tcW w:type="dxa" w:w="4968"/>
            <w:shd w:fill="252629"/>
          </w:tcPr>
          <w:p>
            <w:r>
              <w:rPr>
                <w:b/>
                <w:color w:val="EFD38F"/>
                <w:sz w:val="18"/>
              </w:rPr>
              <w:t>Input</w:t>
            </w:r>
          </w:p>
        </w:tc>
        <w:tc>
          <w:tcPr>
            <w:tcW w:type="dxa" w:w="4968"/>
            <w:shd w:fill="252629"/>
          </w:tcPr>
          <w:p>
            <w:r>
              <w:rPr>
                <w:b/>
                <w:color w:val="EFD38F"/>
                <w:sz w:val="18"/>
              </w:rPr>
              <w:t>Observed local behavior</w:t>
            </w:r>
          </w:p>
        </w:tc>
      </w:tr>
      <w:tr>
        <w:tc>
          <w:tcPr>
            <w:tcW w:type="dxa" w:w="4968"/>
          </w:tcPr>
          <w:p>
            <w:r>
              <w:rPr>
                <w:sz w:val="18"/>
              </w:rPr>
              <w:t>https://google.com</w:t>
            </w:r>
          </w:p>
        </w:tc>
        <w:tc>
          <w:tcPr>
            <w:tcW w:type="dxa" w:w="4968"/>
          </w:tcPr>
          <w:p>
            <w:r>
              <w:rPr>
                <w:sz w:val="18"/>
              </w:rPr>
              <w:t>HTTP 200; legitimate; risk 10.35; ML legitimate; DNS/TLS valid; IR available.</w:t>
            </w:r>
          </w:p>
        </w:tc>
      </w:tr>
      <w:tr>
        <w:tc>
          <w:tcPr>
            <w:tcW w:type="dxa" w:w="4968"/>
          </w:tcPr>
          <w:p>
            <w:r>
              <w:rPr>
                <w:sz w:val="18"/>
              </w:rPr>
              <w:t>https://example.com</w:t>
            </w:r>
          </w:p>
        </w:tc>
        <w:tc>
          <w:tcPr>
            <w:tcW w:type="dxa" w:w="4968"/>
          </w:tcPr>
          <w:p>
            <w:r>
              <w:rPr>
                <w:sz w:val="18"/>
              </w:rPr>
              <w:t>HTTP 200; legitimate; risk 11.48; ML legitimate; DNS/TLS valid; IR available.</w:t>
            </w:r>
          </w:p>
        </w:tc>
      </w:tr>
      <w:tr>
        <w:tc>
          <w:tcPr>
            <w:tcW w:type="dxa" w:w="4968"/>
          </w:tcPr>
          <w:p>
            <w:r>
              <w:rPr>
                <w:sz w:val="18"/>
              </w:rPr>
              <w:t>https://paypal-login-security.example.com</w:t>
            </w:r>
          </w:p>
        </w:tc>
        <w:tc>
          <w:tcPr>
            <w:tcW w:type="dxa" w:w="4968"/>
          </w:tcPr>
          <w:p>
            <w:r>
              <w:rPr>
                <w:sz w:val="18"/>
              </w:rPr>
              <w:t>HTTP 200; phishing; risk 82; ML phishing; DNS/TLS unavailable; IR available.</w:t>
            </w:r>
          </w:p>
        </w:tc>
      </w:tr>
      <w:tr>
        <w:tc>
          <w:tcPr>
            <w:tcW w:type="dxa" w:w="4968"/>
          </w:tcPr>
          <w:p>
            <w:r>
              <w:rPr>
                <w:sz w:val="18"/>
              </w:rPr>
              <w:t>hello</w:t>
            </w:r>
          </w:p>
        </w:tc>
        <w:tc>
          <w:tcPr>
            <w:tcW w:type="dxa" w:w="4968"/>
          </w:tcPr>
          <w:p>
            <w:r>
              <w:rPr>
                <w:sz w:val="18"/>
              </w:rPr>
              <w:t>HTTP 400 Invalid URL; no history row added.</w:t>
            </w:r>
          </w:p>
        </w:tc>
      </w:tr>
    </w:tbl>
    <w:p/>
    <w:p>
      <w:r>
        <w:t>Observed values depend on the current model, network, and local history. Browser tests verified history filters, invalid-state clearing, report/IR rendering, and responsive layout with no JavaScript console errors. These examples are not model-performance claims.</w:t>
      </w:r>
    </w:p>
    <w:p>
      <w:pPr>
        <w:pStyle w:val="Heading1"/>
      </w:pPr>
      <w:r>
        <w:t>12. Deployment, Limitations, and Future Scope</w:t>
      </w:r>
    </w:p>
    <w:p>
      <w:r>
        <w:t>render.yaml defines a Render API service with persistent SQLite storage and Git LFS model retrieval, plus a static frontend whose build injects the API host. Public deployment was not executed or verified: no provider CLI, account credentials, or deployment access were available in the environment.</w:t>
      </w:r>
    </w:p>
    <w:p>
      <w:r>
        <w:t>- The current checkout does not include Sumit's training datasets/scripts; the existing serialized model is used for inference.</w:t>
      </w:r>
    </w:p>
    <w:p>
      <w:r>
        <w:t>- IR quality depends on the volume and labels in local scan history; it is not general web authority or calibrated probability.</w:t>
      </w:r>
    </w:p>
    <w:p>
      <w:r>
        <w:t>- TLS/DNS outcomes depend on current network conditions. Scans do not retrieve page content.</w:t>
      </w:r>
    </w:p>
    <w:p>
      <w:r>
        <w:t>- Frontend localStorage history is separate from persisted SQLite history.</w:t>
      </w:r>
    </w:p>
    <w:p>
      <w:r>
        <w:t>- Future work: integrate reviewed training data and reproducible evaluation; pin the model's scikit-learn version; deploy and verify the Render Blueprint after account authorization.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05C"/>
        <w:sz w:val="16"/>
      </w:rPr>
      <w:t>PhishGuard ? Source-grounded implementation report ? 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05C"/>
        <w:sz w:val="16"/>
      </w:rPr>
      <w:t>PHISHGUARD  |  AE013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A47E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A47E2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A47E2D"/>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PhishGuard ? AE013 Phishing Website Detection Using Machine Learning</dc:title>
  <dc:subject>Source-grounded final project documentation</dc:subject>
  <dc:creator>PhishGuard Team</dc:creator>
  <cp:keywords>AE013, phishing, Random Forest, FastAPI, Information Retrieval</cp:keywords>
  <dc:description>generated by python-docx</dc:description>
  <cp:lastModifiedBy/>
  <cp:revision>1</cp:revision>
  <dcterms:created xsi:type="dcterms:W3CDTF">2013-12-23T23:15:00Z</dcterms:created>
  <dcterms:modified xsi:type="dcterms:W3CDTF">2013-12-23T23:15:00Z</dcterms:modified>
  <cp:category/>
</cp:coreProperties>
</file>