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90D3D" w14:textId="4492642F" w:rsidR="00F74949" w:rsidRDefault="00A27B5A" w:rsidP="00A27B5A">
      <w:pPr>
        <w:pStyle w:val="Heading1"/>
        <w:rPr>
          <w:lang w:val="en-GB"/>
        </w:rPr>
      </w:pPr>
      <w:r>
        <w:rPr>
          <w:lang w:val="en-GB"/>
        </w:rPr>
        <w:t>Referenced Subflow</w:t>
      </w:r>
    </w:p>
    <w:p w14:paraId="5A899AB1" w14:textId="00E76D20" w:rsidR="00F74949" w:rsidRDefault="00F74949" w:rsidP="00774908">
      <w:pPr>
        <w:jc w:val="both"/>
        <w:rPr>
          <w:lang w:val="en-GB"/>
        </w:rPr>
      </w:pPr>
      <w:r>
        <w:rPr>
          <w:lang w:val="en-GB"/>
        </w:rPr>
        <w:t xml:space="preserve">A workflow </w:t>
      </w:r>
      <w:r w:rsidR="00F342BA">
        <w:rPr>
          <w:lang w:val="en-GB"/>
        </w:rPr>
        <w:t xml:space="preserve">can be consumed as referenced </w:t>
      </w:r>
      <w:r w:rsidR="00AA31BA">
        <w:rPr>
          <w:lang w:val="en-GB"/>
        </w:rPr>
        <w:t>s</w:t>
      </w:r>
      <w:r w:rsidR="00F342BA">
        <w:rPr>
          <w:lang w:val="en-GB"/>
        </w:rPr>
        <w:t>ubflow from a parent workflow (i.e. you want to reference a workflow that is executed inside another (main) workflow), please refer to below screenshot</w:t>
      </w:r>
    </w:p>
    <w:p w14:paraId="6EF66F86" w14:textId="7A4F784E" w:rsidR="00F342BA" w:rsidRDefault="00F342BA">
      <w:pPr>
        <w:rPr>
          <w:lang w:val="en-GB"/>
        </w:rPr>
      </w:pPr>
      <w:r>
        <w:rPr>
          <w:noProof/>
        </w:rPr>
        <w:drawing>
          <wp:inline distT="0" distB="0" distL="0" distR="0" wp14:anchorId="3BE0FAB2" wp14:editId="1273AA0D">
            <wp:extent cx="5731510" cy="1932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2940"/>
                    </a:xfrm>
                    <a:prstGeom prst="rect">
                      <a:avLst/>
                    </a:prstGeom>
                  </pic:spPr>
                </pic:pic>
              </a:graphicData>
            </a:graphic>
          </wp:inline>
        </w:drawing>
      </w:r>
    </w:p>
    <w:p w14:paraId="55C74265" w14:textId="5740D6DA" w:rsidR="00F342BA" w:rsidRDefault="00E96EB0" w:rsidP="00774908">
      <w:pPr>
        <w:jc w:val="both"/>
        <w:rPr>
          <w:lang w:val="en-GB"/>
        </w:rPr>
      </w:pPr>
      <w:r>
        <w:rPr>
          <w:lang w:val="en-GB"/>
        </w:rPr>
        <w:t xml:space="preserve">The subflow (General Workflow and </w:t>
      </w:r>
      <w:r w:rsidR="00F87333">
        <w:rPr>
          <w:lang w:val="en-GB"/>
        </w:rPr>
        <w:t>Bank Info</w:t>
      </w:r>
      <w:r>
        <w:rPr>
          <w:lang w:val="en-GB"/>
        </w:rPr>
        <w:t xml:space="preserve"> Workflow)</w:t>
      </w:r>
      <w:r w:rsidR="00774908">
        <w:rPr>
          <w:lang w:val="en-GB"/>
        </w:rPr>
        <w:t xml:space="preserve"> is an external workflow, that can be reused and is deployed independently from the main workflow.</w:t>
      </w:r>
    </w:p>
    <w:p w14:paraId="4ACC408A" w14:textId="18B8B776" w:rsidR="00774908" w:rsidRDefault="00774908" w:rsidP="00774908">
      <w:pPr>
        <w:jc w:val="both"/>
        <w:rPr>
          <w:lang w:val="en-GB"/>
        </w:rPr>
      </w:pPr>
      <w:r>
        <w:rPr>
          <w:lang w:val="en-GB"/>
        </w:rPr>
        <w:t>Main Workflow stores data in the workflow context, we can pass a small chunk of data to the subflow by configuring data mapping, subflow can modify this data while processing and return data back to main workflow using data mapping. Data is copied into subflow when it is started and copied back into main workflow when subflow ends.</w:t>
      </w:r>
    </w:p>
    <w:p w14:paraId="0162DE8C" w14:textId="692FECD8" w:rsidR="00774908" w:rsidRDefault="00774908" w:rsidP="00774908">
      <w:pPr>
        <w:jc w:val="both"/>
        <w:rPr>
          <w:lang w:val="en-GB"/>
        </w:rPr>
      </w:pPr>
      <w:r>
        <w:rPr>
          <w:lang w:val="en-GB"/>
        </w:rPr>
        <w:t>Main Workflow calls the subflow and waits until the subflow ends, before it continues with the next item.</w:t>
      </w:r>
    </w:p>
    <w:p w14:paraId="6E9E0FF4" w14:textId="70BE4E6C" w:rsidR="00774908" w:rsidRDefault="00774908" w:rsidP="00774908">
      <w:pPr>
        <w:jc w:val="both"/>
        <w:rPr>
          <w:lang w:val="en-GB"/>
        </w:rPr>
      </w:pPr>
      <w:r>
        <w:rPr>
          <w:lang w:val="en-GB"/>
        </w:rPr>
        <w:t>Subflow can be a workflow from the same project as the main workflow, or it can be any workflow deployed on the server.</w:t>
      </w:r>
    </w:p>
    <w:p w14:paraId="4FD38463" w14:textId="3B7DA28C" w:rsidR="00105ADF" w:rsidRDefault="00BC676A" w:rsidP="00774908">
      <w:pPr>
        <w:jc w:val="both"/>
        <w:rPr>
          <w:lang w:val="en-GB"/>
        </w:rPr>
      </w:pPr>
      <w:r>
        <w:rPr>
          <w:lang w:val="en-GB"/>
        </w:rPr>
        <w:t>We can use Principal propagation to forward information from main workflow to subflow</w:t>
      </w:r>
      <w:r w:rsidR="00F95B43">
        <w:rPr>
          <w:lang w:val="en-GB"/>
        </w:rPr>
        <w:t>, this information is propagated through the workflow, before we can use principal propagation, the following one-time DESTINATION needs to be configured.</w:t>
      </w:r>
    </w:p>
    <w:p w14:paraId="5DD1BBD0" w14:textId="73F44CB0" w:rsidR="00F95B43" w:rsidRDefault="00F95B43" w:rsidP="00774908">
      <w:pPr>
        <w:jc w:val="both"/>
        <w:rPr>
          <w:lang w:val="en-GB"/>
        </w:rPr>
      </w:pPr>
      <w:r>
        <w:rPr>
          <w:noProof/>
          <w:lang w:val="en-GB"/>
        </w:rPr>
        <w:drawing>
          <wp:inline distT="0" distB="0" distL="0" distR="0" wp14:anchorId="5A14417F" wp14:editId="3E8FD3C3">
            <wp:extent cx="5727065" cy="27133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065" cy="2713355"/>
                    </a:xfrm>
                    <a:prstGeom prst="rect">
                      <a:avLst/>
                    </a:prstGeom>
                    <a:noFill/>
                    <a:ln>
                      <a:noFill/>
                    </a:ln>
                  </pic:spPr>
                </pic:pic>
              </a:graphicData>
            </a:graphic>
          </wp:inline>
        </w:drawing>
      </w:r>
    </w:p>
    <w:tbl>
      <w:tblPr>
        <w:tblStyle w:val="TableGrid"/>
        <w:tblW w:w="10066" w:type="dxa"/>
        <w:tblInd w:w="-431" w:type="dxa"/>
        <w:tblLook w:val="04A0" w:firstRow="1" w:lastRow="0" w:firstColumn="1" w:lastColumn="0" w:noHBand="0" w:noVBand="1"/>
      </w:tblPr>
      <w:tblGrid>
        <w:gridCol w:w="2269"/>
        <w:gridCol w:w="7797"/>
      </w:tblGrid>
      <w:tr w:rsidR="00F95B43" w14:paraId="41963AAF" w14:textId="77777777" w:rsidTr="00F95B43">
        <w:trPr>
          <w:trHeight w:val="386"/>
        </w:trPr>
        <w:tc>
          <w:tcPr>
            <w:tcW w:w="2269" w:type="dxa"/>
            <w:vAlign w:val="center"/>
          </w:tcPr>
          <w:p w14:paraId="6E854C17" w14:textId="1DB47959" w:rsidR="00F95B43" w:rsidRPr="00F95B43" w:rsidRDefault="00F95B43" w:rsidP="00F95B43">
            <w:pPr>
              <w:jc w:val="center"/>
              <w:rPr>
                <w:b/>
                <w:bCs/>
                <w:lang w:val="en-GB"/>
              </w:rPr>
            </w:pPr>
            <w:r w:rsidRPr="00F95B43">
              <w:rPr>
                <w:b/>
                <w:bCs/>
                <w:lang w:val="en-GB"/>
              </w:rPr>
              <w:lastRenderedPageBreak/>
              <w:t>Field</w:t>
            </w:r>
          </w:p>
        </w:tc>
        <w:tc>
          <w:tcPr>
            <w:tcW w:w="7797" w:type="dxa"/>
            <w:vAlign w:val="center"/>
          </w:tcPr>
          <w:p w14:paraId="0AC4F922" w14:textId="249E5A63" w:rsidR="00F95B43" w:rsidRPr="00F95B43" w:rsidRDefault="00F95B43" w:rsidP="00F95B43">
            <w:pPr>
              <w:jc w:val="center"/>
              <w:rPr>
                <w:b/>
                <w:bCs/>
                <w:lang w:val="en-GB"/>
              </w:rPr>
            </w:pPr>
            <w:r w:rsidRPr="00F95B43">
              <w:rPr>
                <w:b/>
                <w:bCs/>
                <w:lang w:val="en-GB"/>
              </w:rPr>
              <w:t>Value</w:t>
            </w:r>
          </w:p>
        </w:tc>
      </w:tr>
      <w:tr w:rsidR="00F95B43" w14:paraId="510C6F1D" w14:textId="77777777" w:rsidTr="00F95B43">
        <w:trPr>
          <w:trHeight w:val="400"/>
        </w:trPr>
        <w:tc>
          <w:tcPr>
            <w:tcW w:w="2269" w:type="dxa"/>
          </w:tcPr>
          <w:p w14:paraId="3B56214B" w14:textId="75766C34" w:rsidR="00F95B43" w:rsidRDefault="00052399" w:rsidP="00774908">
            <w:pPr>
              <w:jc w:val="both"/>
              <w:rPr>
                <w:lang w:val="en-GB"/>
              </w:rPr>
            </w:pPr>
            <w:r>
              <w:rPr>
                <w:lang w:val="en-GB"/>
              </w:rPr>
              <w:t>Name</w:t>
            </w:r>
          </w:p>
        </w:tc>
        <w:tc>
          <w:tcPr>
            <w:tcW w:w="7797" w:type="dxa"/>
          </w:tcPr>
          <w:p w14:paraId="72480C4A" w14:textId="480605A4" w:rsidR="00F95B43" w:rsidRDefault="00052399" w:rsidP="00774908">
            <w:pPr>
              <w:jc w:val="both"/>
              <w:rPr>
                <w:lang w:val="en-GB"/>
              </w:rPr>
            </w:pPr>
            <w:r>
              <w:rPr>
                <w:lang w:val="en-GB"/>
              </w:rPr>
              <w:t>b</w:t>
            </w:r>
            <w:r w:rsidRPr="00052399">
              <w:rPr>
                <w:lang w:val="en-GB"/>
              </w:rPr>
              <w:t>pmworkflowruntimeoauth</w:t>
            </w:r>
          </w:p>
        </w:tc>
      </w:tr>
      <w:tr w:rsidR="00052399" w14:paraId="7149C35A" w14:textId="77777777" w:rsidTr="00F95B43">
        <w:trPr>
          <w:trHeight w:val="400"/>
        </w:trPr>
        <w:tc>
          <w:tcPr>
            <w:tcW w:w="2269" w:type="dxa"/>
          </w:tcPr>
          <w:p w14:paraId="5AABA80F" w14:textId="4C30CB81" w:rsidR="00052399" w:rsidRDefault="00052399" w:rsidP="00774908">
            <w:pPr>
              <w:jc w:val="both"/>
              <w:rPr>
                <w:lang w:val="en-GB"/>
              </w:rPr>
            </w:pPr>
            <w:r w:rsidRPr="00052399">
              <w:rPr>
                <w:lang w:val="en-GB"/>
              </w:rPr>
              <w:t>Type</w:t>
            </w:r>
          </w:p>
        </w:tc>
        <w:tc>
          <w:tcPr>
            <w:tcW w:w="7797" w:type="dxa"/>
          </w:tcPr>
          <w:p w14:paraId="065B2291" w14:textId="1BD19A34" w:rsidR="00052399" w:rsidRPr="00052399" w:rsidRDefault="00052399" w:rsidP="00774908">
            <w:pPr>
              <w:jc w:val="both"/>
              <w:rPr>
                <w:lang w:val="en-GB"/>
              </w:rPr>
            </w:pPr>
            <w:r w:rsidRPr="00052399">
              <w:rPr>
                <w:lang w:val="en-GB"/>
              </w:rPr>
              <w:t>HTTP</w:t>
            </w:r>
          </w:p>
        </w:tc>
      </w:tr>
      <w:tr w:rsidR="00052399" w14:paraId="150FBDD7" w14:textId="77777777" w:rsidTr="00F95B43">
        <w:trPr>
          <w:trHeight w:val="400"/>
        </w:trPr>
        <w:tc>
          <w:tcPr>
            <w:tcW w:w="2269" w:type="dxa"/>
          </w:tcPr>
          <w:p w14:paraId="01EE7AA3" w14:textId="2A561072" w:rsidR="00052399" w:rsidRPr="00052399" w:rsidRDefault="00052399" w:rsidP="00774908">
            <w:pPr>
              <w:jc w:val="both"/>
              <w:rPr>
                <w:lang w:val="en-GB"/>
              </w:rPr>
            </w:pPr>
            <w:r w:rsidRPr="00052399">
              <w:rPr>
                <w:lang w:val="en-GB"/>
              </w:rPr>
              <w:t>Description</w:t>
            </w:r>
          </w:p>
        </w:tc>
        <w:tc>
          <w:tcPr>
            <w:tcW w:w="7797" w:type="dxa"/>
          </w:tcPr>
          <w:p w14:paraId="34E37517" w14:textId="47150EBE" w:rsidR="00052399" w:rsidRPr="00052399" w:rsidRDefault="00052399" w:rsidP="00774908">
            <w:pPr>
              <w:jc w:val="both"/>
              <w:rPr>
                <w:lang w:val="en-GB"/>
              </w:rPr>
            </w:pPr>
            <w:r w:rsidRPr="00052399">
              <w:rPr>
                <w:lang w:val="en-GB"/>
              </w:rPr>
              <w:t>Cloud Platform Workflow OAuth Destination for Principal Propagation</w:t>
            </w:r>
          </w:p>
        </w:tc>
      </w:tr>
      <w:tr w:rsidR="00052399" w14:paraId="7815706B" w14:textId="77777777" w:rsidTr="00F95B43">
        <w:trPr>
          <w:trHeight w:val="400"/>
        </w:trPr>
        <w:tc>
          <w:tcPr>
            <w:tcW w:w="2269" w:type="dxa"/>
          </w:tcPr>
          <w:p w14:paraId="31B60C91" w14:textId="7DB043A2" w:rsidR="00052399" w:rsidRPr="00052399" w:rsidRDefault="00052399" w:rsidP="00774908">
            <w:pPr>
              <w:jc w:val="both"/>
              <w:rPr>
                <w:lang w:val="en-GB"/>
              </w:rPr>
            </w:pPr>
            <w:r w:rsidRPr="00052399">
              <w:rPr>
                <w:lang w:val="en-GB"/>
              </w:rPr>
              <w:t>URL</w:t>
            </w:r>
          </w:p>
        </w:tc>
        <w:tc>
          <w:tcPr>
            <w:tcW w:w="7797" w:type="dxa"/>
          </w:tcPr>
          <w:p w14:paraId="300CDA0A" w14:textId="54D3A8C2" w:rsidR="00052399" w:rsidRPr="00052399" w:rsidRDefault="00052399" w:rsidP="00774908">
            <w:pPr>
              <w:jc w:val="both"/>
              <w:rPr>
                <w:lang w:val="en-GB"/>
              </w:rPr>
            </w:pPr>
            <w:r w:rsidRPr="00052399">
              <w:rPr>
                <w:lang w:val="en-GB"/>
              </w:rPr>
              <w:t>Set the destination URL to the authorization endpoint URL found in the service key that was created for the workflow service. This corresponds to the URL in the uaa.url parameter</w:t>
            </w:r>
          </w:p>
        </w:tc>
      </w:tr>
      <w:tr w:rsidR="00052399" w14:paraId="69E1033A" w14:textId="77777777" w:rsidTr="00F95B43">
        <w:trPr>
          <w:trHeight w:val="400"/>
        </w:trPr>
        <w:tc>
          <w:tcPr>
            <w:tcW w:w="2269" w:type="dxa"/>
          </w:tcPr>
          <w:p w14:paraId="7FB0D751" w14:textId="2F6CF8C4" w:rsidR="00052399" w:rsidRPr="00052399" w:rsidRDefault="00052399" w:rsidP="00774908">
            <w:pPr>
              <w:jc w:val="both"/>
              <w:rPr>
                <w:lang w:val="en-GB"/>
              </w:rPr>
            </w:pPr>
            <w:r w:rsidRPr="00052399">
              <w:rPr>
                <w:lang w:val="en-GB"/>
              </w:rPr>
              <w:t>Proxy</w:t>
            </w:r>
          </w:p>
        </w:tc>
        <w:tc>
          <w:tcPr>
            <w:tcW w:w="7797" w:type="dxa"/>
          </w:tcPr>
          <w:p w14:paraId="3E414AD8" w14:textId="758EEA97" w:rsidR="00052399" w:rsidRPr="00052399" w:rsidRDefault="00052399" w:rsidP="00774908">
            <w:pPr>
              <w:jc w:val="both"/>
              <w:rPr>
                <w:lang w:val="en-GB"/>
              </w:rPr>
            </w:pPr>
            <w:r w:rsidRPr="00052399">
              <w:rPr>
                <w:lang w:val="en-GB"/>
              </w:rPr>
              <w:t>Internet</w:t>
            </w:r>
          </w:p>
        </w:tc>
      </w:tr>
      <w:tr w:rsidR="00052399" w14:paraId="0FDA0BC8" w14:textId="77777777" w:rsidTr="00F95B43">
        <w:trPr>
          <w:trHeight w:val="400"/>
        </w:trPr>
        <w:tc>
          <w:tcPr>
            <w:tcW w:w="2269" w:type="dxa"/>
          </w:tcPr>
          <w:p w14:paraId="7FA9192B" w14:textId="138DBB4D" w:rsidR="00052399" w:rsidRPr="00052399" w:rsidRDefault="00052399" w:rsidP="00774908">
            <w:pPr>
              <w:jc w:val="both"/>
              <w:rPr>
                <w:lang w:val="en-GB"/>
              </w:rPr>
            </w:pPr>
            <w:r w:rsidRPr="00052399">
              <w:rPr>
                <w:lang w:val="en-GB"/>
              </w:rPr>
              <w:t>Authentication</w:t>
            </w:r>
          </w:p>
        </w:tc>
        <w:tc>
          <w:tcPr>
            <w:tcW w:w="7797" w:type="dxa"/>
          </w:tcPr>
          <w:p w14:paraId="1537919E" w14:textId="227F5ECC" w:rsidR="00052399" w:rsidRPr="00052399" w:rsidRDefault="00052399" w:rsidP="00774908">
            <w:pPr>
              <w:jc w:val="both"/>
              <w:rPr>
                <w:lang w:val="en-GB"/>
              </w:rPr>
            </w:pPr>
            <w:r w:rsidRPr="00052399">
              <w:rPr>
                <w:lang w:val="en-GB"/>
              </w:rPr>
              <w:t>Basic Authentication</w:t>
            </w:r>
          </w:p>
        </w:tc>
      </w:tr>
      <w:tr w:rsidR="00052399" w14:paraId="15AC8FD8" w14:textId="77777777" w:rsidTr="00F95B43">
        <w:trPr>
          <w:trHeight w:val="400"/>
        </w:trPr>
        <w:tc>
          <w:tcPr>
            <w:tcW w:w="2269" w:type="dxa"/>
          </w:tcPr>
          <w:p w14:paraId="5869BDBD" w14:textId="1CB9D7A5" w:rsidR="00052399" w:rsidRPr="00052399" w:rsidRDefault="00052399" w:rsidP="00774908">
            <w:pPr>
              <w:jc w:val="both"/>
              <w:rPr>
                <w:lang w:val="en-GB"/>
              </w:rPr>
            </w:pPr>
            <w:r w:rsidRPr="00052399">
              <w:rPr>
                <w:lang w:val="en-GB"/>
              </w:rPr>
              <w:t>User</w:t>
            </w:r>
          </w:p>
        </w:tc>
        <w:tc>
          <w:tcPr>
            <w:tcW w:w="7797" w:type="dxa"/>
          </w:tcPr>
          <w:p w14:paraId="6BA0DF8A" w14:textId="19FD3217" w:rsidR="00052399" w:rsidRPr="00052399" w:rsidRDefault="00052399" w:rsidP="00774908">
            <w:pPr>
              <w:jc w:val="both"/>
              <w:rPr>
                <w:lang w:val="en-GB"/>
              </w:rPr>
            </w:pPr>
            <w:r w:rsidRPr="00052399">
              <w:rPr>
                <w:lang w:val="en-GB"/>
              </w:rPr>
              <w:t xml:space="preserve">Set the user to the client ID. See the uaa.clientid parameter described in </w:t>
            </w:r>
            <w:r>
              <w:rPr>
                <w:lang w:val="en-GB"/>
              </w:rPr>
              <w:t>the service key that was created for the workflow service</w:t>
            </w:r>
          </w:p>
        </w:tc>
      </w:tr>
      <w:tr w:rsidR="00052399" w14:paraId="567078A6" w14:textId="77777777" w:rsidTr="00F95B43">
        <w:trPr>
          <w:trHeight w:val="400"/>
        </w:trPr>
        <w:tc>
          <w:tcPr>
            <w:tcW w:w="2269" w:type="dxa"/>
          </w:tcPr>
          <w:p w14:paraId="00C5BD3F" w14:textId="40E67310" w:rsidR="00052399" w:rsidRPr="00052399" w:rsidRDefault="00052399" w:rsidP="00774908">
            <w:pPr>
              <w:jc w:val="both"/>
              <w:rPr>
                <w:lang w:val="en-GB"/>
              </w:rPr>
            </w:pPr>
            <w:r w:rsidRPr="00052399">
              <w:rPr>
                <w:lang w:val="en-GB"/>
              </w:rPr>
              <w:t>Password</w:t>
            </w:r>
          </w:p>
        </w:tc>
        <w:tc>
          <w:tcPr>
            <w:tcW w:w="7797" w:type="dxa"/>
          </w:tcPr>
          <w:p w14:paraId="3CF9CE69" w14:textId="40805BE1" w:rsidR="00052399" w:rsidRPr="00052399" w:rsidRDefault="00052399" w:rsidP="00774908">
            <w:pPr>
              <w:jc w:val="both"/>
              <w:rPr>
                <w:lang w:val="en-GB"/>
              </w:rPr>
            </w:pPr>
            <w:r w:rsidRPr="00052399">
              <w:rPr>
                <w:lang w:val="en-GB"/>
              </w:rPr>
              <w:t xml:space="preserve">Set the password to the secret. See the uaa.clientsecret parameter </w:t>
            </w:r>
            <w:r>
              <w:rPr>
                <w:lang w:val="en-GB"/>
              </w:rPr>
              <w:t>described in the service key that was created for the workflow service</w:t>
            </w:r>
          </w:p>
        </w:tc>
      </w:tr>
    </w:tbl>
    <w:p w14:paraId="44F7C30D" w14:textId="7002B40B" w:rsidR="0048776D" w:rsidRDefault="0048776D" w:rsidP="00774908">
      <w:pPr>
        <w:jc w:val="both"/>
        <w:rPr>
          <w:lang w:val="en-GB"/>
        </w:rPr>
      </w:pPr>
    </w:p>
    <w:p w14:paraId="642BE5B5" w14:textId="03183D1B" w:rsidR="0048776D" w:rsidRPr="0048776D" w:rsidRDefault="0048776D" w:rsidP="00774908">
      <w:pPr>
        <w:jc w:val="both"/>
        <w:rPr>
          <w:color w:val="FF0000"/>
          <w:lang w:val="en-GB"/>
        </w:rPr>
      </w:pPr>
      <w:r w:rsidRPr="0048776D">
        <w:rPr>
          <w:color w:val="FF0000"/>
          <w:lang w:val="en-GB"/>
        </w:rPr>
        <w:t>Every service binding and service key can have their own client secret. If the binding or service key is deleted, the client secret can become invalid. Therefore, you use the client secret from a dedicated service key that you don’t plan to delete.</w:t>
      </w:r>
    </w:p>
    <w:p w14:paraId="32C20089" w14:textId="03F5A89D" w:rsidR="0048776D" w:rsidRDefault="00D527D4" w:rsidP="00A53E2F">
      <w:pPr>
        <w:pStyle w:val="Heading1"/>
        <w:ind w:left="-284"/>
        <w:rPr>
          <w:lang w:val="en-GB"/>
        </w:rPr>
      </w:pPr>
      <w:r>
        <w:rPr>
          <w:lang w:val="en-GB"/>
        </w:rPr>
        <w:t>Workflow as a Referenced Subflow</w:t>
      </w:r>
    </w:p>
    <w:p w14:paraId="1895F5D0" w14:textId="7EF1B42A" w:rsidR="00A53E2F" w:rsidRDefault="00A53E2F" w:rsidP="00A53E2F">
      <w:pPr>
        <w:jc w:val="both"/>
        <w:rPr>
          <w:lang w:val="en-GB"/>
        </w:rPr>
      </w:pPr>
      <w:r>
        <w:rPr>
          <w:lang w:val="en-GB"/>
        </w:rPr>
        <w:t xml:space="preserve">In Referenced Subflow properties, </w:t>
      </w:r>
      <w:r w:rsidR="0016048B">
        <w:rPr>
          <w:lang w:val="en-GB"/>
        </w:rPr>
        <w:t>choose</w:t>
      </w:r>
      <w:r>
        <w:rPr>
          <w:lang w:val="en-GB"/>
        </w:rPr>
        <w:t xml:space="preserve"> DETAILS </w:t>
      </w:r>
      <w:r w:rsidR="0016048B">
        <w:rPr>
          <w:lang w:val="en-GB"/>
        </w:rPr>
        <w:t>Tab, we</w:t>
      </w:r>
      <w:r>
        <w:rPr>
          <w:lang w:val="en-GB"/>
        </w:rPr>
        <w:t xml:space="preserve"> need to provide WORKFLOW DEFINITION ID (</w:t>
      </w:r>
      <w:r w:rsidR="0016048B">
        <w:rPr>
          <w:lang w:val="en-GB"/>
        </w:rPr>
        <w:t>i.e. workflow you want to use as subflow</w:t>
      </w:r>
      <w:r>
        <w:rPr>
          <w:lang w:val="en-GB"/>
        </w:rPr>
        <w:t>, in this case General and Bank Info Workflow) and enable PRINCIPAL PROPAGATION, will use the credentials of a user while invoking the referenced subflow</w:t>
      </w:r>
    </w:p>
    <w:p w14:paraId="64DEFDE8" w14:textId="6D8EE942" w:rsidR="00A53E2F" w:rsidRDefault="00D82FEF" w:rsidP="00A53E2F">
      <w:pPr>
        <w:rPr>
          <w:lang w:val="en-GB"/>
        </w:rPr>
      </w:pPr>
      <w:r>
        <w:rPr>
          <w:noProof/>
        </w:rPr>
        <w:drawing>
          <wp:inline distT="0" distB="0" distL="0" distR="0" wp14:anchorId="333AED5A" wp14:editId="103F7597">
            <wp:extent cx="4090670" cy="3711742"/>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5915" cy="3743722"/>
                    </a:xfrm>
                    <a:prstGeom prst="rect">
                      <a:avLst/>
                    </a:prstGeom>
                  </pic:spPr>
                </pic:pic>
              </a:graphicData>
            </a:graphic>
          </wp:inline>
        </w:drawing>
      </w:r>
    </w:p>
    <w:p w14:paraId="195BAB40" w14:textId="3465811E" w:rsidR="00057E48" w:rsidRDefault="0016048B" w:rsidP="0016048B">
      <w:pPr>
        <w:pStyle w:val="Heading1"/>
        <w:ind w:left="-284"/>
        <w:rPr>
          <w:lang w:val="en-GB"/>
        </w:rPr>
      </w:pPr>
      <w:r>
        <w:rPr>
          <w:lang w:val="en-GB"/>
        </w:rPr>
        <w:lastRenderedPageBreak/>
        <w:t>Workflow Context Mapping</w:t>
      </w:r>
    </w:p>
    <w:p w14:paraId="00FCA1E8" w14:textId="1B6ECBE3" w:rsidR="00A53E2F" w:rsidRDefault="0016048B" w:rsidP="00A53E2F">
      <w:pPr>
        <w:rPr>
          <w:lang w:val="en-GB"/>
        </w:rPr>
      </w:pPr>
      <w:r>
        <w:rPr>
          <w:lang w:val="en-GB"/>
        </w:rPr>
        <w:t xml:space="preserve">In Referenced Subflow properties, choose </w:t>
      </w:r>
      <w:r>
        <w:rPr>
          <w:lang w:val="en-GB"/>
        </w:rPr>
        <w:t>MAPPING</w:t>
      </w:r>
      <w:r>
        <w:rPr>
          <w:lang w:val="en-GB"/>
        </w:rPr>
        <w:t xml:space="preserve"> Tab,</w:t>
      </w:r>
      <w:r>
        <w:rPr>
          <w:lang w:val="en-GB"/>
        </w:rPr>
        <w:t xml:space="preserve"> mapping is used to transfer data between the main workflow and subflow. There are two transfer directions</w:t>
      </w:r>
    </w:p>
    <w:p w14:paraId="04908089" w14:textId="4D2CD1EC" w:rsidR="0016048B" w:rsidRPr="00B65734" w:rsidRDefault="0016048B" w:rsidP="00B65734">
      <w:pPr>
        <w:pStyle w:val="ListParagraph"/>
        <w:numPr>
          <w:ilvl w:val="0"/>
          <w:numId w:val="2"/>
        </w:numPr>
        <w:jc w:val="both"/>
        <w:rPr>
          <w:lang w:val="en-GB"/>
        </w:rPr>
      </w:pPr>
      <w:r w:rsidRPr="00B65734">
        <w:rPr>
          <w:lang w:val="en-GB"/>
        </w:rPr>
        <w:t>Input Mapping: Data passed on to the Subflow, i.e. Workflow Conte</w:t>
      </w:r>
      <w:r w:rsidR="00FA497A">
        <w:rPr>
          <w:lang w:val="en-GB"/>
        </w:rPr>
        <w:t>xt</w:t>
      </w:r>
      <w:r w:rsidRPr="00B65734">
        <w:rPr>
          <w:lang w:val="en-GB"/>
        </w:rPr>
        <w:t xml:space="preserve"> </w:t>
      </w:r>
      <w:r w:rsidR="00FA497A">
        <w:rPr>
          <w:lang w:val="en-GB"/>
        </w:rPr>
        <w:t>of</w:t>
      </w:r>
      <w:r w:rsidRPr="00B65734">
        <w:rPr>
          <w:lang w:val="en-GB"/>
        </w:rPr>
        <w:t xml:space="preserve"> parent workflow is mapped to the child workflow, this will be used as Start Payload for the Child Workflow. The Source Context Path contains the Context of the Main Workflow, it is mapped to the Target Context Path that contains the context of the Subflow</w:t>
      </w:r>
    </w:p>
    <w:p w14:paraId="5B4A2974" w14:textId="4B7E1B48" w:rsidR="0016048B" w:rsidRPr="0016048B" w:rsidRDefault="004519DF" w:rsidP="00FA497A">
      <w:pPr>
        <w:pStyle w:val="ListParagraph"/>
        <w:numPr>
          <w:ilvl w:val="0"/>
          <w:numId w:val="2"/>
        </w:numPr>
        <w:jc w:val="both"/>
        <w:rPr>
          <w:lang w:val="en-GB"/>
        </w:rPr>
      </w:pPr>
      <w:r>
        <w:rPr>
          <w:lang w:val="en-GB"/>
        </w:rPr>
        <w:t xml:space="preserve">Output Mapping: Data that is transferred back from Subflow to the Main Workflow, when the execution of Subflow ends. In this case </w:t>
      </w:r>
      <w:r w:rsidR="00FA497A">
        <w:rPr>
          <w:lang w:val="en-GB"/>
        </w:rPr>
        <w:t>Source Context Path contains the context of Subflow and Target Context Path contains the context of the Main Workflow</w:t>
      </w:r>
    </w:p>
    <w:p w14:paraId="1AF436BF" w14:textId="55FD4282" w:rsidR="0068725B" w:rsidRDefault="004D2FE8" w:rsidP="0068725B">
      <w:pPr>
        <w:rPr>
          <w:lang w:val="en-GB"/>
        </w:rPr>
      </w:pPr>
      <w:r>
        <w:rPr>
          <w:noProof/>
        </w:rPr>
        <w:drawing>
          <wp:inline distT="0" distB="0" distL="0" distR="0" wp14:anchorId="6FED520F" wp14:editId="028F5570">
            <wp:extent cx="4782553" cy="53595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711" cy="5395602"/>
                    </a:xfrm>
                    <a:prstGeom prst="rect">
                      <a:avLst/>
                    </a:prstGeom>
                  </pic:spPr>
                </pic:pic>
              </a:graphicData>
            </a:graphic>
          </wp:inline>
        </w:drawing>
      </w:r>
    </w:p>
    <w:p w14:paraId="50FA7956" w14:textId="77777777" w:rsidR="00FF5881" w:rsidRPr="0068725B" w:rsidRDefault="00FF5881" w:rsidP="0068725B">
      <w:pPr>
        <w:rPr>
          <w:lang w:val="en-GB"/>
        </w:rPr>
      </w:pPr>
    </w:p>
    <w:p w14:paraId="601EC6AC" w14:textId="77777777" w:rsidR="0068725B" w:rsidRPr="00F74949" w:rsidRDefault="0068725B" w:rsidP="00774908">
      <w:pPr>
        <w:jc w:val="both"/>
        <w:rPr>
          <w:lang w:val="en-GB"/>
        </w:rPr>
      </w:pPr>
    </w:p>
    <w:sectPr w:rsidR="0068725B" w:rsidRPr="00F7494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36F61" w14:textId="77777777" w:rsidR="00CE6D3C" w:rsidRDefault="00CE6D3C" w:rsidP="004D2FE8">
      <w:pPr>
        <w:spacing w:after="0" w:line="240" w:lineRule="auto"/>
      </w:pPr>
      <w:r>
        <w:separator/>
      </w:r>
    </w:p>
  </w:endnote>
  <w:endnote w:type="continuationSeparator" w:id="0">
    <w:p w14:paraId="3186A16B" w14:textId="77777777" w:rsidR="00CE6D3C" w:rsidRDefault="00CE6D3C" w:rsidP="004D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56AA1" w14:textId="61D14BBB" w:rsidR="004D2FE8" w:rsidRDefault="004D2FE8">
    <w:pPr>
      <w:pStyle w:val="Footer"/>
    </w:pPr>
    <w:r>
      <w:t>Hari Krishna Dandhibhotla</w:t>
    </w:r>
    <w:r>
      <w:tab/>
    </w:r>
    <w:r>
      <w:tab/>
    </w:r>
    <w:sdt>
      <w:sdtPr>
        <w:id w:val="7284255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8231B2E" w14:textId="77777777" w:rsidR="004D2FE8" w:rsidRDefault="004D2F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D30EC" w14:textId="77777777" w:rsidR="00CE6D3C" w:rsidRDefault="00CE6D3C" w:rsidP="004D2FE8">
      <w:pPr>
        <w:spacing w:after="0" w:line="240" w:lineRule="auto"/>
      </w:pPr>
      <w:r>
        <w:separator/>
      </w:r>
    </w:p>
  </w:footnote>
  <w:footnote w:type="continuationSeparator" w:id="0">
    <w:p w14:paraId="7E64BF58" w14:textId="77777777" w:rsidR="00CE6D3C" w:rsidRDefault="00CE6D3C" w:rsidP="004D2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2462D"/>
    <w:multiLevelType w:val="hybridMultilevel"/>
    <w:tmpl w:val="03761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616026"/>
    <w:multiLevelType w:val="hybridMultilevel"/>
    <w:tmpl w:val="CFA6D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ED"/>
    <w:rsid w:val="00052399"/>
    <w:rsid w:val="00057E48"/>
    <w:rsid w:val="00105ADF"/>
    <w:rsid w:val="0016048B"/>
    <w:rsid w:val="002B3E82"/>
    <w:rsid w:val="0041471B"/>
    <w:rsid w:val="004519DF"/>
    <w:rsid w:val="0048776D"/>
    <w:rsid w:val="004D2FE8"/>
    <w:rsid w:val="005776D1"/>
    <w:rsid w:val="0068725B"/>
    <w:rsid w:val="00774908"/>
    <w:rsid w:val="00911362"/>
    <w:rsid w:val="00A27B5A"/>
    <w:rsid w:val="00A53E2F"/>
    <w:rsid w:val="00AA31BA"/>
    <w:rsid w:val="00B65734"/>
    <w:rsid w:val="00BC676A"/>
    <w:rsid w:val="00CE6D3C"/>
    <w:rsid w:val="00D527D4"/>
    <w:rsid w:val="00D82FEF"/>
    <w:rsid w:val="00E96EB0"/>
    <w:rsid w:val="00F147ED"/>
    <w:rsid w:val="00F342BA"/>
    <w:rsid w:val="00F74949"/>
    <w:rsid w:val="00F82E88"/>
    <w:rsid w:val="00F83105"/>
    <w:rsid w:val="00F87333"/>
    <w:rsid w:val="00F95B43"/>
    <w:rsid w:val="00FA497A"/>
    <w:rsid w:val="00FF5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71D6B"/>
  <w15:chartTrackingRefBased/>
  <w15:docId w15:val="{5230F875-353E-443C-9A7F-327D2040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72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048B"/>
    <w:pPr>
      <w:ind w:left="720"/>
      <w:contextualSpacing/>
    </w:pPr>
  </w:style>
  <w:style w:type="paragraph" w:styleId="Header">
    <w:name w:val="header"/>
    <w:basedOn w:val="Normal"/>
    <w:link w:val="HeaderChar"/>
    <w:uiPriority w:val="99"/>
    <w:unhideWhenUsed/>
    <w:rsid w:val="004D2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FE8"/>
  </w:style>
  <w:style w:type="paragraph" w:styleId="Footer">
    <w:name w:val="footer"/>
    <w:basedOn w:val="Normal"/>
    <w:link w:val="FooterChar"/>
    <w:uiPriority w:val="99"/>
    <w:unhideWhenUsed/>
    <w:rsid w:val="004D2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FE8"/>
  </w:style>
  <w:style w:type="paragraph" w:styleId="BalloonText">
    <w:name w:val="Balloon Text"/>
    <w:basedOn w:val="Normal"/>
    <w:link w:val="BalloonTextChar"/>
    <w:uiPriority w:val="99"/>
    <w:semiHidden/>
    <w:unhideWhenUsed/>
    <w:rsid w:val="004D2F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F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 Dandhibhotla</dc:creator>
  <cp:keywords/>
  <dc:description/>
  <cp:lastModifiedBy>Hari Krishna Dandhibhotla</cp:lastModifiedBy>
  <cp:revision>74</cp:revision>
  <cp:lastPrinted>2021-03-23T08:24:00Z</cp:lastPrinted>
  <dcterms:created xsi:type="dcterms:W3CDTF">2021-03-23T06:42:00Z</dcterms:created>
  <dcterms:modified xsi:type="dcterms:W3CDTF">2021-03-23T08:27:00Z</dcterms:modified>
</cp:coreProperties>
</file>