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hdphoto1.wdp" ContentType="image/vnd.ms-photo"/>
  <Override PartName="/word/media/image3.png" ContentType="image/png"/>
  <Override PartName="/word/media/image4.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t>CONTRATO DE CONCESION 0094 DE 2000</w:t>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t>ACTA DE REDIMENSIONAMIENTO DE LA INFRAESTRUCTURA DEL SISTEMA DE ALUMBRADO PUBLICO DEL MUNICIPIO DE GIRON</w:t>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t>ACTA No. ${ACTA_NUMERO}</w:t>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center"/>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t>${PERIODO}</w:t>
      </w:r>
    </w:p>
    <w:p>
      <w:pPr>
        <w:pStyle w:val="Normal"/>
        <w:spacing w:lineRule="auto" w:line="240" w:before="0" w:after="0"/>
        <w:jc w:val="both"/>
        <w:rPr>
          <w:rFonts w:ascii="Arial" w:hAnsi="Arial" w:eastAsia="Times New Roman" w:cs="Arial"/>
          <w:bCs/>
          <w:color w:val="000000"/>
          <w:sz w:val="24"/>
          <w:szCs w:val="24"/>
          <w:lang w:eastAsia="es-CO"/>
        </w:rPr>
      </w:pPr>
      <w:r>
        <w:rPr>
          <w:rFonts w:eastAsia="Times New Roman" w:cs="Arial" w:ascii="Arial" w:hAnsi="Arial"/>
          <w:bCs/>
          <w:color w:val="000000"/>
          <w:sz w:val="24"/>
          <w:szCs w:val="24"/>
          <w:lang w:eastAsia="es-CO"/>
        </w:rPr>
      </w:r>
    </w:p>
    <w:p>
      <w:pPr>
        <w:pStyle w:val="Normal"/>
        <w:spacing w:lineRule="auto" w:line="240" w:before="0" w:after="0"/>
        <w:jc w:val="both"/>
        <w:rPr>
          <w:rFonts w:ascii="Arial" w:hAnsi="Arial" w:eastAsia="Times New Roman" w:cs="Arial"/>
          <w:bCs/>
          <w:color w:val="000000"/>
          <w:sz w:val="24"/>
          <w:szCs w:val="24"/>
          <w:lang w:eastAsia="es-CO"/>
        </w:rPr>
      </w:pPr>
      <w:r>
        <w:rPr>
          <w:rFonts w:eastAsia="Times New Roman" w:cs="Arial" w:ascii="Arial" w:hAnsi="Arial"/>
          <w:bCs/>
          <w:color w:val="000000"/>
          <w:sz w:val="24"/>
          <w:szCs w:val="24"/>
          <w:lang w:eastAsia="es-CO"/>
        </w:rPr>
      </w:r>
    </w:p>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bCs/>
          <w:color w:val="000000"/>
          <w:sz w:val="24"/>
          <w:szCs w:val="24"/>
          <w:lang w:eastAsia="es-CO"/>
        </w:rPr>
        <w:t xml:space="preserve">El </w:t>
      </w:r>
      <w:r>
        <w:rPr>
          <w:rFonts w:eastAsia="Times New Roman" w:cs="Arial" w:ascii="Arial" w:hAnsi="Arial"/>
          <w:b/>
          <w:bCs/>
          <w:color w:val="000000"/>
          <w:sz w:val="24"/>
          <w:szCs w:val="24"/>
          <w:lang w:eastAsia="es-CO"/>
        </w:rPr>
        <w:t>ING GABRIEL MARTINEZ MARTINEZ</w:t>
      </w:r>
      <w:r>
        <w:rPr>
          <w:rFonts w:eastAsia="Times New Roman" w:cs="Arial" w:ascii="Arial" w:hAnsi="Arial"/>
          <w:bCs/>
          <w:color w:val="000000"/>
          <w:sz w:val="24"/>
          <w:szCs w:val="24"/>
          <w:lang w:eastAsia="es-CO"/>
        </w:rPr>
        <w:t xml:space="preserve"> representando legalmente a </w:t>
      </w:r>
      <w:r>
        <w:rPr>
          <w:rFonts w:eastAsia="Times New Roman" w:cs="Arial" w:ascii="Arial" w:hAnsi="Arial"/>
          <w:b/>
          <w:bCs/>
          <w:color w:val="000000"/>
          <w:sz w:val="24"/>
          <w:szCs w:val="24"/>
          <w:lang w:eastAsia="es-CO"/>
        </w:rPr>
        <w:t xml:space="preserve">ILUMINACIÓN SAN JUAN DE GIRÓN </w:t>
      </w:r>
      <w:r>
        <w:rPr>
          <w:rFonts w:eastAsia="Times New Roman" w:cs="Arial" w:ascii="Arial" w:hAnsi="Arial"/>
          <w:bCs/>
          <w:color w:val="000000"/>
          <w:sz w:val="24"/>
          <w:szCs w:val="24"/>
          <w:lang w:eastAsia="es-CO"/>
        </w:rPr>
        <w:t xml:space="preserve">en su calidad de </w:t>
      </w:r>
      <w:r>
        <w:rPr>
          <w:rFonts w:eastAsia="Times New Roman" w:cs="Arial" w:ascii="Arial" w:hAnsi="Arial"/>
          <w:b/>
          <w:bCs/>
          <w:color w:val="000000"/>
          <w:sz w:val="24"/>
          <w:szCs w:val="24"/>
          <w:lang w:eastAsia="es-CO"/>
        </w:rPr>
        <w:t xml:space="preserve">CONCESIONARIO DE ALUMBRADO PUBLICO DEL MUNCIPIO DE GIRON </w:t>
      </w:r>
      <w:r>
        <w:rPr>
          <w:rFonts w:eastAsia="Times New Roman" w:cs="Arial" w:ascii="Arial" w:hAnsi="Arial"/>
          <w:bCs/>
          <w:color w:val="000000"/>
          <w:sz w:val="24"/>
          <w:szCs w:val="24"/>
          <w:lang w:eastAsia="es-CO"/>
        </w:rPr>
        <w:t xml:space="preserve">y </w:t>
      </w:r>
      <w:r>
        <w:rPr>
          <w:rFonts w:eastAsia="Times New Roman" w:cs="Arial" w:ascii="Arial" w:hAnsi="Arial"/>
          <w:b/>
          <w:bCs/>
          <w:color w:val="000000"/>
          <w:sz w:val="24"/>
          <w:szCs w:val="24"/>
          <w:lang w:eastAsia="es-CO"/>
        </w:rPr>
        <w:t>BELCY YULIETH BONILLA DURAN</w:t>
      </w:r>
      <w:r>
        <w:rPr>
          <w:rFonts w:eastAsia="Times New Roman" w:cs="Arial" w:ascii="Arial" w:hAnsi="Arial"/>
          <w:bCs/>
          <w:color w:val="000000"/>
          <w:sz w:val="24"/>
          <w:szCs w:val="24"/>
          <w:lang w:eastAsia="es-CO"/>
        </w:rPr>
        <w:t xml:space="preserve"> representando legalmente a </w:t>
      </w:r>
      <w:r>
        <w:rPr>
          <w:rFonts w:eastAsia="Times New Roman" w:cs="Arial" w:ascii="Arial" w:hAnsi="Arial"/>
          <w:b/>
          <w:bCs/>
          <w:color w:val="000000"/>
          <w:sz w:val="24"/>
          <w:szCs w:val="24"/>
          <w:lang w:eastAsia="es-CO"/>
        </w:rPr>
        <w:t xml:space="preserve">INTERVENTORÍA TÉCNICA ADMINISTRATIVA Y FINANCIERA ITAF SAS, </w:t>
      </w:r>
      <w:r>
        <w:rPr>
          <w:rFonts w:eastAsia="Times New Roman" w:cs="Arial" w:ascii="Arial" w:hAnsi="Arial"/>
          <w:color w:val="000000"/>
          <w:sz w:val="24"/>
          <w:szCs w:val="24"/>
          <w:lang w:eastAsia="es-CO"/>
        </w:rPr>
        <w:t xml:space="preserve">Interventoría del Contrato de Concesión de Alumbrado Público del Municipio de Girón Según Contrato 814 de 2013, celebramos la presente reunión y legalizamos la presente Acta para dar cumplimiento a lo contenido en la </w:t>
      </w:r>
      <w:r>
        <w:rPr>
          <w:rFonts w:eastAsia="Times New Roman" w:cs="Arial" w:ascii="Arial" w:hAnsi="Arial"/>
          <w:b/>
          <w:color w:val="000000"/>
          <w:sz w:val="24"/>
          <w:szCs w:val="24"/>
          <w:lang w:eastAsia="es-CO"/>
        </w:rPr>
        <w:t xml:space="preserve">CLAUSULA PRIMERA DEL CONTRATO 0094 DE 2000, </w:t>
      </w:r>
      <w:r>
        <w:rPr>
          <w:rFonts w:eastAsia="Times New Roman" w:cs="Arial" w:ascii="Arial" w:hAnsi="Arial"/>
          <w:color w:val="000000"/>
          <w:sz w:val="24"/>
          <w:szCs w:val="24"/>
          <w:lang w:eastAsia="es-CO"/>
        </w:rPr>
        <w:t xml:space="preserve">la cual fue Modificada Mediante la </w:t>
      </w:r>
      <w:r>
        <w:rPr>
          <w:rFonts w:eastAsia="Times New Roman" w:cs="Arial" w:ascii="Arial" w:hAnsi="Arial"/>
          <w:b/>
          <w:color w:val="000000"/>
          <w:sz w:val="24"/>
          <w:szCs w:val="24"/>
          <w:lang w:eastAsia="es-CO"/>
        </w:rPr>
        <w:t xml:space="preserve">CLAUSULA PRIMERA DEL OTROSI NUMERO 3 AL CONTRATO 0094 DE 2000, </w:t>
      </w:r>
      <w:r>
        <w:rPr>
          <w:rFonts w:eastAsia="Times New Roman" w:cs="Arial" w:ascii="Arial" w:hAnsi="Arial"/>
          <w:color w:val="000000"/>
          <w:sz w:val="24"/>
          <w:szCs w:val="24"/>
          <w:lang w:eastAsia="es-CO"/>
        </w:rPr>
        <w:t>quedando estipulado lo siguiente:</w:t>
      </w:r>
    </w:p>
    <w:p>
      <w:pPr>
        <w:pStyle w:val="Normal"/>
        <w:spacing w:lineRule="auto" w:line="240" w:before="0" w:after="0"/>
        <w:jc w:val="both"/>
        <w:rPr>
          <w:rFonts w:ascii="Arial" w:hAnsi="Arial" w:eastAsia="Times New Roman" w:cs="Arial"/>
          <w:color w:val="000000"/>
          <w:sz w:val="24"/>
          <w:szCs w:val="24"/>
          <w:lang w:eastAsia="es-CO"/>
        </w:rPr>
      </w:pPr>
      <w:r>
        <w:rPr>
          <w:rFonts w:eastAsia="Times New Roman" w:cs="Arial" w:ascii="Arial" w:hAnsi="Arial"/>
          <w:color w:val="000000"/>
          <w:sz w:val="24"/>
          <w:szCs w:val="24"/>
          <w:lang w:eastAsia="es-CO"/>
        </w:rPr>
      </w:r>
    </w:p>
    <w:p>
      <w:pPr>
        <w:pStyle w:val="Normal"/>
        <w:spacing w:lineRule="auto" w:line="240" w:before="0" w:after="0"/>
        <w:jc w:val="both"/>
        <w:rPr>
          <w:rFonts w:ascii="Arial" w:hAnsi="Arial" w:eastAsia="Times New Roman" w:cs="Arial"/>
          <w:b/>
          <w:bCs/>
          <w:i/>
          <w:i/>
          <w:color w:val="000000"/>
          <w:sz w:val="24"/>
          <w:szCs w:val="24"/>
          <w:lang w:eastAsia="es-CO"/>
        </w:rPr>
      </w:pPr>
      <w:r>
        <w:rPr>
          <w:rFonts w:eastAsia="Times New Roman" w:cs="Arial" w:ascii="Arial" w:hAnsi="Arial"/>
          <w:b/>
          <w:bCs/>
          <w:i/>
          <w:color w:val="000000"/>
          <w:sz w:val="24"/>
          <w:szCs w:val="24"/>
          <w:lang w:eastAsia="es-CO"/>
        </w:rPr>
        <w:t>“</w:t>
      </w:r>
      <w:r>
        <w:rPr>
          <w:rFonts w:eastAsia="Times New Roman" w:cs="Arial" w:ascii="Arial" w:hAnsi="Arial"/>
          <w:b/>
          <w:bCs/>
          <w:i/>
          <w:color w:val="000000"/>
          <w:sz w:val="24"/>
          <w:szCs w:val="24"/>
          <w:lang w:eastAsia="es-CO"/>
        </w:rPr>
        <w:t xml:space="preserve">CLAUSULA PRIMERA: OBJETO: …. 4.) EXPANSIONES: </w:t>
      </w:r>
      <w:r>
        <w:rPr>
          <w:rFonts w:eastAsia="Times New Roman" w:cs="Arial" w:ascii="Arial" w:hAnsi="Arial"/>
          <w:bCs/>
          <w:i/>
          <w:color w:val="000000"/>
          <w:sz w:val="24"/>
          <w:szCs w:val="24"/>
          <w:lang w:eastAsia="es-CO"/>
        </w:rPr>
        <w:t xml:space="preserve">El presente contrato incluye la adecuada cobertura del servicio con la expansión del Sistema de iluminación, en los términos en que se defina el Plan de Expansión Municipal de que trata el Decreto 2424 de 2006 o las normas que la sustituyan. El Concesionario deberá ejecutar la expansión vegetativa contractualmente pactada y la actividad de expansión adicional, por obras especiales y/o complementarias y/o modernización y aplicar las inversiones correspondientes que ejecute con sus propios recursos sobre el área de cobertura concesionada y las que se ejecuten con cargo al presupuesto municipal, cumpliendo el reglamento técnico de iluminación y alumbrado público RETILAP en materia de calidad y diseño del sistema de iluminación e </w:t>
      </w:r>
      <w:r>
        <w:rPr>
          <w:rFonts w:eastAsia="Times New Roman" w:cs="Arial" w:ascii="Arial" w:hAnsi="Arial"/>
          <w:b/>
          <w:bCs/>
          <w:i/>
          <w:color w:val="000000"/>
          <w:sz w:val="24"/>
          <w:szCs w:val="24"/>
          <w:lang w:eastAsia="es-CO"/>
        </w:rPr>
        <w:t>incorporarlas dentro del modelo de operación y mantenimiento del sistema</w:t>
      </w:r>
      <w:r>
        <w:rPr>
          <w:rFonts w:eastAsia="Times New Roman" w:cs="Arial" w:ascii="Arial" w:hAnsi="Arial"/>
          <w:bCs/>
          <w:i/>
          <w:color w:val="000000"/>
          <w:sz w:val="24"/>
          <w:szCs w:val="24"/>
          <w:lang w:eastAsia="es-CO"/>
        </w:rPr>
        <w:t xml:space="preserve"> hasta la conclusión del plazo de la concesión conforme a la regulación, para lo cual </w:t>
      </w:r>
      <w:r>
        <w:rPr>
          <w:rFonts w:eastAsia="Times New Roman" w:cs="Arial" w:ascii="Arial" w:hAnsi="Arial"/>
          <w:b/>
          <w:bCs/>
          <w:i/>
          <w:color w:val="000000"/>
          <w:sz w:val="24"/>
          <w:szCs w:val="24"/>
          <w:lang w:eastAsia="es-CO"/>
        </w:rPr>
        <w:t>mensualmente con el municipio representado por la interventoría harán los cálculos y el ajuste al modelo financiero conforme a lo regulado en la Resolución CREG 123 de 2011…”</w:t>
      </w:r>
    </w:p>
    <w:p>
      <w:pPr>
        <w:pStyle w:val="Normal"/>
        <w:spacing w:lineRule="auto" w:line="240" w:before="0" w:after="0"/>
        <w:jc w:val="both"/>
        <w:rPr>
          <w:rFonts w:ascii="Arial" w:hAnsi="Arial" w:eastAsia="Times New Roman" w:cs="Arial"/>
          <w:b/>
          <w:bCs/>
          <w:i/>
          <w:i/>
          <w:color w:val="000000"/>
          <w:sz w:val="24"/>
          <w:szCs w:val="24"/>
          <w:lang w:eastAsia="es-CO"/>
        </w:rPr>
      </w:pPr>
      <w:r>
        <w:rPr>
          <w:rFonts w:eastAsia="Times New Roman" w:cs="Arial" w:ascii="Arial" w:hAnsi="Arial"/>
          <w:b/>
          <w:bCs/>
          <w:i/>
          <w:color w:val="000000"/>
          <w:sz w:val="24"/>
          <w:szCs w:val="24"/>
          <w:lang w:eastAsia="es-CO"/>
        </w:rPr>
      </w:r>
    </w:p>
    <w:p>
      <w:pPr>
        <w:pStyle w:val="Normal"/>
        <w:spacing w:lineRule="auto" w:line="240" w:before="0" w:after="0"/>
        <w:jc w:val="both"/>
        <w:rPr>
          <w:rFonts w:ascii="Arial" w:hAnsi="Arial" w:eastAsia="Times New Roman" w:cs="Arial"/>
          <w:bCs/>
          <w:color w:val="000000"/>
          <w:sz w:val="24"/>
          <w:szCs w:val="24"/>
          <w:lang w:eastAsia="es-CO"/>
        </w:rPr>
      </w:pPr>
      <w:r>
        <w:rPr>
          <w:rFonts w:eastAsia="Times New Roman" w:cs="Arial" w:ascii="Arial" w:hAnsi="Arial"/>
          <w:bCs/>
          <w:color w:val="000000"/>
          <w:sz w:val="24"/>
          <w:szCs w:val="24"/>
          <w:lang w:eastAsia="es-CO"/>
        </w:rPr>
        <w:t>De conformidad con lo anterior, una vez realizadas las obras de expansión vegetativa contractualmente pactada y la actividad de expansión adicional, por obras especiales y/o complementarias y/o modernización, se procede a ser incorporadas dentro del modelo de operación y mantenimiento del sistema y se hace el respectivo ajuste al modelo financiero de conformidad con la Resolución CREG.</w:t>
      </w:r>
    </w:p>
    <w:p>
      <w:pPr>
        <w:pStyle w:val="Normal"/>
        <w:spacing w:lineRule="auto" w:line="240" w:before="0" w:after="0"/>
        <w:jc w:val="both"/>
        <w:rPr>
          <w:rFonts w:ascii="Arial" w:hAnsi="Arial" w:eastAsia="Times New Roman" w:cs="Arial"/>
          <w:bCs/>
          <w:color w:val="000000"/>
          <w:sz w:val="24"/>
          <w:szCs w:val="24"/>
          <w:lang w:eastAsia="es-CO"/>
        </w:rPr>
      </w:pPr>
      <w:r>
        <w:rPr>
          <w:rFonts w:eastAsia="Times New Roman" w:cs="Arial" w:ascii="Arial" w:hAnsi="Arial"/>
          <w:bCs/>
          <w:color w:val="000000"/>
          <w:sz w:val="24"/>
          <w:szCs w:val="24"/>
          <w:lang w:eastAsia="es-CO"/>
        </w:rPr>
      </w:r>
    </w:p>
    <w:p>
      <w:pPr>
        <w:pStyle w:val="Normal"/>
        <w:spacing w:lineRule="auto" w:line="240" w:before="0" w:after="0"/>
        <w:jc w:val="both"/>
        <w:rPr>
          <w:rFonts w:ascii="Arial" w:hAnsi="Arial" w:eastAsia="Times New Roman" w:cs="Arial"/>
          <w:b/>
          <w:bCs/>
          <w:color w:val="000000"/>
          <w:sz w:val="24"/>
          <w:szCs w:val="24"/>
          <w:lang w:eastAsia="es-CO"/>
        </w:rPr>
      </w:pPr>
      <w:r>
        <w:rPr>
          <w:rFonts w:eastAsia="Times New Roman" w:cs="Arial" w:ascii="Arial" w:hAnsi="Arial"/>
          <w:bCs/>
          <w:color w:val="000000"/>
          <w:sz w:val="24"/>
          <w:szCs w:val="24"/>
          <w:lang w:eastAsia="es-CO"/>
        </w:rPr>
        <w:t>A continuación, se presenta el redimensionamiento del Sistema a ${PERIODO_ANTERIOR_LETRAS}</w:t>
      </w:r>
      <w:r>
        <w:rPr>
          <w:rFonts w:eastAsia="Times New Roman" w:cs="Arial" w:ascii="Arial" w:hAnsi="Arial"/>
          <w:b/>
          <w:bCs/>
          <w:color w:val="000000"/>
          <w:sz w:val="24"/>
          <w:szCs w:val="24"/>
          <w:lang w:eastAsia="es-CO"/>
        </w:rPr>
        <w:t xml:space="preserve"> </w:t>
      </w:r>
      <w:r>
        <w:rPr>
          <w:rFonts w:eastAsia="Times New Roman" w:cs="Arial" w:ascii="Arial" w:hAnsi="Arial"/>
          <w:bCs/>
          <w:color w:val="000000"/>
          <w:sz w:val="24"/>
          <w:szCs w:val="24"/>
          <w:lang w:eastAsia="es-CO"/>
        </w:rPr>
        <w:t xml:space="preserve">el cual ha sido incorporado al modelo de operación y mantenimiento y tomado en cuenta para el cálculo de CAOM del mes de </w:t>
      </w:r>
      <w:r>
        <w:rPr>
          <w:rFonts w:eastAsia="Times New Roman" w:cs="Arial" w:ascii="Arial" w:hAnsi="Arial"/>
          <w:b/>
          <w:bCs/>
          <w:color w:val="000000"/>
          <w:sz w:val="24"/>
          <w:szCs w:val="24"/>
          <w:lang w:eastAsia="es-CO"/>
        </w:rPr>
        <w:t>${PERIODO_CON_DE}.</w:t>
      </w:r>
    </w:p>
    <w:p>
      <w:pPr>
        <w:pStyle w:val="Normal"/>
        <w:spacing w:lineRule="auto" w:line="240" w:before="0" w:after="0"/>
        <w:jc w:val="both"/>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before="0" w:after="0"/>
        <w:jc w:val="both"/>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t>Ver Anexo 01.</w:t>
      </w:r>
    </w:p>
    <w:p>
      <w:pPr>
        <w:pStyle w:val="Normal"/>
        <w:spacing w:lineRule="auto" w:line="240" w:before="0" w:after="0"/>
        <w:jc w:val="both"/>
        <w:rPr>
          <w:rFonts w:ascii="Arial" w:hAnsi="Arial" w:eastAsia="Times New Roman" w:cs="Arial"/>
          <w:b/>
          <w:bCs/>
          <w:color w:val="000000"/>
          <w:sz w:val="24"/>
          <w:szCs w:val="24"/>
          <w:lang w:eastAsia="es-CO"/>
        </w:rPr>
      </w:pPr>
      <w:r>
        <w:rPr>
          <w:rFonts w:eastAsia="Times New Roman" w:cs="Arial" w:ascii="Arial" w:hAnsi="Arial"/>
          <w:b/>
          <w:bCs/>
          <w:color w:val="000000"/>
          <w:sz w:val="24"/>
          <w:szCs w:val="24"/>
          <w:lang w:eastAsia="es-CO"/>
        </w:rPr>
      </w:r>
    </w:p>
    <w:p>
      <w:pPr>
        <w:pStyle w:val="Normal"/>
        <w:spacing w:lineRule="auto" w:line="240"/>
        <w:jc w:val="both"/>
        <w:rPr>
          <w:rFonts w:ascii="Arial" w:hAnsi="Arial" w:cs="Arial"/>
          <w:sz w:val="24"/>
          <w:szCs w:val="24"/>
        </w:rPr>
      </w:pPr>
      <w:r>
        <w:rPr>
          <w:rFonts w:cs="Arial" w:ascii="Arial" w:hAnsi="Arial"/>
          <w:sz w:val="24"/>
          <w:szCs w:val="24"/>
        </w:rPr>
        <w:t xml:space="preserve">El valor total del Redimensionamiento de la Infraestructura del Sistema de Alumbrado Público del Girón durante el mes de </w:t>
      </w:r>
      <w:r>
        <w:rPr>
          <w:rFonts w:cs="Arial" w:ascii="Arial" w:hAnsi="Arial"/>
          <w:b/>
          <w:bCs/>
          <w:sz w:val="24"/>
          <w:szCs w:val="24"/>
        </w:rPr>
        <w:t>${PERIODO_ANTERIOR_CON_DE}</w:t>
      </w:r>
      <w:r>
        <w:rPr>
          <w:rFonts w:cs="Arial" w:ascii="Arial" w:hAnsi="Arial"/>
          <w:sz w:val="24"/>
          <w:szCs w:val="24"/>
        </w:rPr>
        <w:t xml:space="preserve"> ascendió a la suma de </w:t>
      </w:r>
      <w:r>
        <w:rPr>
          <w:rFonts w:cs="Arial" w:ascii="Arial" w:hAnsi="Arial"/>
          <w:b/>
          <w:bCs/>
          <w:sz w:val="24"/>
          <w:szCs w:val="24"/>
        </w:rPr>
        <w:t>(</w:t>
      </w:r>
      <w:r>
        <w:rPr>
          <w:rFonts w:cs="Arial" w:ascii="Arial" w:hAnsi="Arial"/>
          <w:b/>
          <w:sz w:val="24"/>
          <w:szCs w:val="24"/>
        </w:rPr>
        <w:t xml:space="preserve">${VALOR_ACUMULADO_ANTERIOR}), </w:t>
      </w:r>
      <w:r>
        <w:rPr>
          <w:rFonts w:cs="Arial" w:ascii="Arial" w:hAnsi="Arial"/>
          <w:sz w:val="24"/>
          <w:szCs w:val="24"/>
        </w:rPr>
        <w:t xml:space="preserve">y el Redimensionamiento Total Acumulado desde el 1 de enero de 2015 hasta el ${PERIODO_ANTERIOR_LETRAS} asciende a la suma de </w:t>
      </w:r>
      <w:r>
        <w:rPr>
          <w:rFonts w:cs="Arial" w:ascii="Arial" w:hAnsi="Arial"/>
          <w:b/>
          <w:bCs/>
          <w:sz w:val="24"/>
          <w:szCs w:val="24"/>
        </w:rPr>
        <w:t>${VALOR_ACUMULADO}</w:t>
      </w:r>
      <w:r>
        <w:rPr>
          <w:rFonts w:cs="Arial" w:ascii="Arial" w:hAnsi="Arial"/>
          <w:b/>
          <w:sz w:val="24"/>
          <w:szCs w:val="24"/>
        </w:rPr>
        <w:t xml:space="preserve">, </w:t>
      </w:r>
      <w:r>
        <w:rPr>
          <w:rFonts w:cs="Arial" w:ascii="Arial" w:hAnsi="Arial"/>
          <w:sz w:val="24"/>
          <w:szCs w:val="24"/>
        </w:rPr>
        <w:t xml:space="preserve">valor que es incluido en el Cálculo de CAOM del mes de </w:t>
      </w:r>
      <w:r>
        <w:rPr>
          <w:rFonts w:cs="Arial" w:ascii="Arial" w:hAnsi="Arial"/>
          <w:b/>
          <w:bCs/>
          <w:sz w:val="24"/>
          <w:szCs w:val="24"/>
        </w:rPr>
        <w:t>${PERIODO_CON_DE}</w:t>
      </w:r>
      <w:r>
        <w:rPr>
          <w:rFonts w:cs="Arial" w:ascii="Arial" w:hAnsi="Arial"/>
          <w:sz w:val="24"/>
          <w:szCs w:val="24"/>
        </w:rPr>
        <w:t xml:space="preserve">. </w:t>
      </w:r>
    </w:p>
    <w:p>
      <w:pPr>
        <w:pStyle w:val="Normal"/>
        <w:spacing w:lineRule="auto" w:line="240"/>
        <w:jc w:val="both"/>
        <w:rPr>
          <w:rFonts w:ascii="Arial" w:hAnsi="Arial" w:cs="Arial"/>
          <w:sz w:val="24"/>
          <w:szCs w:val="24"/>
        </w:rPr>
      </w:pPr>
      <w:r>
        <w:rPr>
          <w:rFonts w:cs="Arial" w:ascii="Arial" w:hAnsi="Arial"/>
          <w:sz w:val="24"/>
          <w:szCs w:val="24"/>
        </w:rPr>
        <w:t>En constancia de lo anterior, se firma a los ${FECHA_FIRMA}.</w:t>
      </w:r>
    </w:p>
    <w:p>
      <w:pPr>
        <w:pStyle w:val="NoSpacing"/>
        <w:rPr>
          <w:rFonts w:ascii="Arial" w:hAnsi="Arial" w:cs="Arial"/>
          <w:sz w:val="24"/>
          <w:szCs w:val="24"/>
        </w:rPr>
      </w:pPr>
      <w:r>
        <w:rPr>
          <w:rFonts w:cs="Arial" w:ascii="Arial" w:hAnsi="Arial"/>
          <w:sz w:val="24"/>
          <w:szCs w:val="24"/>
        </w:rPr>
        <w:drawing>
          <wp:anchor behindDoc="1" distT="0" distB="0" distL="0" distR="0" simplePos="0" locked="0" layoutInCell="0" allowOverlap="1" relativeHeight="6">
            <wp:simplePos x="0" y="0"/>
            <wp:positionH relativeFrom="margin">
              <wp:posOffset>2825115</wp:posOffset>
            </wp:positionH>
            <wp:positionV relativeFrom="paragraph">
              <wp:posOffset>69215</wp:posOffset>
            </wp:positionV>
            <wp:extent cx="1708785" cy="75882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rcRect l="0" t="0" r="3013" b="6019"/>
                    <a:stretch>
                      <a:fillRect/>
                    </a:stretch>
                  </pic:blipFill>
                  <pic:spPr bwMode="auto">
                    <a:xfrm>
                      <a:off x="0" y="0"/>
                      <a:ext cx="1708785" cy="758825"/>
                    </a:xfrm>
                    <a:prstGeom prst="rect">
                      <a:avLst/>
                    </a:prstGeom>
                  </pic:spPr>
                </pic:pic>
              </a:graphicData>
            </a:graphic>
          </wp:anchor>
        </w:drawing>
        <mc:AlternateContent>
          <mc:Choice Requires="wps">
            <w:drawing>
              <wp:anchor behindDoc="1" distT="0" distB="0" distL="0" distR="0" simplePos="0" locked="0" layoutInCell="0" allowOverlap="1" relativeHeight="7" wp14:anchorId="30584AC1">
                <wp:simplePos x="0" y="0"/>
                <wp:positionH relativeFrom="margin">
                  <wp:posOffset>137160</wp:posOffset>
                </wp:positionH>
                <wp:positionV relativeFrom="paragraph">
                  <wp:posOffset>154305</wp:posOffset>
                </wp:positionV>
                <wp:extent cx="1426845" cy="923925"/>
                <wp:effectExtent l="0" t="0" r="0" b="0"/>
                <wp:wrapNone/>
                <wp:docPr id="2" name="Imagen 7"/>
                <a:graphic xmlns:a="http://schemas.openxmlformats.org/drawingml/2006/main">
                  <a:graphicData uri="http://schemas.openxmlformats.org/drawingml/2006/picture">
                    <pic:pic xmlns:pic="http://schemas.openxmlformats.org/drawingml/2006/picture">
                      <pic:nvPicPr>
                        <pic:cNvPr id="0" name="Imagen 7" descr=""/>
                        <pic:cNvPicPr/>
                      </pic:nvPicPr>
                      <pic:blipFill>
                        <a:blip r:embed="rId3">
                          <a:extLst>
                            <a:ext uri="{BEBA8EAE-BF5A-486C-A8C5-ECC9F3942E4B}">
                              <a14:imgProps xmlns:a14="http://schemas.microsoft.com/office/drawing/2010/main">
                                <a14:imgLayer r:embed="rId4">
                                  <a14:imgEffect>
                                    <a14:saturation sat="66000"/>
                                  </a14:imgEffect>
                                </a14:imgLayer>
                              </a14:imgProps>
                            </a:ext>
                          </a:extLst>
                        </a:blip>
                        <a:stretch/>
                      </pic:blipFill>
                      <pic:spPr>
                        <a:xfrm>
                          <a:off x="0" y="0"/>
                          <a:ext cx="1426680" cy="9237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7" stroked="f" o:allowincell="f" style="position:absolute;margin-left:10.8pt;margin-top:12.15pt;width:112.3pt;height:72.7pt;mso-wrap-style:none;v-text-anchor:middle;mso-position-horizontal-relative:margin" wp14:anchorId="30584AC1" type="_x0000_t75">
                <v:imagedata r:id="rId5" o:detectmouseclick="t"/>
                <v:stroke color="#3465a4" joinstyle="round" endcap="flat"/>
                <w10:wrap type="none"/>
              </v:shape>
            </w:pict>
          </mc:Fallback>
        </mc:AlternateConten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______________________</w:t>
        <w:tab/>
        <w:tab/>
        <w:t>__________________________</w:t>
      </w:r>
    </w:p>
    <w:p>
      <w:pPr>
        <w:pStyle w:val="NoSpacing"/>
        <w:rPr>
          <w:rFonts w:ascii="Arial" w:hAnsi="Arial" w:cs="Arial"/>
          <w:b/>
          <w:sz w:val="24"/>
          <w:szCs w:val="24"/>
        </w:rPr>
      </w:pPr>
      <w:r>
        <w:rPr>
          <w:rFonts w:cs="Arial" w:ascii="Arial" w:hAnsi="Arial"/>
          <w:b/>
          <w:sz w:val="24"/>
          <w:szCs w:val="24"/>
        </w:rPr>
        <w:t>BELCY YULIETH BONILLA D.</w:t>
      </w:r>
      <w:r>
        <w:rPr>
          <w:rFonts w:cs="Arial" w:ascii="Arial" w:hAnsi="Arial"/>
          <w:sz w:val="24"/>
          <w:szCs w:val="24"/>
        </w:rPr>
        <w:tab/>
        <w:tab/>
      </w:r>
      <w:r>
        <w:rPr>
          <w:rFonts w:cs="Arial" w:ascii="Arial" w:hAnsi="Arial"/>
          <w:b/>
          <w:sz w:val="24"/>
          <w:szCs w:val="24"/>
        </w:rPr>
        <w:t>ING. GABRIEL E. MARTINEZ M.</w:t>
      </w:r>
    </w:p>
    <w:p>
      <w:pPr>
        <w:pStyle w:val="NoSpacing"/>
        <w:rPr>
          <w:rFonts w:ascii="Arial" w:hAnsi="Arial" w:cs="Arial"/>
          <w:b/>
          <w:sz w:val="24"/>
          <w:szCs w:val="24"/>
        </w:rPr>
      </w:pPr>
      <w:r>
        <w:rPr>
          <w:rFonts w:cs="Arial" w:ascii="Arial" w:hAnsi="Arial"/>
          <w:b/>
          <w:sz w:val="24"/>
          <w:szCs w:val="24"/>
        </w:rPr>
        <w:t>REPRESENTANTE LEGAL</w:t>
        <w:tab/>
        <w:tab/>
        <w:t>REPRESENTANTE LEGAL</w:t>
      </w:r>
    </w:p>
    <w:p>
      <w:pPr>
        <w:pStyle w:val="NoSpacing"/>
        <w:rPr>
          <w:rFonts w:ascii="Arial" w:hAnsi="Arial" w:cs="Arial"/>
          <w:b/>
          <w:sz w:val="24"/>
          <w:szCs w:val="24"/>
        </w:rPr>
      </w:pPr>
      <w:r>
        <w:rPr>
          <w:rFonts w:cs="Arial" w:ascii="Arial" w:hAnsi="Arial"/>
          <w:b/>
          <w:sz w:val="24"/>
          <w:szCs w:val="24"/>
        </w:rPr>
        <w:t>ITAF SAS</w:t>
        <w:tab/>
        <w:tab/>
        <w:tab/>
        <w:tab/>
        <w:tab/>
        <w:t>ILUMINACION SAN JUAN GIRON SA</w:t>
      </w:r>
    </w:p>
    <w:p>
      <w:pPr>
        <w:pStyle w:val="NoSpacing"/>
        <w:rPr>
          <w:rFonts w:ascii="Arial" w:hAnsi="Arial" w:cs="Arial"/>
          <w:b/>
          <w:sz w:val="24"/>
          <w:szCs w:val="24"/>
        </w:rPr>
      </w:pPr>
      <w:r>
        <w:rPr>
          <w:rFonts w:cs="Arial" w:ascii="Arial" w:hAnsi="Arial"/>
          <w:b/>
          <w:sz w:val="24"/>
          <w:szCs w:val="24"/>
        </w:rPr>
        <w:t>INTERVENTORIA</w:t>
        <w:tab/>
        <w:tab/>
        <w:tab/>
        <w:tab/>
        <w:t>CONCESION AP</w:t>
      </w:r>
    </w:p>
    <w:sectPr>
      <w:headerReference w:type="default" r:id="rId6"/>
      <w:type w:val="nextPage"/>
      <w:pgSz w:w="12240" w:h="15840"/>
      <w:pgMar w:left="1701" w:right="1701" w:gutter="0" w:header="709" w:top="1418"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Segoe UI">
    <w:charset w:val="01"/>
    <w:family w:val="roman"/>
    <w:pitch w:val="variable"/>
  </w:font>
  <w:font w:name="DejaVu Sans">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1" distT="0" distB="0" distL="0" distR="0" simplePos="0" locked="0" layoutInCell="0" allowOverlap="1" relativeHeight="3">
          <wp:simplePos x="0" y="0"/>
          <wp:positionH relativeFrom="column">
            <wp:posOffset>4806315</wp:posOffset>
          </wp:positionH>
          <wp:positionV relativeFrom="paragraph">
            <wp:posOffset>-125730</wp:posOffset>
          </wp:positionV>
          <wp:extent cx="962025" cy="543560"/>
          <wp:effectExtent l="0" t="0" r="0" b="0"/>
          <wp:wrapNone/>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962025" cy="543560"/>
                  </a:xfrm>
                  <a:prstGeom prst="rect">
                    <a:avLst/>
                  </a:prstGeom>
                </pic:spPr>
              </pic:pic>
            </a:graphicData>
          </a:graphic>
        </wp:anchor>
      </w:drawing>
      <w:drawing>
        <wp:anchor behindDoc="1" distT="0" distB="0" distL="0" distR="0" simplePos="0" locked="0" layoutInCell="0" allowOverlap="1" relativeHeight="5">
          <wp:simplePos x="0" y="0"/>
          <wp:positionH relativeFrom="column">
            <wp:posOffset>-280035</wp:posOffset>
          </wp:positionH>
          <wp:positionV relativeFrom="paragraph">
            <wp:posOffset>-287655</wp:posOffset>
          </wp:positionV>
          <wp:extent cx="752475" cy="876935"/>
          <wp:effectExtent l="0" t="0" r="0" b="0"/>
          <wp:wrapNone/>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2"/>
                  <a:stretch>
                    <a:fillRect/>
                  </a:stretch>
                </pic:blipFill>
                <pic:spPr bwMode="auto">
                  <a:xfrm>
                    <a:off x="0" y="0"/>
                    <a:ext cx="752475" cy="876935"/>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d50b27"/>
    <w:rPr/>
  </w:style>
  <w:style w:type="character" w:styleId="PiedepginaCar" w:customStyle="1">
    <w:name w:val="Pie de página Car"/>
    <w:basedOn w:val="DefaultParagraphFont"/>
    <w:uiPriority w:val="99"/>
    <w:qFormat/>
    <w:rsid w:val="00d50b27"/>
    <w:rPr/>
  </w:style>
  <w:style w:type="character" w:styleId="TextodegloboCar" w:customStyle="1">
    <w:name w:val="Texto de globo Car"/>
    <w:basedOn w:val="DefaultParagraphFont"/>
    <w:link w:val="BalloonText"/>
    <w:uiPriority w:val="99"/>
    <w:semiHidden/>
    <w:qFormat/>
    <w:rsid w:val="00951c42"/>
    <w:rPr>
      <w:rFonts w:ascii="Segoe UI" w:hAnsi="Segoe UI" w:cs="Segoe UI"/>
      <w:sz w:val="18"/>
      <w:szCs w:val="18"/>
    </w:rPr>
  </w:style>
  <w:style w:type="paragraph" w:styleId="Ttulo">
    <w:name w:val="Título"/>
    <w:basedOn w:val="Normal"/>
    <w:next w:val="Cuerpodetexto"/>
    <w:qFormat/>
    <w:pPr>
      <w:keepNext w:val="true"/>
      <w:spacing w:before="240" w:after="120"/>
    </w:pPr>
    <w:rPr>
      <w:rFonts w:ascii="DejaVu Sans" w:hAnsi="DejaVu Sans" w:eastAsia="Source Han Sans CN"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unhideWhenUsed/>
    <w:rsid w:val="00d50b27"/>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50b27"/>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951c4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BalloonText">
    <w:name w:val="Balloon Text"/>
    <w:basedOn w:val="Normal"/>
    <w:link w:val="TextodegloboCar"/>
    <w:uiPriority w:val="99"/>
    <w:semiHidden/>
    <w:unhideWhenUsed/>
    <w:qFormat/>
    <w:rsid w:val="00951c4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87B15-9E5C-4900-95AD-350407F6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Application>LibreOffice/7.5.0.3$Linux_X86_64 LibreOffice_project/50$Build-3</Application>
  <AppVersion>15.0000</AppVersion>
  <Pages>2</Pages>
  <Words>487</Words>
  <Characters>2803</Characters>
  <CharactersWithSpaces>3285</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2022-05-03T18:27:00Z</dcterms:created>
  <dc:creator>JESUS NAVARRO</dc:creator>
  <dc:description/>
  <dc:language>es-MX</dc:language>
  <cp:lastModifiedBy/>
  <cp:lastPrinted>2023-01-04T16:10:00Z</cp:lastPrinted>
  <dcterms:modified xsi:type="dcterms:W3CDTF">2023-03-07T14:11:18Z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