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CareerPath — System Architecture Specification</w:t>
      </w:r>
    </w:p>
    <w:p>
      <w:pPr>
        <w:jc w:val="center"/>
      </w:pPr>
      <w:r>
        <w:rPr>
          <w:i/>
          <w:sz w:val="20"/>
        </w:rPr>
        <w:t>Derived from the Student Career Pathway &amp; Opportunity Guidance Application PRD</w:t>
      </w:r>
    </w:p>
    <w:p/>
    <w:p>
      <w:pPr>
        <w:pStyle w:val="Heading1"/>
      </w:pPr>
      <w:r>
        <w:t>1. Purpose</w:t>
      </w:r>
    </w:p>
    <w:p>
      <w:r>
        <w:t>This document defines the logical and deployable architecture for CareerPath. The architecture supports the PRD goal of connecting education level, stream, course, branch, specialization, subjects, skills, projects, internships, examinations, jobs, higher studies, notifications and career progression.</w:t>
      </w:r>
    </w:p>
    <w:p>
      <w:pPr>
        <w:pStyle w:val="Heading1"/>
      </w:pPr>
      <w:r>
        <w:t>2. Architecture Style</w:t>
      </w:r>
    </w:p>
    <w:p>
      <w:r>
        <w:t>Recommended architecture: modular monolith for the student project/MVP, with clear service boundaries so modules can later be separated if scale requires it.</w:t>
      </w:r>
    </w:p>
    <w:p>
      <w:pPr>
        <w:pStyle w:val="ListBullet"/>
      </w:pPr>
      <w:r>
        <w:t>Frontend: React + TypeScript web application.</w:t>
      </w:r>
    </w:p>
    <w:p>
      <w:pPr>
        <w:pStyle w:val="ListBullet"/>
      </w:pPr>
      <w:r>
        <w:t>Backend: Python + FastAPI REST API.</w:t>
      </w:r>
    </w:p>
    <w:p>
      <w:pPr>
        <w:pStyle w:val="ListBullet"/>
      </w:pPr>
      <w:r>
        <w:t>Database: PostgreSQL.</w:t>
      </w:r>
    </w:p>
    <w:p>
      <w:pPr>
        <w:pStyle w:val="ListBullet"/>
      </w:pPr>
      <w:r>
        <w:t>Background jobs: scheduled worker for notification/calendar refreshes.</w:t>
      </w:r>
    </w:p>
    <w:p>
      <w:pPr>
        <w:pStyle w:val="ListBullet"/>
      </w:pPr>
      <w:r>
        <w:t>Optional AI layer: retrieval-grounded assistant and skill-gap explanations.</w:t>
      </w:r>
    </w:p>
    <w:p>
      <w:pPr>
        <w:pStyle w:val="ListBullet"/>
      </w:pPr>
      <w:r>
        <w:t>External official sources: accessed through controlled ingestion/admin verification workflows.</w:t>
      </w:r>
    </w:p>
    <w:p>
      <w:pPr>
        <w:pStyle w:val="Heading1"/>
      </w:pPr>
      <w:r>
        <w:t>3. Logical Architecture</w:t>
      </w:r>
    </w:p>
    <w:p>
      <w:r>
        <w:t>Student / Parent / Counsellor / Admin</w:t>
        <w:br/>
        <w:t xml:space="preserve">                │</w:t>
        <w:br/>
        <w:t xml:space="preserve">                ▼</w:t>
        <w:br/>
        <w:t xml:space="preserve">        React + TypeScript UI</w:t>
        <w:br/>
        <w:t xml:space="preserve">                │</w:t>
        <w:br/>
        <w:t xml:space="preserve">                ▼</w:t>
        <w:br/>
        <w:t xml:space="preserve">        FastAPI REST API</w:t>
        <w:br/>
        <w:t xml:space="preserve">                │</w:t>
        <w:br/>
        <w:t xml:space="preserve">     ┌──────────┼───────────┐</w:t>
        <w:br/>
        <w:t xml:space="preserve">     ▼          ▼           ▼</w:t>
        <w:br/>
        <w:t xml:space="preserve"> Pathway     Opportunity   User/Profile</w:t>
        <w:br/>
        <w:t xml:space="preserve"> Engine       Engine        Services</w:t>
        <w:br/>
        <w:t xml:space="preserve">     │          │           │</w:t>
        <w:br/>
        <w:t xml:space="preserve">     └──────────┼───────────┘</w:t>
        <w:br/>
        <w:t xml:space="preserve">                ▼</w:t>
        <w:br/>
        <w:t xml:space="preserve">        PostgreSQL Database</w:t>
        <w:br/>
        <w:t xml:space="preserve">                │</w:t>
        <w:br/>
        <w:t xml:space="preserve">       ┌────────┴────────┐</w:t>
        <w:br/>
        <w:t xml:space="preserve">       ▼                 ▼</w:t>
        <w:br/>
        <w:t xml:space="preserve"> Verified Content     User Progress</w:t>
        <w:br/>
        <w:t xml:space="preserve">                │</w:t>
        <w:br/>
        <w:t xml:space="preserve">                ▼</w:t>
        <w:br/>
        <w:t xml:space="preserve">     Notification / Search Jobs</w:t>
        <w:br/>
        <w:t xml:space="preserve">                │</w:t>
        <w:br/>
        <w:t xml:space="preserve">                ▼</w:t>
        <w:br/>
        <w:t xml:space="preserve"> Official-source ingestion + admin verification</w:t>
      </w:r>
    </w:p>
    <w:p>
      <w:pPr>
        <w:pStyle w:val="Heading1"/>
      </w:pPr>
      <w:r>
        <w:t>4. Core Components</w:t>
      </w:r>
    </w:p>
    <w:tbl>
      <w:tblPr>
        <w:tblStyle w:val="TableGrid"/>
        <w:tblW w:type="auto" w:w="0"/>
        <w:tblLook w:firstColumn="1" w:firstRow="1" w:lastColumn="0" w:lastRow="0" w:noHBand="0" w:noVBand="1" w:val="04A0"/>
      </w:tblPr>
      <w:tblGrid>
        <w:gridCol w:w="3408"/>
        <w:gridCol w:w="3408"/>
        <w:gridCol w:w="3408"/>
      </w:tblGrid>
      <w:tr>
        <w:tc>
          <w:tcPr>
            <w:tcW w:type="dxa" w:w="3408"/>
            <w:shd w:fill="EDEDED"/>
          </w:tcPr>
          <w:p>
            <w:r>
              <w:t>Component</w:t>
            </w:r>
          </w:p>
        </w:tc>
        <w:tc>
          <w:tcPr>
            <w:tcW w:type="dxa" w:w="3408"/>
            <w:shd w:fill="EDEDED"/>
          </w:tcPr>
          <w:p>
            <w:r>
              <w:t>Responsibility</w:t>
            </w:r>
          </w:p>
        </w:tc>
        <w:tc>
          <w:tcPr>
            <w:tcW w:type="dxa" w:w="3408"/>
            <w:shd w:fill="EDEDED"/>
          </w:tcPr>
          <w:p>
            <w:r>
              <w:t>Key PRD Modules</w:t>
            </w:r>
          </w:p>
        </w:tc>
      </w:tr>
      <w:tr>
        <w:tc>
          <w:tcPr>
            <w:tcW w:type="dxa" w:w="3408"/>
          </w:tcPr>
          <w:p>
            <w:r>
              <w:t>Web UI</w:t>
            </w:r>
          </w:p>
        </w:tc>
        <w:tc>
          <w:tcPr>
            <w:tcW w:type="dxa" w:w="3408"/>
          </w:tcPr>
          <w:p>
            <w:r>
              <w:t>Student journeys, exploration, dashboards, comparison</w:t>
            </w:r>
          </w:p>
        </w:tc>
        <w:tc>
          <w:tcPr>
            <w:tcW w:type="dxa" w:w="3408"/>
          </w:tcPr>
          <w:p>
            <w:r>
              <w:t>1–12</w:t>
            </w:r>
          </w:p>
        </w:tc>
      </w:tr>
      <w:tr>
        <w:tc>
          <w:tcPr>
            <w:tcW w:type="dxa" w:w="3408"/>
          </w:tcPr>
          <w:p>
            <w:r>
              <w:t>Auth/RBAC</w:t>
            </w:r>
          </w:p>
        </w:tc>
        <w:tc>
          <w:tcPr>
            <w:tcW w:type="dxa" w:w="3408"/>
          </w:tcPr>
          <w:p>
            <w:r>
              <w:t>Login, roles, permissions, account security</w:t>
            </w:r>
          </w:p>
        </w:tc>
        <w:tc>
          <w:tcPr>
            <w:tcW w:type="dxa" w:w="3408"/>
          </w:tcPr>
          <w:p>
            <w:r>
              <w:t>Dashboard/Admin</w:t>
            </w:r>
          </w:p>
        </w:tc>
      </w:tr>
      <w:tr>
        <w:tc>
          <w:tcPr>
            <w:tcW w:type="dxa" w:w="3408"/>
          </w:tcPr>
          <w:p>
            <w:r>
              <w:t>Pathway Engine</w:t>
            </w:r>
          </w:p>
        </w:tc>
        <w:tc>
          <w:tcPr>
            <w:tcW w:type="dxa" w:w="3408"/>
          </w:tcPr>
          <w:p>
            <w:r>
              <w:t>Traverses education → course → branch → specialization → career</w:t>
            </w:r>
          </w:p>
        </w:tc>
        <w:tc>
          <w:tcPr>
            <w:tcW w:type="dxa" w:w="3408"/>
          </w:tcPr>
          <w:p>
            <w:r>
              <w:t>1–5, 12</w:t>
            </w:r>
          </w:p>
        </w:tc>
      </w:tr>
      <w:tr>
        <w:tc>
          <w:tcPr>
            <w:tcW w:type="dxa" w:w="3408"/>
          </w:tcPr>
          <w:p>
            <w:r>
              <w:t>Learning Engine</w:t>
            </w:r>
          </w:p>
        </w:tc>
        <w:tc>
          <w:tcPr>
            <w:tcW w:type="dxa" w:w="3408"/>
          </w:tcPr>
          <w:p>
            <w:r>
              <w:t>Year-wise subjects, skills and projects</w:t>
            </w:r>
          </w:p>
        </w:tc>
        <w:tc>
          <w:tcPr>
            <w:tcW w:type="dxa" w:w="3408"/>
          </w:tcPr>
          <w:p>
            <w:r>
              <w:t>4–6</w:t>
            </w:r>
          </w:p>
        </w:tc>
      </w:tr>
      <w:tr>
        <w:tc>
          <w:tcPr>
            <w:tcW w:type="dxa" w:w="3408"/>
          </w:tcPr>
          <w:p>
            <w:r>
              <w:t>Opportunity Engine</w:t>
            </w:r>
          </w:p>
        </w:tc>
        <w:tc>
          <w:tcPr>
            <w:tcW w:type="dxa" w:w="3408"/>
          </w:tcPr>
          <w:p>
            <w:r>
              <w:t>Internships, government jobs, higher studies, exams</w:t>
            </w:r>
          </w:p>
        </w:tc>
        <w:tc>
          <w:tcPr>
            <w:tcW w:type="dxa" w:w="3408"/>
          </w:tcPr>
          <w:p>
            <w:r>
              <w:t>7–10</w:t>
            </w:r>
          </w:p>
        </w:tc>
      </w:tr>
      <w:tr>
        <w:tc>
          <w:tcPr>
            <w:tcW w:type="dxa" w:w="3408"/>
          </w:tcPr>
          <w:p>
            <w:r>
              <w:t>Notification Engine</w:t>
            </w:r>
          </w:p>
        </w:tc>
        <w:tc>
          <w:tcPr>
            <w:tcW w:type="dxa" w:w="3408"/>
          </w:tcPr>
          <w:p>
            <w:r>
              <w:t>Deadlines, new opportunities and calendar alerts</w:t>
            </w:r>
          </w:p>
        </w:tc>
        <w:tc>
          <w:tcPr>
            <w:tcW w:type="dxa" w:w="3408"/>
          </w:tcPr>
          <w:p>
            <w:r>
              <w:t>8–10</w:t>
            </w:r>
          </w:p>
        </w:tc>
      </w:tr>
      <w:tr>
        <w:tc>
          <w:tcPr>
            <w:tcW w:type="dxa" w:w="3408"/>
          </w:tcPr>
          <w:p>
            <w:r>
              <w:t>Search</w:t>
            </w:r>
          </w:p>
        </w:tc>
        <w:tc>
          <w:tcPr>
            <w:tcW w:type="dxa" w:w="3408"/>
          </w:tcPr>
          <w:p>
            <w:r>
              <w:t>Cross-domain search and connected results</w:t>
            </w:r>
          </w:p>
        </w:tc>
        <w:tc>
          <w:tcPr>
            <w:tcW w:type="dxa" w:w="3408"/>
          </w:tcPr>
          <w:p>
            <w:r>
              <w:t>Search Feature</w:t>
            </w:r>
          </w:p>
        </w:tc>
      </w:tr>
      <w:tr>
        <w:tc>
          <w:tcPr>
            <w:tcW w:type="dxa" w:w="3408"/>
          </w:tcPr>
          <w:p>
            <w:r>
              <w:t>Admin CMS</w:t>
            </w:r>
          </w:p>
        </w:tc>
        <w:tc>
          <w:tcPr>
            <w:tcW w:type="dxa" w:w="3408"/>
          </w:tcPr>
          <w:p>
            <w:r>
              <w:t>CRUD, verification, archival and last-checked tracking</w:t>
            </w:r>
          </w:p>
        </w:tc>
        <w:tc>
          <w:tcPr>
            <w:tcW w:type="dxa" w:w="3408"/>
          </w:tcPr>
          <w:p>
            <w:r>
              <w:t>Admin Dashboard</w:t>
            </w:r>
          </w:p>
        </w:tc>
      </w:tr>
      <w:tr>
        <w:tc>
          <w:tcPr>
            <w:tcW w:type="dxa" w:w="3408"/>
          </w:tcPr>
          <w:p>
            <w:r>
              <w:t>AI/RAG Layer</w:t>
            </w:r>
          </w:p>
        </w:tc>
        <w:tc>
          <w:tcPr>
            <w:tcW w:type="dxa" w:w="3408"/>
          </w:tcPr>
          <w:p>
            <w:r>
              <w:t>Natural-language explanations and skill-gap assistance</w:t>
            </w:r>
          </w:p>
        </w:tc>
        <w:tc>
          <w:tcPr>
            <w:tcW w:type="dxa" w:w="3408"/>
          </w:tcPr>
          <w:p>
            <w:r>
              <w:t>Optional AI</w:t>
            </w:r>
          </w:p>
        </w:tc>
      </w:tr>
    </w:tbl>
    <w:p/>
    <w:p>
      <w:pPr>
        <w:pStyle w:val="Heading1"/>
      </w:pPr>
      <w:r>
        <w:t>5. Request Flow</w:t>
      </w:r>
    </w:p>
    <w:p>
      <w:pPr>
        <w:pStyle w:val="ListNumber"/>
      </w:pPr>
      <w:r>
        <w:t>User selects current education level.</w:t>
      </w:r>
    </w:p>
    <w:p>
      <w:pPr>
        <w:pStyle w:val="ListNumber"/>
      </w:pPr>
      <w:r>
        <w:t>Frontend requests available streams/pathways from the API.</w:t>
      </w:r>
    </w:p>
    <w:p>
      <w:pPr>
        <w:pStyle w:val="ListNumber"/>
      </w:pPr>
      <w:r>
        <w:t>API reads verified pathway data from PostgreSQL.</w:t>
      </w:r>
    </w:p>
    <w:p>
      <w:pPr>
        <w:pStyle w:val="ListNumber"/>
      </w:pPr>
      <w:r>
        <w:t>User selects course, branch and specialization.</w:t>
      </w:r>
    </w:p>
    <w:p>
      <w:pPr>
        <w:pStyle w:val="ListNumber"/>
      </w:pPr>
      <w:r>
        <w:t>Pathway Engine resolves downstream subjects, skills, projects, internships, jobs and higher studies.</w:t>
      </w:r>
    </w:p>
    <w:p>
      <w:pPr>
        <w:pStyle w:val="ListNumber"/>
      </w:pPr>
      <w:r>
        <w:t>Dashboard stores the student's selected roadmap and current stage.</w:t>
      </w:r>
    </w:p>
    <w:p>
      <w:pPr>
        <w:pStyle w:val="ListNumber"/>
      </w:pPr>
      <w:r>
        <w:t>Opportunity Engine returns time-sensitive opportunities only when source/verification metadata is available.</w:t>
      </w:r>
    </w:p>
    <w:p>
      <w:pPr>
        <w:pStyle w:val="ListNumber"/>
      </w:pPr>
      <w:r>
        <w:t>Notification Engine evaluates saved preferences and upcoming deadlines.</w:t>
      </w:r>
    </w:p>
    <w:p>
      <w:pPr>
        <w:pStyle w:val="ListNumber"/>
      </w:pPr>
      <w:r>
        <w:t>AI, if enabled, can explain the retrieved pathway but must not invent eligibility, dates or official facts.</w:t>
      </w:r>
    </w:p>
    <w:p>
      <w:pPr>
        <w:pStyle w:val="Heading1"/>
      </w:pPr>
      <w:r>
        <w:t>6. Deployment</w:t>
      </w:r>
    </w:p>
    <w:p>
      <w:pPr>
        <w:pStyle w:val="ListBullet"/>
      </w:pPr>
      <w:r>
        <w:t>Development: React dev server + FastAPI + local PostgreSQL.</w:t>
      </w:r>
    </w:p>
    <w:p>
      <w:pPr>
        <w:pStyle w:val="ListBullet"/>
      </w:pPr>
      <w:r>
        <w:t>Production prototype: React static build + FastAPI application + managed PostgreSQL.</w:t>
      </w:r>
    </w:p>
    <w:p>
      <w:pPr>
        <w:pStyle w:val="ListBullet"/>
      </w:pPr>
      <w:r>
        <w:t>Use HTTPS in production.</w:t>
      </w:r>
    </w:p>
    <w:p>
      <w:pPr>
        <w:pStyle w:val="ListBullet"/>
      </w:pPr>
      <w:r>
        <w:t>Use environment variables for secrets and database credentials.</w:t>
      </w:r>
    </w:p>
    <w:p>
      <w:pPr>
        <w:pStyle w:val="ListBullet"/>
      </w:pPr>
      <w:r>
        <w:t>Run database migrations through Alembic.</w:t>
      </w:r>
    </w:p>
    <w:p>
      <w:pPr>
        <w:pStyle w:val="ListBullet"/>
      </w:pPr>
      <w:r>
        <w:t>Use structured application logs and error monitoring.</w:t>
      </w:r>
    </w:p>
    <w:p>
      <w:pPr>
        <w:pStyle w:val="Heading1"/>
      </w:pPr>
      <w:r>
        <w:t>7. Scalability Strategy</w:t>
      </w:r>
    </w:p>
    <w:p>
      <w:pPr>
        <w:pStyle w:val="ListBullet"/>
      </w:pPr>
      <w:r>
        <w:t>Keep domain logic separated by module.</w:t>
      </w:r>
    </w:p>
    <w:p>
      <w:pPr>
        <w:pStyle w:val="ListBullet"/>
      </w:pPr>
      <w:r>
        <w:t>Use indexed foreign keys and search indexes in PostgreSQL.</w:t>
      </w:r>
    </w:p>
    <w:p>
      <w:pPr>
        <w:pStyle w:val="ListBullet"/>
      </w:pPr>
      <w:r>
        <w:t>Cache stable pathway metadata when useful.</w:t>
      </w:r>
    </w:p>
    <w:p>
      <w:pPr>
        <w:pStyle w:val="ListBullet"/>
      </w:pPr>
      <w:r>
        <w:t>Move scheduled ingestion/notification work to a worker as data volume grows.</w:t>
      </w:r>
    </w:p>
    <w:p>
      <w:pPr>
        <w:pStyle w:val="ListBullet"/>
      </w:pPr>
      <w:r>
        <w:t>Keep official-source ingestion separate from student-facing request processing.</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