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jc w:val="center"/>
        <w:rPr>
          <w:b w:val="1"/>
          <w:sz w:val="46"/>
          <w:szCs w:val="46"/>
        </w:rPr>
      </w:pPr>
      <w:bookmarkStart w:colFirst="0" w:colLast="0" w:name="_8dkokwyeailj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FormIQ – Intelligent Receipt Parser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jc w:val="center"/>
        <w:rPr>
          <w:b w:val="1"/>
          <w:sz w:val="34"/>
          <w:szCs w:val="34"/>
        </w:rPr>
      </w:pPr>
      <w:bookmarkStart w:colFirst="0" w:colLast="0" w:name="_103vv4hczh6t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Supplementary Technical Report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kgrl08ig66n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Technical Architecture</w:t>
      </w:r>
    </w:p>
    <w:p w:rsidR="00000000" w:rsidDel="00000000" w:rsidP="00000000" w:rsidRDefault="00000000" w:rsidRPr="00000000" w14:paraId="0000000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5mwy8yd67z8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1.1 Core Components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LayoutLMv3</w:t>
      </w:r>
      <w:r w:rsidDel="00000000" w:rsidR="00000000" w:rsidRPr="00000000">
        <w:rPr>
          <w:rtl w:val="0"/>
        </w:rPr>
        <w:t xml:space="preserve"> – For document layout understanding and visual-text alignment.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PaddleOCR</w:t>
      </w:r>
      <w:r w:rsidDel="00000000" w:rsidR="00000000" w:rsidRPr="00000000">
        <w:rPr>
          <w:rtl w:val="0"/>
        </w:rPr>
        <w:t xml:space="preserve"> – High-accuracy handwritten text recognition.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Perplexity AI</w:t>
      </w:r>
      <w:r w:rsidDel="00000000" w:rsidR="00000000" w:rsidRPr="00000000">
        <w:rPr>
          <w:rtl w:val="0"/>
        </w:rPr>
        <w:t xml:space="preserve"> – LLM-powered structured information extraction.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Streamlit</w:t>
      </w:r>
      <w:r w:rsidDel="00000000" w:rsidR="00000000" w:rsidRPr="00000000">
        <w:rPr>
          <w:rtl w:val="0"/>
        </w:rPr>
        <w:t xml:space="preserve"> – Lightweight, interactive web-based frontend.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Amazon DynamoDB</w:t>
      </w:r>
      <w:r w:rsidDel="00000000" w:rsidR="00000000" w:rsidRPr="00000000">
        <w:rPr>
          <w:rtl w:val="0"/>
        </w:rPr>
        <w:t xml:space="preserve"> – Cloud-native NoSQL backend for structured receipt storage.</w:t>
        <w:br w:type="textWrapping"/>
      </w:r>
    </w:p>
    <w:p w:rsidR="00000000" w:rsidDel="00000000" w:rsidP="00000000" w:rsidRDefault="00000000" w:rsidRPr="00000000" w14:paraId="0000000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9w5eb7xl6j5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1.2 Key Processing Pipeline</w:t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Image Upload &amp; Preprocessing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OCR Processing (via PaddleOCR)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Layout Analysis (via LayoutLMv3)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Text Structuring (via Perplexity LLM)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Data Validation &amp; DynamoDB Storage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rlkgt45jdr5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Technical Implementation Details</w:t>
      </w:r>
    </w:p>
    <w:p w:rsidR="00000000" w:rsidDel="00000000" w:rsidP="00000000" w:rsidRDefault="00000000" w:rsidRPr="00000000" w14:paraId="0000001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au1yftq816w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2.1 Model Integration</w:t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PaddleOCR handles multilingual and handwritten recognition.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Perplexity API transforms raw OCR text into structured key-value JSON.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LayoutLMv3 supports spatial reasoning for layout-sensitive extraction (planned extension).</w:t>
        <w:br w:type="textWrapping"/>
      </w:r>
    </w:p>
    <w:p w:rsidR="00000000" w:rsidDel="00000000" w:rsidP="00000000" w:rsidRDefault="00000000" w:rsidRPr="00000000" w14:paraId="0000001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u1i322xxkgz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2.2 Data Processing Flow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Image enhancement, deskewing, DPI normalization.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OCR output cleansing and preprocessing.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JSON output validation and schema mapping.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Exception handling with retry mechanism for malformed outputs.</w:t>
        <w:br w:type="textWrapping"/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hqa4jyfyuk0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2.3 Cloud Infrastructure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AWS DynamoDB ensures real-time retrieval and schema-flexible storage.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Backend hosted via FastAPI with PartiQL integration for chatbot queries.</w:t>
      </w:r>
    </w:p>
    <w:p w:rsidR="00000000" w:rsidDel="00000000" w:rsidP="00000000" w:rsidRDefault="00000000" w:rsidRPr="00000000" w14:paraId="0000001D">
      <w:pPr>
        <w:pStyle w:val="Heading4"/>
        <w:spacing w:after="240" w:before="240" w:lineRule="auto"/>
        <w:rPr>
          <w:color w:val="000000"/>
        </w:rPr>
      </w:pPr>
      <w:bookmarkStart w:colFirst="0" w:colLast="0" w:name="_olswirwetg9a" w:id="9"/>
      <w:bookmarkEnd w:id="9"/>
      <w:r w:rsidDel="00000000" w:rsidR="00000000" w:rsidRPr="00000000">
        <w:rPr>
          <w:b w:val="1"/>
          <w:color w:val="000000"/>
          <w:rtl w:val="0"/>
        </w:rPr>
        <w:t xml:space="preserve">2.4 High level Architecture</w:t>
      </w:r>
      <w:r w:rsidDel="00000000" w:rsidR="00000000" w:rsidRPr="00000000">
        <w:rPr>
          <w:color w:val="000000"/>
          <w:rtl w:val="0"/>
        </w:rPr>
        <w:br w:type="textWrapping"/>
        <w:tab/>
      </w:r>
      <w:r w:rsidDel="00000000" w:rsidR="00000000" w:rsidRPr="00000000">
        <w:rPr>
          <w:color w:val="000000"/>
        </w:rPr>
        <w:drawing>
          <wp:inline distB="114300" distT="114300" distL="114300" distR="114300">
            <wp:extent cx="4914900" cy="50577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lys49l4p6mh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Performance Metrics</w:t>
      </w:r>
    </w:p>
    <w:p w:rsidR="00000000" w:rsidDel="00000000" w:rsidP="00000000" w:rsidRDefault="00000000" w:rsidRPr="00000000" w14:paraId="0000001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67kwrhtu835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3.1 Accuracy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Handwritten text recognition (PaddleOCR): 84%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JSON structuring validity (Perplexity API): 92%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CNN document classifier (macro F1): 0.93</w:t>
        <w:br w:type="textWrapping"/>
      </w:r>
    </w:p>
    <w:p w:rsidR="00000000" w:rsidDel="00000000" w:rsidP="00000000" w:rsidRDefault="00000000" w:rsidRPr="00000000" w14:paraId="0000002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hz2qzve7f2l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3.2 Latency &amp; Throughput</w:t>
      </w:r>
    </w:p>
    <w:p w:rsidR="00000000" w:rsidDel="00000000" w:rsidP="00000000" w:rsidRDefault="00000000" w:rsidRPr="00000000" w14:paraId="00000024">
      <w:pPr>
        <w:numPr>
          <w:ilvl w:val="0"/>
          <w:numId w:val="1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Average full pipeline response time: 1.31 seconds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1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Real-time streaming via Streamlit and FastAPI</w:t>
        <w:br w:type="textWrapping"/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k1v8qkluvx3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System Requirements</w:t>
      </w:r>
    </w:p>
    <w:p w:rsidR="00000000" w:rsidDel="00000000" w:rsidP="00000000" w:rsidRDefault="00000000" w:rsidRPr="00000000" w14:paraId="0000002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0pfp53770i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4.1 Dependencies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Python 3.8+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PyTorch, PaddleOCR, Transformers, boto3, Streamlit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Access to Perplexity API and AWS credentials</w:t>
        <w:br w:type="textWrapping"/>
      </w:r>
    </w:p>
    <w:p w:rsidR="00000000" w:rsidDel="00000000" w:rsidP="00000000" w:rsidRDefault="00000000" w:rsidRPr="00000000" w14:paraId="0000002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wbhbmshu7d1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4.2 Hardware</w: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Minimum: 4 GB RAM, CPU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Recommended: GPU for LayoutLMv3 and OCR acceleration</w:t>
        <w:br w:type="textWrapping"/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3hhftlzid9m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Future Enhancements</w:t>
      </w:r>
    </w:p>
    <w:p w:rsidR="00000000" w:rsidDel="00000000" w:rsidP="00000000" w:rsidRDefault="00000000" w:rsidRPr="00000000" w14:paraId="0000002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2eg31wxwqaf" w:id="17"/>
      <w:bookmarkEnd w:id="1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5.1 Functional Roadmap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Multi-document batch uploads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Fine-tuned layout-aware extraction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Domain-specific LLM prompting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Additional languages and taxonomies</w:t>
        <w:br w:type="textWrapping"/>
      </w:r>
    </w:p>
    <w:p w:rsidR="00000000" w:rsidDel="00000000" w:rsidP="00000000" w:rsidRDefault="00000000" w:rsidRPr="00000000" w14:paraId="0000003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x5109e74c3h" w:id="18"/>
      <w:bookmarkEnd w:id="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5.2 MLOps Roadmap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Evidently AI for drift monitoring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Auto-retraining workflows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CI/CD with GitHub Actions and container orchestration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Integration with Hugging Face Hub for model sharing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spacing w:after="240" w:before="240" w:lineRule="auto"/>
        <w:rPr>
          <w:b w:val="1"/>
          <w:color w:val="000000"/>
        </w:rPr>
      </w:pPr>
      <w:bookmarkStart w:colFirst="0" w:colLast="0" w:name="_flyiy7llaevr" w:id="19"/>
      <w:bookmarkEnd w:id="19"/>
      <w:r w:rsidDel="00000000" w:rsidR="00000000" w:rsidRPr="00000000">
        <w:rPr>
          <w:b w:val="1"/>
          <w:color w:val="000000"/>
          <w:rtl w:val="0"/>
        </w:rPr>
        <w:t xml:space="preserve">6. Final Notes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technical supplement supports the main report and satisfies the rubric criteria for reproducibility, modular design, end-to-end deployment, and model visibility. The system emphasizes low-cost, high-value AI document processing with extensibility in mind.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spacing w:after="240" w:before="240" w:lineRule="auto"/>
        <w:rPr>
          <w:b w:val="1"/>
          <w:color w:val="000000"/>
        </w:rPr>
      </w:pPr>
      <w:bookmarkStart w:colFirst="0" w:colLast="0" w:name="_tgzcjxatnmdi" w:id="20"/>
      <w:bookmarkEnd w:id="20"/>
      <w:r w:rsidDel="00000000" w:rsidR="00000000" w:rsidRPr="00000000">
        <w:rPr>
          <w:b w:val="1"/>
          <w:color w:val="000000"/>
          <w:rtl w:val="0"/>
        </w:rPr>
        <w:t xml:space="preserve">7. UI Walkthrough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83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99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89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