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1275"/>
        <w:gridCol w:w="3120"/>
        <w:tblGridChange w:id="0">
          <w:tblGrid>
            <w:gridCol w:w="4965"/>
            <w:gridCol w:w="12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Name: 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Importance: High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395"/>
        <w:tblGridChange w:id="0">
          <w:tblGrid>
            <w:gridCol w:w="4965"/>
            <w:gridCol w:w="439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Type: functional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Stakeholders: New users, app developers, and database administrators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Description: Allows new users to create an account for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Trigger: User clicks on “Sing up”                                                                                              Type: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  <w:t xml:space="preserve"> / Temporal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Relationships: none</w:t>
            </w:r>
          </w:p>
        </w:tc>
      </w:tr>
      <w:tr>
        <w:trPr>
          <w:cantSplit w:val="0"/>
          <w:trHeight w:val="5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  <w:br w:type="textWrapping"/>
              <w:t xml:space="preserve">1. User clicks “sign up”</w:t>
              <w:br w:type="textWrapping"/>
              <w:t xml:space="preserve">2. User enters username, password, confirms password, and email address.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User clicks “submit”</w:t>
              <w:br w:type="textWrapping"/>
              <w:t xml:space="preserve">4. User verifies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Subflows: None.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Flows: </w:t>
              <w:br w:type="textWrapping"/>
              <w:t xml:space="preserve">1. If username or email address are taken then user is prompted for a new one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If password doesn’t meet criteria the user is prompted to choose a new one. 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