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OPTIMESH</w:t>
      </w:r>
    </w:p>
    <w:p>
      <w:pPr>
        <w:jc w:val="center"/>
      </w:pPr>
      <w:r>
        <w:rPr>
          <w:b/>
          <w:sz w:val="40"/>
        </w:rPr>
        <w:t>Investor Runway Plan</w:t>
      </w:r>
    </w:p>
    <w:p>
      <w:pPr>
        <w:jc w:val="center"/>
      </w:pPr>
      <w:r>
        <w:rPr>
          <w:i/>
          <w:sz w:val="22"/>
        </w:rPr>
        <w:t>$150,000 planned to support approximately 9 months of execution</w:t>
      </w:r>
    </w:p>
    <w:p>
      <w:pPr>
        <w:jc w:val="center"/>
      </w:pPr>
      <w:r>
        <w:rPr>
          <w:sz w:val="19"/>
        </w:rPr>
        <w:t>Prepared for investor discussions</w:t>
      </w:r>
    </w:p>
    <w:p/>
    <w:p>
      <w:r>
        <w:rPr>
          <w:b/>
          <w:sz w:val="28"/>
        </w:rPr>
        <w:t>Executive Overview</w:t>
      </w:r>
    </w:p>
    <w:p>
      <w:r>
        <w:t>This capital plan is designed to convert early technical momentum into commercial proof. It provides enough runway to make the product real in the environments that matter, while preserving the flexibility required to validate demand and convert early interest into durable customer relationships.</w:t>
      </w:r>
    </w:p>
    <w:p>
      <w:r>
        <w:t>The allocation deliberately balances infrastructure and speed. A substantial hardware budget supports realistic networking workflows, technical credibility, and investor-ready demonstrations. The remaining capital funds development velocity, customer development, and disciplined operating capacity over an approximately 9-month period.</w:t>
      </w:r>
    </w:p>
    <w:p>
      <w:r>
        <w:t>The core outcome is not simply product progress. The objective is investor-relevant traction: entry-tier university design partners, a small number of higher-value design partners, a handful of early customers or paid pilots, and a credible proof of concept for the broader agentic platform.</w:t>
      </w:r>
    </w:p>
    <w:p>
      <w:r>
        <w:rPr>
          <w:b/>
          <w:sz w:val="28"/>
        </w:rPr>
        <w:t>Capital Allocation</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DCEAF5"/>
          </w:tcPr>
          <w:p>
            <w:r>
              <w:rPr>
                <w:b/>
              </w:rPr>
              <w:t>Category</w:t>
            </w:r>
          </w:p>
        </w:tc>
        <w:tc>
          <w:tcPr>
            <w:tcW w:type="dxa" w:w="2498"/>
            <w:shd w:fill="DCEAF5"/>
          </w:tcPr>
          <w:p>
            <w:r>
              <w:rPr>
                <w:b/>
              </w:rPr>
              <w:t>Amount</w:t>
            </w:r>
          </w:p>
        </w:tc>
        <w:tc>
          <w:tcPr>
            <w:tcW w:type="dxa" w:w="2498"/>
            <w:shd w:fill="DCEAF5"/>
          </w:tcPr>
          <w:p>
            <w:r>
              <w:rPr>
                <w:b/>
              </w:rPr>
              <w:t>% of Total</w:t>
            </w:r>
          </w:p>
        </w:tc>
        <w:tc>
          <w:tcPr>
            <w:tcW w:type="dxa" w:w="2498"/>
            <w:shd w:fill="DCEAF5"/>
          </w:tcPr>
          <w:p>
            <w:r>
              <w:rPr>
                <w:b/>
              </w:rPr>
              <w:t>Rationale</w:t>
            </w:r>
          </w:p>
        </w:tc>
      </w:tr>
      <w:tr>
        <w:tc>
          <w:tcPr>
            <w:tcW w:type="dxa" w:w="2498"/>
          </w:tcPr>
          <w:p>
            <w:r>
              <w:t>Hardware: networking gear + Mac computers</w:t>
            </w:r>
          </w:p>
        </w:tc>
        <w:tc>
          <w:tcPr>
            <w:tcW w:type="dxa" w:w="2498"/>
          </w:tcPr>
          <w:p>
            <w:r>
              <w:t>$50,000</w:t>
            </w:r>
          </w:p>
        </w:tc>
        <w:tc>
          <w:tcPr>
            <w:tcW w:type="dxa" w:w="2498"/>
          </w:tcPr>
          <w:p>
            <w:r>
              <w:t>33%</w:t>
            </w:r>
          </w:p>
        </w:tc>
        <w:tc>
          <w:tcPr>
            <w:tcW w:type="dxa" w:w="2498"/>
          </w:tcPr>
          <w:p>
            <w:r>
              <w:t>Supports a real lab environment, credible customer demos, testing infrastructure, and the development machines needed to move quickly.</w:t>
            </w:r>
          </w:p>
        </w:tc>
      </w:tr>
      <w:tr>
        <w:tc>
          <w:tcPr>
            <w:tcW w:type="dxa" w:w="2498"/>
          </w:tcPr>
          <w:p>
            <w:r>
              <w:t>Summer stipend</w:t>
            </w:r>
          </w:p>
        </w:tc>
        <w:tc>
          <w:tcPr>
            <w:tcW w:type="dxa" w:w="2498"/>
          </w:tcPr>
          <w:p>
            <w:r>
              <w:t>$5,000</w:t>
            </w:r>
          </w:p>
        </w:tc>
        <w:tc>
          <w:tcPr>
            <w:tcW w:type="dxa" w:w="2498"/>
          </w:tcPr>
          <w:p>
            <w:r>
              <w:t>3%</w:t>
            </w:r>
          </w:p>
        </w:tc>
        <w:tc>
          <w:tcPr>
            <w:tcW w:type="dxa" w:w="2498"/>
          </w:tcPr>
          <w:p>
            <w:r>
              <w:t>Modest founder/operator support to sustain focused execution during the summer build period.</w:t>
            </w:r>
          </w:p>
        </w:tc>
      </w:tr>
      <w:tr>
        <w:tc>
          <w:tcPr>
            <w:tcW w:type="dxa" w:w="2498"/>
          </w:tcPr>
          <w:p>
            <w:r>
              <w:t>Claude Code / AI coding credits</w:t>
            </w:r>
          </w:p>
        </w:tc>
        <w:tc>
          <w:tcPr>
            <w:tcW w:type="dxa" w:w="2498"/>
          </w:tcPr>
          <w:p>
            <w:r>
              <w:t>$12,000</w:t>
            </w:r>
          </w:p>
        </w:tc>
        <w:tc>
          <w:tcPr>
            <w:tcW w:type="dxa" w:w="2498"/>
          </w:tcPr>
          <w:p>
            <w:r>
              <w:t>8%</w:t>
            </w:r>
          </w:p>
        </w:tc>
        <w:tc>
          <w:tcPr>
            <w:tcW w:type="dxa" w:w="2498"/>
          </w:tcPr>
          <w:p>
            <w:r>
              <w:t>Accelerates product iteration, compresses development cycles, and increases output from a lean team.</w:t>
            </w:r>
          </w:p>
        </w:tc>
      </w:tr>
      <w:tr>
        <w:tc>
          <w:tcPr>
            <w:tcW w:type="dxa" w:w="2498"/>
          </w:tcPr>
          <w:p>
            <w:r>
              <w:t>Cloud, software, hosting, and data services</w:t>
            </w:r>
          </w:p>
        </w:tc>
        <w:tc>
          <w:tcPr>
            <w:tcW w:type="dxa" w:w="2498"/>
          </w:tcPr>
          <w:p>
            <w:r>
              <w:t>$18,000</w:t>
            </w:r>
          </w:p>
        </w:tc>
        <w:tc>
          <w:tcPr>
            <w:tcW w:type="dxa" w:w="2498"/>
          </w:tcPr>
          <w:p>
            <w:r>
              <w:t>12%</w:t>
            </w:r>
          </w:p>
        </w:tc>
        <w:tc>
          <w:tcPr>
            <w:tcW w:type="dxa" w:w="2498"/>
          </w:tcPr>
          <w:p>
            <w:r>
              <w:t>Covers core infrastructure required for product delivery, testing, monitoring, and demonstrations.</w:t>
            </w:r>
          </w:p>
        </w:tc>
      </w:tr>
      <w:tr>
        <w:tc>
          <w:tcPr>
            <w:tcW w:type="dxa" w:w="2498"/>
          </w:tcPr>
          <w:p>
            <w:r>
              <w:t>Customer development, travel, and pilots</w:t>
            </w:r>
          </w:p>
        </w:tc>
        <w:tc>
          <w:tcPr>
            <w:tcW w:type="dxa" w:w="2498"/>
          </w:tcPr>
          <w:p>
            <w:r>
              <w:t>$10,000</w:t>
            </w:r>
          </w:p>
        </w:tc>
        <w:tc>
          <w:tcPr>
            <w:tcW w:type="dxa" w:w="2498"/>
          </w:tcPr>
          <w:p>
            <w:r>
              <w:t>7%</w:t>
            </w:r>
          </w:p>
        </w:tc>
        <w:tc>
          <w:tcPr>
            <w:tcW w:type="dxa" w:w="2498"/>
          </w:tcPr>
          <w:p>
            <w:r>
              <w:t>Funds university outreach, design partner cultivation, pilot execution, and early customer conversations.</w:t>
            </w:r>
          </w:p>
        </w:tc>
      </w:tr>
      <w:tr>
        <w:tc>
          <w:tcPr>
            <w:tcW w:type="dxa" w:w="2498"/>
          </w:tcPr>
          <w:p>
            <w:r>
              <w:t>Contractor / specialist support</w:t>
            </w:r>
          </w:p>
        </w:tc>
        <w:tc>
          <w:tcPr>
            <w:tcW w:type="dxa" w:w="2498"/>
          </w:tcPr>
          <w:p>
            <w:r>
              <w:t>$15,000</w:t>
            </w:r>
          </w:p>
        </w:tc>
        <w:tc>
          <w:tcPr>
            <w:tcW w:type="dxa" w:w="2498"/>
          </w:tcPr>
          <w:p>
            <w:r>
              <w:t>10%</w:t>
            </w:r>
          </w:p>
        </w:tc>
        <w:tc>
          <w:tcPr>
            <w:tcW w:type="dxa" w:w="2498"/>
          </w:tcPr>
          <w:p>
            <w:r>
              <w:t>Provides flexible access to targeted design, frontend, networking, or integration expertise without fixed full-time cost.</w:t>
            </w:r>
          </w:p>
        </w:tc>
      </w:tr>
      <w:tr>
        <w:tc>
          <w:tcPr>
            <w:tcW w:type="dxa" w:w="2498"/>
          </w:tcPr>
          <w:p>
            <w:r>
              <w:t>Operating buffer / contingency</w:t>
            </w:r>
          </w:p>
        </w:tc>
        <w:tc>
          <w:tcPr>
            <w:tcW w:type="dxa" w:w="2498"/>
          </w:tcPr>
          <w:p>
            <w:r>
              <w:t>$40,000</w:t>
            </w:r>
          </w:p>
        </w:tc>
        <w:tc>
          <w:tcPr>
            <w:tcW w:type="dxa" w:w="2498"/>
          </w:tcPr>
          <w:p>
            <w:r>
              <w:t>27%</w:t>
            </w:r>
          </w:p>
        </w:tc>
        <w:tc>
          <w:tcPr>
            <w:tcW w:type="dxa" w:w="2498"/>
          </w:tcPr>
          <w:p>
            <w:r>
              <w:t>Preserves flexibility, protects runway, and allows the company to respond to design-partner and customer needs without destabilizing the plan.</w:t>
            </w:r>
          </w:p>
        </w:tc>
      </w:tr>
    </w:tbl>
    <w:p>
      <w:r>
        <w:rPr>
          <w:b/>
          <w:sz w:val="28"/>
        </w:rPr>
        <w:t>Runway Framing</w:t>
      </w:r>
    </w:p>
    <w:p>
      <w:r>
        <w:t>On a blended basis, $150,000 supports approximately 9 months of execution, implying an average all-in monthly capacity of about $16,667. Excluding the front-loaded hardware allocation, the remaining $100,000 provides roughly $11,111 per month of non-hardware execution capacity. This is enough to support sustained development, customer discovery, and pilot activity while retaining flexibility for course correction.</w:t>
      </w:r>
    </w:p>
    <w:p>
      <w:r>
        <w:rPr>
          <w:b/>
          <w:sz w:val="28"/>
        </w:rPr>
        <w:t>Target Outcomes Over the Runway Period</w:t>
      </w:r>
    </w:p>
    <w:p>
      <w:pPr>
        <w:pStyle w:val="ListBullet"/>
      </w:pPr>
      <w:r>
        <w:t>Entry-tier design partners, with universities as a particularly attractive early segment for validation and iteration.</w:t>
      </w:r>
    </w:p>
    <w:p>
      <w:pPr>
        <w:pStyle w:val="ListBullet"/>
      </w:pPr>
      <w:r>
        <w:t>A small number of higher-value design partners capable of sharpening enterprise-grade workflow, reporting, and deployment requirements.</w:t>
      </w:r>
    </w:p>
    <w:p>
      <w:pPr>
        <w:pStyle w:val="ListBullet"/>
      </w:pPr>
      <w:r>
        <w:t>Several early customers or paid pilots that demonstrate commercial demand beyond exploratory partner engagement.</w:t>
      </w:r>
    </w:p>
    <w:p>
      <w:pPr>
        <w:pStyle w:val="ListBullet"/>
      </w:pPr>
      <w:r>
        <w:t>A credible proof of concept for the broader agentic platform, reinforcing the company’s ability to grow beyond a single wedge product.</w:t>
      </w:r>
    </w:p>
    <w:p>
      <w:r>
        <w:rPr>
          <w:b/>
          <w:sz w:val="28"/>
        </w:rPr>
        <w:t>Why This Budget Works</w:t>
      </w:r>
    </w:p>
    <w:p>
      <w:pPr>
        <w:pStyle w:val="ListBullet"/>
      </w:pPr>
      <w:r>
        <w:t>It funds product credibility, not just product development.</w:t>
      </w:r>
    </w:p>
    <w:p>
      <w:pPr>
        <w:pStyle w:val="ListBullet"/>
      </w:pPr>
      <w:r>
        <w:t>It increases development speed without overcommitting to fixed headcount.</w:t>
      </w:r>
    </w:p>
    <w:p>
      <w:pPr>
        <w:pStyle w:val="ListBullet"/>
      </w:pPr>
      <w:r>
        <w:t>It preserves enough operating flexibility to turn technical progress into market validation.</w:t>
      </w:r>
    </w:p>
    <w:p>
      <w:pPr>
        <w:pStyle w:val="ListBullet"/>
      </w:pPr>
      <w:r>
        <w:t>It is aligned with the milestones investors care about at this stage: design partners, early revenue signal, and platform leverage.</w:t>
      </w:r>
    </w:p>
    <w:p>
      <w:r>
        <w:rPr>
          <w:b/>
          <w:sz w:val="28"/>
        </w:rPr>
        <w:t>Investor Conclusion</w:t>
      </w:r>
    </w:p>
    <w:p>
      <w:r>
        <w:t>This is a disciplined early-stage use-of-funds plan. It is sized to make the product real, generate credible customer proof, and preserve enough optionality to build toward a broader platform story. By the end of this runway window, the company should be in a meaningfully stronger position to demonstrate technical credibility, market pull, and strategic expansion potential.</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