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2E5EAA"/>
          <w:spacing w:val="20"/>
          <w:sz w:val="20"/>
          <w:szCs w:val="20"/>
        </w:rPr>
        <w:t xml:space="preserve">TECHNICAL RESEARCH PAPER</w:t>
      </w:r>
    </w:p>
    <w:p>
      <w:pPr>
        <w:spacing w:after="160" w:before="240"/>
        <w:jc w:val="center"/>
      </w:pPr>
      <w:r>
        <w:rPr>
          <w:b/>
          <w:bCs/>
          <w:color w:val="1B2A4A"/>
          <w:sz w:val="44"/>
          <w:szCs w:val="44"/>
        </w:rPr>
        <w:t xml:space="preserve">Predictive Modeling and Risk Scoring</w:t>
      </w:r>
    </w:p>
    <w:p>
      <w:pPr>
        <w:jc w:val="center"/>
      </w:pPr>
      <w:r>
        <w:rPr>
          <w:b/>
          <w:bCs/>
          <w:color w:val="1B2A4A"/>
          <w:sz w:val="44"/>
          <w:szCs w:val="44"/>
        </w:rPr>
        <w:t xml:space="preserve">for Bank Customer Churn</w:t>
      </w:r>
    </w:p>
    <w:p>
      <w:pPr>
        <w:spacing w:before="320"/>
        <w:jc w:val="center"/>
      </w:pPr>
      <w:r>
        <w:rPr>
          <w:i/>
          <w:iCs/>
          <w:color w:val="666666"/>
          <w:sz w:val="24"/>
          <w:szCs w:val="24"/>
        </w:rPr>
        <w:t xml:space="preserve">A Predictive Churn Intelligence System for Proactive Retention Strategy</w:t>
      </w:r>
    </w:p>
    <w:p>
      <w:pPr>
        <w:spacing w:before="800"/>
        <w:jc w:val="center"/>
      </w:pPr>
      <w:r>
        <w:rPr>
          <w:color w:val="666666"/>
          <w:sz w:val="22"/>
          <w:szCs w:val="22"/>
        </w:rPr>
        <w:t xml:space="preserve">Prepared for Unified Mentor</w:t>
      </w:r>
    </w:p>
    <w:p>
      <w:pPr>
        <w:jc w:val="center"/>
      </w:pPr>
      <w:r>
        <w:rPr>
          <w:color w:val="666666"/>
          <w:sz w:val="20"/>
          <w:szCs w:val="20"/>
        </w:rPr>
        <w:t xml:space="preserve">Dataset: European Bank Customer Records (10,000 customers · France, Germany, Spain)</w:t>
      </w:r>
    </w:p>
    <w:p>
      <w:pPr>
        <w:spacing w:before="3200"/>
        <w:jc w:val="center"/>
      </w:pPr>
      <w:r>
        <w:rPr>
          <w:color w:val="666666"/>
          <w:sz w:val="18"/>
          <w:szCs w:val="18"/>
        </w:rPr>
        <w:t xml:space="preserve">Research Paper — Exploratory Analysis, Modeling &amp; Recommendations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t xml:space="preserve">Executive Snapshot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5%"/>
            <w:tcBorders>
              <w:top w:val="single" w:color="2E5EAA" w:sz="4"/>
              <w:left w:val="none"/>
              <w:bottom w:val="none"/>
              <w:right w:val="none"/>
            </w:tcBorders>
            <w:shd w:fill="F7F9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</w:pPr>
            <w:r>
              <w:rPr>
                <w:color w:val="666666"/>
                <w:sz w:val="16"/>
                <w:szCs w:val="16"/>
              </w:rPr>
              <w:t xml:space="preserve">Customers Analyzed</w:t>
            </w:r>
          </w:p>
          <w:p>
            <w:r>
              <w:rPr>
                <w:b/>
                <w:bCs/>
                <w:color w:val="1B2A4A"/>
                <w:sz w:val="30"/>
                <w:szCs w:val="30"/>
              </w:rPr>
              <w:t xml:space="preserve">10,000</w:t>
            </w:r>
          </w:p>
        </w:tc>
        <w:tc>
          <w:tcPr>
            <w:tcW w:type="pct" w:w="25%"/>
            <w:tcBorders>
              <w:top w:val="single" w:color="C64B4B" w:sz="4"/>
              <w:left w:val="none"/>
              <w:bottom w:val="none"/>
              <w:right w:val="none"/>
            </w:tcBorders>
            <w:shd w:fill="F7F9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</w:pPr>
            <w:r>
              <w:rPr>
                <w:color w:val="666666"/>
                <w:sz w:val="16"/>
                <w:szCs w:val="16"/>
              </w:rPr>
              <w:t xml:space="preserve">Overall Churn Rate</w:t>
            </w:r>
          </w:p>
          <w:p>
            <w:r>
              <w:rPr>
                <w:b/>
                <w:bCs/>
                <w:color w:val="1B2A4A"/>
                <w:sz w:val="30"/>
                <w:szCs w:val="30"/>
              </w:rPr>
              <w:t xml:space="preserve">20.4%</w:t>
            </w:r>
          </w:p>
        </w:tc>
        <w:tc>
          <w:tcPr>
            <w:tcW w:type="pct" w:w="25%"/>
            <w:tcBorders>
              <w:top w:val="single" w:color="2E5EAA" w:sz="4"/>
              <w:left w:val="none"/>
              <w:bottom w:val="none"/>
              <w:right w:val="none"/>
            </w:tcBorders>
            <w:shd w:fill="F7F9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</w:pPr>
            <w:r>
              <w:rPr>
                <w:color w:val="666666"/>
                <w:sz w:val="16"/>
                <w:szCs w:val="16"/>
              </w:rPr>
              <w:t xml:space="preserve">Best Model</w:t>
            </w:r>
          </w:p>
          <w:p>
            <w:r>
              <w:rPr>
                <w:b/>
                <w:bCs/>
                <w:color w:val="1B2A4A"/>
                <w:sz w:val="30"/>
                <w:szCs w:val="30"/>
              </w:rPr>
              <w:t xml:space="preserve">Gradient Boosting</w:t>
            </w:r>
          </w:p>
        </w:tc>
        <w:tc>
          <w:tcPr>
            <w:tcW w:type="pct" w:w="25%"/>
            <w:tcBorders>
              <w:top w:val="single" w:color="5AA469" w:sz="4"/>
              <w:left w:val="none"/>
              <w:bottom w:val="none"/>
              <w:right w:val="none"/>
            </w:tcBorders>
            <w:shd w:fill="F7F9F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40"/>
            </w:pPr>
            <w:r>
              <w:rPr>
                <w:color w:val="666666"/>
                <w:sz w:val="16"/>
                <w:szCs w:val="16"/>
              </w:rPr>
              <w:t xml:space="preserve">Best ROC-AUC</w:t>
            </w:r>
          </w:p>
          <w:p>
            <w:r>
              <w:rPr>
                <w:b/>
                <w:bCs/>
                <w:color w:val="1B2A4A"/>
                <w:sz w:val="30"/>
                <w:szCs w:val="30"/>
              </w:rPr>
              <w:t xml:space="preserve">0.870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t xml:space="preserve">1. Background and Context</w:t>
      </w:r>
    </w:p>
    <w:p>
      <w:pPr>
        <w:spacing w:after="160" w:line="300"/>
      </w:pPr>
      <w:r>
        <w:rPr>
          <w:sz w:val="22"/>
          <w:szCs w:val="22"/>
        </w:rPr>
        <w:t xml:space="preserve">Customer churn directly impacts a bank's core commercial health, affecting: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Customer Lifetime Value (CLV)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Revenue stability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Cross-sell and upsell potential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Long-term competitiveness of retail banks</w:t>
      </w:r>
    </w:p>
    <w:p>
      <w:pPr>
        <w:spacing w:after="160" w:line="300"/>
      </w:pPr>
      <w:r>
        <w:rPr>
          <w:sz w:val="22"/>
          <w:szCs w:val="22"/>
        </w:rPr>
        <w:t xml:space="preserve">Traditional churn analysis explains why churn happened after the fact, but modern banking requires early identification of customers who are likely to churn — enabling proactive retention campaigns, personalized offers, and targeted customer engagement. This project introduces a predictive churn intelligence system that assigns risk probabilities to customers before they leave.</w:t>
      </w:r>
    </w:p>
    <w:p>
      <w:pPr>
        <w:pStyle w:val="Heading1"/>
        <w:spacing w:after="160" w:before="320"/>
      </w:pPr>
      <w:r>
        <w:t xml:space="preserve">2. Problem Statement</w:t>
      </w:r>
    </w:p>
    <w:p>
      <w:pPr>
        <w:spacing w:after="160" w:line="300"/>
      </w:pPr>
      <w:r>
        <w:rPr>
          <w:sz w:val="22"/>
          <w:szCs w:val="22"/>
        </w:rPr>
        <w:t xml:space="preserve">Despite having rich customer-level data, banks often lack accurate churn prediction models, quantitative churn risk scores, and explainable insights into churn drivers. As a result, retention actions tend to be reactive rather than proactive, broad rather than targeted, and inefficient and costly.</w:t>
      </w:r>
    </w:p>
    <w:p>
      <w:pPr>
        <w:pStyle w:val="Heading2"/>
        <w:spacing w:after="120" w:before="260"/>
      </w:pPr>
      <w:r>
        <w:t xml:space="preserve">2.1 Primary Objectives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Predict customer churn with high accuracy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Generate churn probability scores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Identify key churn drivers</w:t>
      </w:r>
    </w:p>
    <w:p>
      <w:pPr>
        <w:pStyle w:val="Heading2"/>
        <w:spacing w:after="120" w:before="260"/>
      </w:pPr>
      <w:r>
        <w:t xml:space="preserve">2.2 Secondary Objectives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Reduce false positives in churn detection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Improve interpretability of ML models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Enable scenario-based churn risk analysis</w:t>
      </w:r>
    </w:p>
    <w:p>
      <w:pPr>
        <w:pStyle w:val="Heading1"/>
        <w:spacing w:after="160" w:before="320"/>
      </w:pPr>
      <w:r>
        <w:t xml:space="preserve">3. Dataset Description</w:t>
      </w:r>
    </w:p>
    <w:p>
      <w:pPr>
        <w:spacing w:after="160" w:line="300"/>
      </w:pPr>
      <w:r>
        <w:rPr>
          <w:sz w:val="22"/>
          <w:szCs w:val="22"/>
        </w:rPr>
        <w:t xml:space="preserve">The analysis uses a dataset of 10,000 bank customers across three markets (France, Germany, Spain), with the following fields: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636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CustomerId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Unique customer identifier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Surname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Customer surname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CreditScore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Customer creditworthiness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Geography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France, Spain, Germany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Gender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Male / Female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Age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Customer age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Tenure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Years with the bank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Balance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Account balance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NumOfProducts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Number of bank products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HasCrCard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Credit card ownership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IsActiveMember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Activity indicator</w:t>
            </w:r>
          </w:p>
        </w:tc>
      </w:tr>
      <w:tr>
        <w:tc>
          <w:tcPr>
            <w:tcW w:type="dxa" w:w="300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EstimatedSalary</w:t>
            </w:r>
          </w:p>
        </w:tc>
        <w:tc>
          <w:tcPr>
            <w:tcW w:type="dxa" w:w="63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Estimated annual salary</w:t>
            </w:r>
          </w:p>
        </w:tc>
      </w:tr>
      <w:tr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Exited</w:t>
            </w:r>
          </w:p>
        </w:tc>
        <w:tc>
          <w:tcPr>
            <w:tcW w:type="dxa" w:w="6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Churn indicator (target)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t xml:space="preserve">4. Exploratory Data Analysis</w:t>
      </w:r>
    </w:p>
    <w:p>
      <w:pPr>
        <w:spacing w:after="160" w:line="300"/>
      </w:pPr>
      <w:r>
        <w:rPr>
          <w:sz w:val="22"/>
          <w:szCs w:val="22"/>
        </w:rPr>
        <w:t xml:space="preserve">The dataset shows a churn rate of 20.4%, a moderately imbalanced target that was addressed with class-weighted models and stratified sampling throughout.</w:t>
      </w:r>
    </w:p>
    <w:p>
      <w:pPr>
        <w:spacing w:after="60" w:before="160"/>
        <w:jc w:val="center"/>
      </w:pPr>
      <w:r>
        <w:drawing>
          <wp:inline distT="0" distB="0" distL="0" distR="0">
            <wp:extent cx="3048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1. Customer churn distribution (retained vs churned).</w:t>
      </w:r>
    </w:p>
    <w:p>
      <w:pPr>
        <w:pStyle w:val="Heading2"/>
        <w:spacing w:after="120" w:before="260"/>
      </w:pPr>
      <w:r>
        <w:t xml:space="preserve">4.1 Geography</w:t>
      </w:r>
    </w:p>
    <w:p>
      <w:pPr>
        <w:spacing w:after="160" w:line="300"/>
      </w:pPr>
      <w:r>
        <w:rPr>
          <w:sz w:val="22"/>
          <w:szCs w:val="22"/>
        </w:rPr>
        <w:t xml:space="preserve">Churn varies substantially by market: Germany shows a churn rate of 32.4%, roughly double that of France (16.2%) and Spain (16.7%).</w:t>
      </w:r>
    </w:p>
    <w:p>
      <w:pPr>
        <w:spacing w:after="60" w:before="16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2. Churn rate by geography.</w:t>
      </w:r>
    </w:p>
    <w:p>
      <w:pPr>
        <w:pStyle w:val="Heading2"/>
        <w:spacing w:after="120" w:before="260"/>
      </w:pPr>
      <w:r>
        <w:t xml:space="preserve">4.2 Number of Products — the strongest behavioral signal</w:t>
      </w:r>
    </w:p>
    <w:p>
      <w:pPr>
        <w:spacing w:after="160" w:line="300"/>
      </w:pPr>
      <w:r>
        <w:rPr>
          <w:sz w:val="22"/>
          <w:szCs w:val="22"/>
        </w:rPr>
        <w:t xml:space="preserve">The relationship between product holding and churn is non-linear and striking: customers with 2 products churn least, while those with 3 or 4 products churn at extremely high rates.</w:t>
      </w:r>
    </w:p>
    <w:p>
      <w:pPr>
        <w:spacing w:after="60" w:before="16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3. Churn rate by number of products held.</w:t>
      </w:r>
    </w:p>
    <w:p>
      <w:pPr>
        <w:spacing w:after="160" w:line="300"/>
      </w:pPr>
      <w:r>
        <w:rPr>
          <w:sz w:val="22"/>
          <w:szCs w:val="22"/>
        </w:rPr>
        <w:t xml:space="preserve">Customers with 1 product churn at 27.7%, those with 2 products at only 7.6%, but 3-product holders churn at 82.7% and 4-product holders at 100.0%. This pattern is more consistent with over-bundling or fee/product dissatisfaction than a simple loyalty effect, and warrants direct product-level investigation.</w:t>
      </w:r>
    </w:p>
    <w:p>
      <w:pPr>
        <w:pStyle w:val="Heading2"/>
        <w:spacing w:after="120" w:before="260"/>
      </w:pPr>
      <w:r>
        <w:t xml:space="preserve">4.3 Age and Engagement</w:t>
      </w:r>
    </w:p>
    <w:p>
      <w:pPr>
        <w:spacing w:after="160" w:line="300"/>
      </w:pPr>
      <w:r>
        <w:rPr>
          <w:sz w:val="22"/>
          <w:szCs w:val="22"/>
        </w:rPr>
        <w:t xml:space="preserve">Churned customers are on average older (44.8 years) than retained customers (37.4 years). Inactive members churn at nearly double the rate of active members (26.9% vs 14.3%).</w:t>
      </w:r>
    </w:p>
    <w:p>
      <w:pPr>
        <w:spacing w:after="60" w:before="160"/>
        <w:jc w:val="center"/>
      </w:pPr>
      <w:r>
        <w:drawing>
          <wp:inline distT="0" distB="0" distL="0" distR="0">
            <wp:extent cx="36195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4. Age distribution — retained vs churned customers.</w:t>
      </w:r>
    </w:p>
    <w:p>
      <w:pPr>
        <w:pStyle w:val="Heading2"/>
        <w:spacing w:after="120" w:before="260"/>
      </w:pPr>
      <w:r>
        <w:t xml:space="preserve">4.4 Feature Correlations</w:t>
      </w:r>
    </w:p>
    <w:p>
      <w:pPr>
        <w:spacing w:after="60" w:before="160"/>
        <w:jc w:val="center"/>
      </w:pPr>
      <w:r>
        <w:drawing>
          <wp:inline distT="0" distB="0" distL="0" distR="0">
            <wp:extent cx="4000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5. Correlation matrix of numerical features.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Analytical Methodology</w:t>
      </w:r>
    </w:p>
    <w:p>
      <w:pPr>
        <w:pStyle w:val="Heading2"/>
        <w:spacing w:after="120" w:before="260"/>
      </w:pPr>
      <w:r>
        <w:t xml:space="preserve">5.1 Data Preprocessing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Verified no missing values across all fields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Removed non-informative identifiers (CustomerId, Surname, Year)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One-hot encoded categorical variables (Geography, Gender)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Standard-scaled numerical features</w:t>
      </w:r>
    </w:p>
    <w:p>
      <w:pPr>
        <w:pStyle w:val="Heading2"/>
        <w:spacing w:after="120" w:before="260"/>
      </w:pPr>
      <w:r>
        <w:t xml:space="preserve">5.2 Feature Engineering</w:t>
      </w:r>
    </w:p>
    <w:p>
      <w:pPr>
        <w:spacing w:after="160" w:line="300"/>
      </w:pPr>
      <w:r>
        <w:rPr>
          <w:sz w:val="22"/>
          <w:szCs w:val="22"/>
        </w:rPr>
        <w:t xml:space="preserve">Derived features designed to capture relationship-strength and engagement signals: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BalanceSalaryRatio — account balance relative to income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ProductDensity — products held per year of tenure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EngagementProductInteraction — active membership × number of products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AgeTenureInteraction — combined life-stage / relationship-length effect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IsZeroBalance — flags dormant / non-funded accounts</w:t>
      </w:r>
    </w:p>
    <w:p>
      <w:pPr>
        <w:pStyle w:val="Heading2"/>
        <w:spacing w:after="120" w:before="260"/>
      </w:pPr>
      <w:r>
        <w:t xml:space="preserve">5.3 Train-Test Strategy</w:t>
      </w:r>
    </w:p>
    <w:p>
      <w:pPr>
        <w:spacing w:after="160" w:line="300"/>
      </w:pPr>
      <w:r>
        <w:rPr>
          <w:sz w:val="22"/>
          <w:szCs w:val="22"/>
        </w:rPr>
        <w:t xml:space="preserve">An 80/20 stratified train-test split preserved the ~20% churn class distribution in both sets. Model selection used 5-fold stratified cross-validation on ROC-AUC to guard against overfitting.</w:t>
      </w:r>
    </w:p>
    <w:p>
      <w:pPr>
        <w:pStyle w:val="Heading2"/>
        <w:spacing w:after="120" w:before="260"/>
      </w:pPr>
      <w:r>
        <w:t xml:space="preserve">5.4 Model Development</w:t>
      </w:r>
    </w:p>
    <w:p>
      <w:pPr>
        <w:spacing w:after="160" w:line="300"/>
      </w:pPr>
      <w:r>
        <w:rPr>
          <w:sz w:val="22"/>
          <w:szCs w:val="22"/>
        </w:rPr>
        <w:t xml:space="preserve">Four models were trained inside a unified preprocessing pipeline, progressing from an interpretable baseline to more powerful ensembles: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Logistic Regression — interpretability benchmark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Decision Tree — simple non-linear baseline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Random Forest — bagged ensemble of trees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Gradient Boosting — sequential boosted ensemble (final production candidate)</w:t>
      </w:r>
    </w:p>
    <w:p>
      <w:pPr>
        <w:pStyle w:val="Heading1"/>
        <w:spacing w:after="160" w:before="320"/>
      </w:pPr>
      <w:r>
        <w:t xml:space="preserve">6. Model Evaluation</w:t>
      </w:r>
    </w:p>
    <w:p>
      <w:pPr>
        <w:spacing w:after="160" w:line="300"/>
      </w:pPr>
      <w:r>
        <w:rPr>
          <w:sz w:val="22"/>
          <w:szCs w:val="22"/>
        </w:rPr>
        <w:t xml:space="preserve">All four models were evaluated on a held-out test set of 2,000 customers using Accuracy, Precision, Recall, F1-Score, and ROC-AUC.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tcW w:type="dxa" w:w="216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132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132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2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2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F1-Score</w:t>
            </w:r>
          </w:p>
        </w:tc>
        <w:tc>
          <w:tcPr>
            <w:tcW w:type="dxa" w:w="1320"/>
            <w:shd w:fill="2E5EA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ROC-AUC</w:t>
            </w:r>
          </w:p>
        </w:tc>
      </w:tr>
      <w:tr>
        <w:tc>
          <w:tcPr>
            <w:tcW w:type="dxa" w:w="2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87.1%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79.0%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49.9%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61.1%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0.870</w:t>
            </w:r>
          </w:p>
        </w:tc>
      </w:tr>
      <w:tr>
        <w:tc>
          <w:tcPr>
            <w:tcW w:type="dxa" w:w="21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84.5%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61.1%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66.3%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63.6%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0.865</w:t>
            </w:r>
          </w:p>
        </w:tc>
      </w:tr>
      <w:tr>
        <w:tc>
          <w:tcPr>
            <w:tcW w:type="dxa" w:w="2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Decision Tree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75.6%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44.3%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76.7%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56.2%</w:t>
            </w:r>
          </w:p>
        </w:tc>
        <w:tc>
          <w:tcPr>
            <w:tcW w:type="dxa" w:w="13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0.823</w:t>
            </w:r>
          </w:p>
        </w:tc>
      </w:tr>
      <w:tr>
        <w:tc>
          <w:tcPr>
            <w:tcW w:type="dxa" w:w="216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Logistic Regression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71.3%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38.7%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70.5%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50.0%</w:t>
            </w:r>
          </w:p>
        </w:tc>
        <w:tc>
          <w:tcPr>
            <w:tcW w:type="dxa" w:w="1320"/>
            <w:shd w:fill="F7F9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0.776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/>
      </w:r>
    </w:p>
    <w:p>
      <w:pPr>
        <w:spacing w:after="60" w:before="160"/>
        <w:jc w:val="center"/>
      </w:pPr>
      <w:r>
        <w:drawing>
          <wp:inline distT="0" distB="0" distL="0" distR="0">
            <wp:extent cx="32385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6. ROC curves — model comparison.</w:t>
      </w:r>
    </w:p>
    <w:p>
      <w:pPr>
        <w:spacing w:after="60" w:before="160"/>
        <w:jc w:val="center"/>
      </w:pPr>
      <w:r>
        <w:drawing>
          <wp:inline distT="0" distB="0" distL="0" distR="0">
            <wp:extent cx="2857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7. Confusion matrix — Gradient Boosting (production model).</w:t>
      </w:r>
    </w:p>
    <w:p>
      <w:pPr>
        <w:spacing w:after="160" w:line="300"/>
      </w:pPr>
      <w:r>
        <w:rPr>
          <w:sz w:val="22"/>
          <w:szCs w:val="22"/>
        </w:rPr>
        <w:t xml:space="preserve">Gradient Boosting was selected as the production model, achieving the strongest ROC-AUC (0.870) and the best balance of precision and recall for identifying at-risk customers while limiting false alarms.</w:t>
      </w:r>
    </w:p>
    <w:p>
      <w:pPr>
        <w:pStyle w:val="Heading1"/>
        <w:spacing w:after="160" w:before="320"/>
      </w:pPr>
      <w:r>
        <w:t xml:space="preserve">7. Model Explainability</w:t>
      </w:r>
    </w:p>
    <w:p>
      <w:pPr>
        <w:spacing w:after="160" w:line="300"/>
      </w:pPr>
      <w:r>
        <w:rPr>
          <w:sz w:val="22"/>
          <w:szCs w:val="22"/>
        </w:rPr>
        <w:t xml:space="preserve">Explainability is critical for regulatory compliance and business trust — a bank cannot act on a churn score without being able to explain why a customer was flagged as high-risk. Permutation importance (model-agnostic, computed on the held-out test set) was used as the primary explainability method, supported by partial dependence plots.</w:t>
      </w:r>
    </w:p>
    <w:p>
      <w:pPr>
        <w:spacing w:after="60" w:before="1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8. Permutation importance — Gradient Boosting.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60"/>
        <w:jc w:val="center"/>
      </w:pPr>
      <w:r>
        <w:rPr>
          <w:i/>
          <w:iCs/>
          <w:color w:val="666666"/>
          <w:sz w:val="18"/>
          <w:szCs w:val="18"/>
        </w:rPr>
        <w:t xml:space="preserve">Figure 9. Partial dependence plots for the top churn drivers — Gradient Boosting.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Key Insights and Recommendations</w:t>
      </w:r>
    </w:p>
    <w:p>
      <w:pPr>
        <w:pStyle w:val="Heading2"/>
        <w:spacing w:after="120" w:before="260"/>
      </w:pPr>
      <w:r>
        <w:t xml:space="preserve">8.1 Age is the strongest predictor</w:t>
      </w:r>
    </w:p>
    <w:p>
      <w:pPr>
        <w:spacing w:after="160" w:line="300"/>
      </w:pPr>
      <w:r>
        <w:rPr>
          <w:sz w:val="22"/>
          <w:szCs w:val="22"/>
        </w:rPr>
        <w:t xml:space="preserve">Churn risk rises sharply through the 45–65 age band. This is consistent with a life-stage effect — retirement planning, wealth transitions, or competing offers from wealth-management competitors.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Recommendation: dedicated retention offers and relationship-manager outreach for the 45–65 segment.</w:t>
      </w:r>
    </w:p>
    <w:p>
      <w:pPr>
        <w:pStyle w:val="Heading2"/>
        <w:spacing w:after="120" w:before="260"/>
      </w:pPr>
      <w:r>
        <w:t xml:space="preserve">8.2 Product count is a double-edged signal</w:t>
      </w:r>
    </w:p>
    <w:p>
      <w:pPr>
        <w:spacing w:after="160" w:line="300"/>
      </w:pPr>
      <w:r>
        <w:rPr>
          <w:sz w:val="22"/>
          <w:szCs w:val="22"/>
        </w:rPr>
        <w:t xml:space="preserve">Two products marks the lowest-risk 'sweet spot,' but three or four products correlates with near-certain churn — the opposite of what a simple loyalty hypothesis would predict.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Recommendation: treat 3-4 product customers as an urgent retention flag; audit for mis-sold bundles, fee overlap, or service dissatisfaction rather than assuming loyalty.</w:t>
      </w:r>
    </w:p>
    <w:p>
      <w:pPr>
        <w:pStyle w:val="Heading2"/>
        <w:spacing w:after="120" w:before="260"/>
      </w:pPr>
      <w:r>
        <w:t xml:space="preserve">8.3 Geography — Germany is a market-specific risk</w:t>
      </w:r>
    </w:p>
    <w:p>
      <w:pPr>
        <w:spacing w:after="160" w:line="300"/>
      </w:pPr>
      <w:r>
        <w:rPr>
          <w:sz w:val="22"/>
          <w:szCs w:val="22"/>
        </w:rPr>
        <w:t xml:space="preserve">Germany's churn rate is roughly double that of France and Spain.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Recommendation: local investigation into pricing, competitive pressure, or service-quality gaps specific to the German market.</w:t>
      </w:r>
    </w:p>
    <w:p>
      <w:pPr>
        <w:pStyle w:val="Heading2"/>
        <w:spacing w:after="120" w:before="260"/>
      </w:pPr>
      <w:r>
        <w:t xml:space="preserve">8.4 Engagement drives retention</w:t>
      </w:r>
    </w:p>
    <w:p>
      <w:pPr>
        <w:spacing w:after="160" w:line="300"/>
      </w:pPr>
      <w:r>
        <w:rPr>
          <w:sz w:val="22"/>
          <w:szCs w:val="22"/>
        </w:rPr>
        <w:t xml:space="preserve">Inactive members churn at nearly double the rate of active members.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sz w:val="22"/>
          <w:szCs w:val="22"/>
        </w:rPr>
        <w:t xml:space="preserve">Recommendation: proactive engagement nudges (app usage prompts, transaction reminders) for members showing declining activity.</w:t>
      </w:r>
    </w:p>
    <w:p>
      <w:pPr>
        <w:pStyle w:val="Heading1"/>
        <w:spacing w:after="160" w:before="320"/>
      </w:pPr>
      <w:r>
        <w:t xml:space="preserve">9. Streamlit Web Application</w:t>
      </w:r>
    </w:p>
    <w:p>
      <w:pPr>
        <w:spacing w:after="160" w:line="300"/>
      </w:pPr>
      <w:r>
        <w:rPr>
          <w:sz w:val="22"/>
          <w:szCs w:val="22"/>
        </w:rPr>
        <w:t xml:space="preserve">A companion Streamlit dashboard operationalizes these findings for business users, with four core modules: a customer churn risk calculator, probability distribution visualization, a feature importance dashboard, and a what-if scenario simulator that lets users adjust engagement and product variables and observe how predicted churn probability responds in real time.</w:t>
      </w:r>
    </w:p>
    <w:p>
      <w:pPr>
        <w:pStyle w:val="Heading1"/>
        <w:spacing w:after="160" w:before="320"/>
      </w:pPr>
      <w:r>
        <w:t xml:space="preserve">10. Conclusion</w:t>
      </w:r>
    </w:p>
    <w:p>
      <w:pPr>
        <w:spacing w:after="160" w:line="300"/>
      </w:pPr>
      <w:r>
        <w:rPr>
          <w:sz w:val="22"/>
          <w:szCs w:val="22"/>
        </w:rPr>
        <w:t xml:space="preserve">This project reframes customer churn from a purely behavioral and demographic lens to a relationship- and product-strength perspective. By combining accurate predictive scoring with explainable, actionable insights, the resulting system enables retention strategy design, product optimization, and customer loyalty enhancement — moving the bank from reactive churn analysis to proactive churn prevention.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Bank Customer Churn — Predictive Risk Scoring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2E5EAA" w:sz="6" w:space="4"/>
      </w:pBdr>
      <w:spacing w:after="160" w:before="32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60"/>
    </w:pPr>
    <w:rPr>
      <w:rFonts w:ascii="Calibri" w:cs="Calibri" w:eastAsia="Calibri" w:hAnsi="Calibri"/>
      <w:b/>
      <w:bCs/>
      <w:color w:val="2E5EA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e4ea64608a9c5c18d7de3644562448629e91a9f.png"/><Relationship Id="rId10" Type="http://schemas.openxmlformats.org/officeDocument/2006/relationships/image" Target="media/999ddf0ba9d77e757b6247b8085cb3d2bb105464.png"/><Relationship Id="rId11" Type="http://schemas.openxmlformats.org/officeDocument/2006/relationships/image" Target="media/b7bb6a154d6949ab68e03c8f4df2e040be372892.png"/><Relationship Id="rId12" Type="http://schemas.openxmlformats.org/officeDocument/2006/relationships/image" Target="media/b802d9d0fd155df9513321650f3be322a7342234.png"/><Relationship Id="rId13" Type="http://schemas.openxmlformats.org/officeDocument/2006/relationships/image" Target="media/ede57309dadb24e78b2aa25b1cb68c8921a81a09.png"/><Relationship Id="rId14" Type="http://schemas.openxmlformats.org/officeDocument/2006/relationships/image" Target="media/078fd707d3cd1e4f56e6cb46f968a44b13c744dd.png"/><Relationship Id="rId15" Type="http://schemas.openxmlformats.org/officeDocument/2006/relationships/image" Target="media/64300404d6cf5617bb319ef21353773aca107822.png"/><Relationship Id="rId16" Type="http://schemas.openxmlformats.org/officeDocument/2006/relationships/image" Target="media/e6f0150c304c881498387df2126a15f2d94c28fc.png"/><Relationship Id="rId17" Type="http://schemas.openxmlformats.org/officeDocument/2006/relationships/image" Target="media/7362b53e6df4142fbb5e85239698a765ee36542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2026-08-25T13:19:23.824Z</dcterms:created>
  <dcterms:modified xsi:type="dcterms:W3CDTF">2026-08-25T13:19:23.825Z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