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2E5EAA"/>
          <w:sz w:val="17"/>
        </w:rPr>
        <w:t>EXECUTIVE BRIEFING · REGULATORY &amp; COMMERCIAL RISK INTELLIGENCE</w:t>
      </w:r>
    </w:p>
    <w:p>
      <w:pPr>
        <w:spacing w:before="40" w:after="120"/>
      </w:pPr>
      <w:r>
        <w:rPr>
          <w:rFonts w:ascii="Arial" w:hAnsi="Arial"/>
          <w:b/>
          <w:color w:val="1B2A4A"/>
          <w:sz w:val="34"/>
        </w:rPr>
        <w:t>Predictive Modeling &amp; Risk Scoring for Bank Customer Churn</w:t>
      </w:r>
    </w:p>
    <w:p>
      <w:pPr>
        <w:spacing w:after="200"/>
      </w:pPr>
      <w:r>
        <w:rPr>
          <w:rFonts w:ascii="Arial" w:hAnsi="Arial"/>
          <w:color w:val="5A6473"/>
          <w:sz w:val="19"/>
        </w:rPr>
        <w:t>Prepared for Executive Leadership &amp; Institutional Regulatory Stakeholders</w:t>
        <w:br/>
        <w:t>Submission Author: Chandolu Praneeth Kumar · September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4F6F9"/>
          </w:tcPr>
          <w:p>
            <w:pPr>
              <w:jc w:val="center"/>
            </w:pPr>
            <w:r>
              <w:rPr>
                <w:rFonts w:ascii="Arial" w:hAnsi="Arial"/>
                <w:b/>
                <w:color w:val="2E5EAA"/>
                <w:sz w:val="28"/>
              </w:rPr>
              <w:t>10,000</w:t>
              <w:br/>
            </w:r>
            <w:r>
              <w:rPr>
                <w:rFonts w:ascii="Arial" w:hAnsi="Arial"/>
                <w:color w:val="5A6473"/>
                <w:sz w:val="16"/>
              </w:rPr>
              <w:t>Customer Cohort</w:t>
            </w:r>
          </w:p>
        </w:tc>
        <w:tc>
          <w:tcPr>
            <w:tcW w:type="dxa" w:w="2412"/>
            <w:shd w:fill="F4F6F9"/>
          </w:tcPr>
          <w:p>
            <w:pPr>
              <w:jc w:val="center"/>
            </w:pPr>
            <w:r>
              <w:rPr>
                <w:rFonts w:ascii="Arial" w:hAnsi="Arial"/>
                <w:b/>
                <w:color w:val="2E5EAA"/>
                <w:sz w:val="28"/>
              </w:rPr>
              <w:t>0.871</w:t>
              <w:br/>
            </w:r>
            <w:r>
              <w:rPr>
                <w:rFonts w:ascii="Arial" w:hAnsi="Arial"/>
                <w:color w:val="5A6473"/>
                <w:sz w:val="16"/>
              </w:rPr>
              <w:t>Model ROC-AUC</w:t>
            </w:r>
          </w:p>
        </w:tc>
        <w:tc>
          <w:tcPr>
            <w:tcW w:type="dxa" w:w="2412"/>
            <w:shd w:fill="F4F6F9"/>
          </w:tcPr>
          <w:p>
            <w:pPr>
              <w:jc w:val="center"/>
            </w:pPr>
            <w:r>
              <w:rPr>
                <w:rFonts w:ascii="Arial" w:hAnsi="Arial"/>
                <w:b/>
                <w:color w:val="2E5EAA"/>
                <w:sz w:val="28"/>
              </w:rPr>
              <w:t>69.8% – 85.0%</w:t>
              <w:br/>
            </w:r>
            <w:r>
              <w:rPr>
                <w:rFonts w:ascii="Arial" w:hAnsi="Arial"/>
                <w:color w:val="5A6473"/>
                <w:sz w:val="16"/>
              </w:rPr>
              <w:t>Calibrated Churn Recall</w:t>
            </w:r>
          </w:p>
        </w:tc>
        <w:tc>
          <w:tcPr>
            <w:tcW w:type="dxa" w:w="2412"/>
            <w:shd w:fill="F4F6F9"/>
          </w:tcPr>
          <w:p>
            <w:pPr>
              <w:jc w:val="center"/>
            </w:pPr>
            <w:r>
              <w:rPr>
                <w:rFonts w:ascii="Arial" w:hAnsi="Arial"/>
                <w:b/>
                <w:color w:val="2E5EAA"/>
                <w:sz w:val="28"/>
              </w:rPr>
              <w:t>$72,650+</w:t>
              <w:br/>
            </w:r>
            <w:r>
              <w:rPr>
                <w:rFonts w:ascii="Arial" w:hAnsi="Arial"/>
                <w:color w:val="5A6473"/>
                <w:sz w:val="16"/>
              </w:rPr>
              <w:t>Net Savings / 2k Accounts</w:t>
            </w:r>
          </w:p>
        </w:tc>
      </w:tr>
    </w:tbl>
    <w:p>
      <w:pPr>
        <w:spacing w:after="120"/>
      </w:pPr>
    </w:p>
    <w:p>
      <w:pPr>
        <w:keepNext/>
        <w:spacing w:before="200" w:after="60"/>
      </w:pPr>
      <w:r>
        <w:rPr>
          <w:rFonts w:ascii="Arial" w:hAnsi="Arial"/>
          <w:b/>
          <w:color w:val="1B2A4A"/>
          <w:sz w:val="22"/>
        </w:rPr>
        <w:t>1. Strategic Commercial Context</w:t>
      </w:r>
    </w:p>
    <w:p>
      <w:pPr>
        <w:spacing w:line="276" w:lineRule="auto" w:after="80"/>
      </w:pPr>
      <w:r>
        <w:rPr>
          <w:rFonts w:ascii="Arial" w:hAnsi="Arial"/>
          <w:sz w:val="19"/>
        </w:rPr>
        <w:t>Customer attrition is one of the greatest drains on retail banking capital. Acquiring a new retail customer costs 5 to 7 times more than retaining an existing account. In a multi-market European portfolio of 10,000 customers, the baseline churn rate stands at 20.37%. Unchecked attrition erodes low-cost deposit funding, depresses cross-sell opportunities, and destroys Customer Lifetime Value (CLV).</w:t>
      </w:r>
    </w:p>
    <w:p>
      <w:pPr>
        <w:keepNext/>
        <w:spacing w:before="200" w:after="60"/>
      </w:pPr>
      <w:r>
        <w:rPr>
          <w:rFonts w:ascii="Arial" w:hAnsi="Arial"/>
          <w:b/>
          <w:color w:val="1B2A4A"/>
          <w:sz w:val="22"/>
        </w:rPr>
        <w:t>2. The Technical Breakthrough: Fixing the '50% Recall Blind Spot'</w:t>
      </w:r>
    </w:p>
    <w:p>
      <w:pPr>
        <w:spacing w:line="276" w:lineRule="auto" w:after="80"/>
      </w:pPr>
      <w:r>
        <w:rPr>
          <w:rFonts w:ascii="Arial" w:hAnsi="Arial"/>
          <w:sz w:val="19"/>
        </w:rPr>
        <w:t>Standard machine learning implementations optimize for global accuracy on imbalanced data. Under the conventional 0.50 decision threshold, the highest-accuracy model misses over 51% of all churning accounts. By formulating an asymmetric banking cost-utility matrix (cost of missed churn = $1,000 vs cost of retention incentive = $50) and calibrating the operating threshold to T* = 0.27, true churn detection (Recall) rises from 48.2% to 69.8% (and up to 85.0% under strict cost minimization). This single analytical intervention cuts unmitigated portfolio attrition losses by over 38%, generating $72,650 in direct net savings per 2,000 evaluated customers.</w:t>
      </w:r>
    </w:p>
    <w:p>
      <w:pPr>
        <w:keepNext/>
        <w:spacing w:before="200" w:after="60"/>
      </w:pPr>
      <w:r>
        <w:rPr>
          <w:rFonts w:ascii="Arial" w:hAnsi="Arial"/>
          <w:b/>
          <w:color w:val="1B2A4A"/>
          <w:sz w:val="22"/>
        </w:rPr>
        <w:t>3. Key Senior Data Analyst Discoveries</w:t>
      </w:r>
    </w:p>
    <w:p>
      <w:pPr>
        <w:spacing w:line="276" w:lineRule="auto" w:after="80"/>
      </w:pPr>
      <w:r>
        <w:rPr>
          <w:rFonts w:ascii="Arial" w:hAnsi="Arial"/>
          <w:sz w:val="19"/>
        </w:rPr>
        <w:t>• The German Zero-Balance Paradox: Germany's apparent 32.4% churn rate (vs ~16% in France and Spain) is driven by deposit composition. In Germany, 0.0% of accounts have a €0 balance, whereas in France and Spain, ~48% of customers maintain €0 balances (dormant secondary accounts). When comparing active funded accounts, the geographic gap narrows dramatically (25.5% vs 32.4%).</w:t>
      </w:r>
    </w:p>
    <w:p>
      <w:pPr>
        <w:spacing w:line="276" w:lineRule="auto" w:after="80"/>
      </w:pPr>
      <w:r>
        <w:rPr>
          <w:rFonts w:ascii="Arial" w:hAnsi="Arial"/>
          <w:sz w:val="19"/>
        </w:rPr>
        <w:t>• The Multi-Product Bundling Trap: Customers holding 2 products exhibit the highest retention (churn &lt; 8%). Customers with 3 or 4 products churn at catastrophic rates of 83% to 100%. However, this cohort represents only 3.26% of customers, indicating forced bundling and fee dissatisfaction rather than disloyalty among standard multi-product accounts.</w:t>
      </w:r>
    </w:p>
    <w:p>
      <w:pPr>
        <w:spacing w:line="276" w:lineRule="auto" w:after="80"/>
      </w:pPr>
      <w:r>
        <w:rPr>
          <w:rFonts w:ascii="Arial" w:hAnsi="Arial"/>
          <w:sz w:val="19"/>
        </w:rPr>
        <w:t>• The 45–65 Age Vulnerability: Churn probability remains flat below age 38, accelerating rapidly past age 42 and peaking at age 52, reflecting life-stage wealth consolidation and competitor solicitations.</w:t>
      </w:r>
    </w:p>
    <w:p>
      <w:pPr>
        <w:keepNext/>
        <w:spacing w:before="200" w:after="60"/>
      </w:pPr>
      <w:r>
        <w:rPr>
          <w:rFonts w:ascii="Arial" w:hAnsi="Arial"/>
          <w:b/>
          <w:color w:val="1B2A4A"/>
          <w:sz w:val="22"/>
        </w:rPr>
        <w:t>4. Governance, Regulatory Compliance &amp; Decision Support</w:t>
      </w:r>
    </w:p>
    <w:p>
      <w:pPr>
        <w:spacing w:line="276" w:lineRule="auto" w:after="80"/>
      </w:pPr>
      <w:r>
        <w:rPr>
          <w:rFonts w:ascii="Arial" w:hAnsi="Arial"/>
          <w:sz w:val="19"/>
        </w:rPr>
        <w:t>Under Basel III (BCBS 239) and the European Union Artificial Intelligence Act (EU AI Act), financial risk algorithms must provide rigorous interpretability and audit trails. The system deploys model-agnostic permutation importance and partial dependence plots, ensuring that every risk score is accompanied by human-auditable driver attributions. The entire pipeline is packaged in an enterprise Streamlit application equipped with single-customer scoring, batch CSV processing (10,000+ accounts), and an Executive Retention ROI Simulator.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