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2E5EAA"/>
          <w:sz w:val="17"/>
        </w:rPr>
        <w:t>ACADEMIC WORKING PAPER · OPEN-ACCESS REPRODUCIBLE RESEARCH</w:t>
      </w:r>
    </w:p>
    <w:p>
      <w:pPr>
        <w:spacing w:before="80" w:after="160" w:line="276" w:lineRule="auto"/>
      </w:pPr>
      <w:r>
        <w:rPr>
          <w:rFonts w:ascii="Arial" w:hAnsi="Arial"/>
          <w:b/>
          <w:color w:val="1B2A4A"/>
          <w:sz w:val="40"/>
        </w:rPr>
        <w:t>Predictive Modeling, Threshold Optimization, and Explainable Risk Scoring for Retail Bank Customer Churn</w:t>
      </w:r>
    </w:p>
    <w:p>
      <w:pPr>
        <w:spacing w:after="240"/>
      </w:pPr>
      <w:r>
        <w:rPr>
          <w:rFonts w:ascii="Arial" w:hAnsi="Arial"/>
          <w:b/>
          <w:color w:val="1B2A4A"/>
          <w:sz w:val="22"/>
        </w:rPr>
        <w:t>Chandolu Praneeth Kumar</w:t>
        <w:br/>
      </w:r>
      <w:r>
        <w:rPr>
          <w:rFonts w:ascii="Arial" w:hAnsi="Arial"/>
          <w:color w:val="5A6473"/>
          <w:sz w:val="19"/>
        </w:rPr>
        <w:t>Lead Data Scientist &amp; Risk Analytics Specialist</w:t>
        <w:br/>
        <w:t>Submission Repository: github.com/chandolupraneethkumar05-oss/Bank-Churn-Project</w:t>
        <w:br/>
        <w:t>Archival Repository: Zenodo (DOI: 10.5281/zenodo.placeholder) · September 2026</w:t>
      </w:r>
    </w:p>
    <w:tbl>
      <w:tblPr>
        <w:tblW w:type="auto" w:w="0"/>
        <w:jc w:val="center"/>
        <w:tblLook w:firstColumn="1" w:firstRow="1" w:lastColumn="0" w:lastRow="0" w:noHBand="0" w:noVBand="1" w:val="04A0"/>
      </w:tblPr>
      <w:tblGrid>
        <w:gridCol w:w="2340"/>
        <w:gridCol w:w="2340"/>
        <w:gridCol w:w="2340"/>
        <w:gridCol w:w="2340"/>
      </w:tblGrid>
      <w:tr>
        <w:tc>
          <w:tcPr>
            <w:tcW w:type="dxa" w:w="2340"/>
            <w:shd w:fill="F4F6F9"/>
            <w:tcMar>
              <w:top w:w="100" w:type="dxa"/>
              <w:bottom w:w="100" w:type="dxa"/>
              <w:left w:w="100" w:type="dxa"/>
              <w:right w:w="100" w:type="dxa"/>
            </w:tcMar>
          </w:tcPr>
          <w:p>
            <w:pPr>
              <w:jc w:val="center"/>
            </w:pPr>
            <w:r>
              <w:rPr>
                <w:rFonts w:ascii="Arial" w:hAnsi="Arial"/>
                <w:b/>
                <w:color w:val="2E5EAA"/>
                <w:sz w:val="30"/>
              </w:rPr>
              <w:t>10,000</w:t>
              <w:br/>
            </w:r>
            <w:r>
              <w:rPr>
                <w:rFonts w:ascii="Arial" w:hAnsi="Arial"/>
                <w:color w:val="5A6473"/>
                <w:sz w:val="17"/>
              </w:rPr>
              <w:t>Customer Records</w:t>
            </w:r>
          </w:p>
        </w:tc>
        <w:tc>
          <w:tcPr>
            <w:tcW w:type="dxa" w:w="2340"/>
            <w:shd w:fill="F4F6F9"/>
            <w:tcMar>
              <w:top w:w="100" w:type="dxa"/>
              <w:bottom w:w="100" w:type="dxa"/>
              <w:left w:w="100" w:type="dxa"/>
              <w:right w:w="100" w:type="dxa"/>
            </w:tcMar>
          </w:tcPr>
          <w:p>
            <w:pPr>
              <w:jc w:val="center"/>
            </w:pPr>
            <w:r>
              <w:rPr>
                <w:rFonts w:ascii="Arial" w:hAnsi="Arial"/>
                <w:b/>
                <w:color w:val="2E5EAA"/>
                <w:sz w:val="30"/>
              </w:rPr>
              <w:t>0.871</w:t>
              <w:br/>
            </w:r>
            <w:r>
              <w:rPr>
                <w:rFonts w:ascii="Arial" w:hAnsi="Arial"/>
                <w:color w:val="5A6473"/>
                <w:sz w:val="17"/>
              </w:rPr>
              <w:t>Holdout ROC-AUC</w:t>
            </w:r>
          </w:p>
        </w:tc>
        <w:tc>
          <w:tcPr>
            <w:tcW w:type="dxa" w:w="2340"/>
            <w:shd w:fill="F4F6F9"/>
            <w:tcMar>
              <w:top w:w="100" w:type="dxa"/>
              <w:bottom w:w="100" w:type="dxa"/>
              <w:left w:w="100" w:type="dxa"/>
              <w:right w:w="100" w:type="dxa"/>
            </w:tcMar>
          </w:tcPr>
          <w:p>
            <w:pPr>
              <w:jc w:val="center"/>
            </w:pPr>
            <w:r>
              <w:rPr>
                <w:rFonts w:ascii="Arial" w:hAnsi="Arial"/>
                <w:b/>
                <w:color w:val="2E5EAA"/>
                <w:sz w:val="30"/>
              </w:rPr>
              <w:t>76.4%</w:t>
              <w:br/>
            </w:r>
            <w:r>
              <w:rPr>
                <w:rFonts w:ascii="Arial" w:hAnsi="Arial"/>
                <w:color w:val="5A6473"/>
                <w:sz w:val="17"/>
              </w:rPr>
              <w:t>Calibrated Churn Recall</w:t>
            </w:r>
          </w:p>
        </w:tc>
        <w:tc>
          <w:tcPr>
            <w:tcW w:type="dxa" w:w="2340"/>
            <w:shd w:fill="F4F6F9"/>
            <w:tcMar>
              <w:top w:w="100" w:type="dxa"/>
              <w:bottom w:w="100" w:type="dxa"/>
              <w:left w:w="100" w:type="dxa"/>
              <w:right w:w="100" w:type="dxa"/>
            </w:tcMar>
          </w:tcPr>
          <w:p>
            <w:pPr>
              <w:jc w:val="center"/>
            </w:pPr>
            <w:r>
              <w:rPr>
                <w:rFonts w:ascii="Arial" w:hAnsi="Arial"/>
                <w:b/>
                <w:color w:val="2E5EAA"/>
                <w:sz w:val="30"/>
              </w:rPr>
              <w:t>38.6%</w:t>
              <w:br/>
            </w:r>
            <w:r>
              <w:rPr>
                <w:rFonts w:ascii="Arial" w:hAnsi="Arial"/>
                <w:color w:val="5A6473"/>
                <w:sz w:val="17"/>
              </w:rPr>
              <w:t>Portfolio Cost Reduction</w:t>
            </w:r>
          </w:p>
        </w:tc>
      </w:tr>
    </w:tbl>
    <w:p>
      <w:pPr>
        <w:spacing w:after="160"/>
      </w:pPr>
    </w:p>
    <w:p>
      <w:pPr>
        <w:spacing w:before="160" w:after="80"/>
      </w:pPr>
      <w:r>
        <w:rPr>
          <w:rFonts w:ascii="Arial" w:hAnsi="Arial"/>
          <w:b/>
          <w:color w:val="1B2A4A"/>
          <w:sz w:val="24"/>
        </w:rPr>
        <w:t>Abstract</w:t>
      </w:r>
    </w:p>
    <w:p>
      <w:pPr>
        <w:spacing w:line="276" w:lineRule="auto" w:after="160"/>
      </w:pPr>
      <w:r>
        <w:rPr>
          <w:rFonts w:ascii="Arial" w:hAnsi="Arial"/>
          <w:sz w:val="19"/>
        </w:rPr>
        <w:t>Retail banking profitability and Customer Lifetime Value (CLV) are profoundly threatened by customer attrition. While standard machine learning classifiers frequently achieve high headline accuracy on customer churn datasets, naive deployment often results in catastrophic operational failures due to acute class imbalance—exemplified by default models missing upwards of 50% of churning accounts. In this paper, we develop a predictive intelligence and risk scoring system evaluated on a multi-market empirical dataset of 10,000 European bank customers across France, Germany, and Spain. We uncover an empirical phenomenon termed the 'German Zero-Balance Paradox,' demonstrating that account balance composition accounts for much of the observed geographic variance in churn. We engineer domain-driven interaction features and benchmark five architectures: Logistic Regression, Decision Trees, Random Forests, Gradient Boosted Decision Trees (GBDT), and Balanced HistGradientBoosting, evaluated via 5-fold stratified cross-validation. To resolve the class-imbalance blind spot, we formalize a threshold-optimization framework integrating Youden’s J statistic, maximum F1-score calibration, and an asymmetric financial cost-utility matrix ($C_FN = $1,000 vs. $C_FP = $50). Our calibrated production model achieves a ROC-AUC of 0.871 [95% CI: 0.851–0.891] and PR-AUC of 0.721 [95% CI: 0.682–0.759], improving true churn capture (Recall) from 48.2% to 69.8% at optimal F1 (and up to 85.0% under cost minimization), reducing expected portfolio attrition costs by over 38%. Finally, we provide multi-level model explainability via permutation importance and partial dependence plots, ensuring strict compliance with European banking regulations (Basel III, EU AI Act), and implement an enterprise-grade interactive decision support system.</w:t>
      </w:r>
    </w:p>
    <w:p>
      <w:pPr>
        <w:spacing w:after="280"/>
      </w:pPr>
      <w:r>
        <w:rPr>
          <w:b/>
          <w:sz w:val="18"/>
        </w:rPr>
        <w:t xml:space="preserve">Keywords: </w:t>
      </w:r>
      <w:r>
        <w:rPr>
          <w:sz w:val="18"/>
        </w:rPr>
        <w:t>Customer Churn Prediction, Machine Learning in Banking, Threshold Optimization, Cost-Sensitive Learning, Explainable AI (XAI), Class Imbalance, Partial Dependence, Basel III Compliance.</w:t>
      </w:r>
    </w:p>
    <w:p>
      <w:pPr>
        <w:keepNext/>
        <w:spacing w:before="280" w:after="120"/>
      </w:pPr>
      <w:r>
        <w:rPr>
          <w:rFonts w:ascii="Arial" w:hAnsi="Arial"/>
          <w:b/>
          <w:color w:val="1B2A4A"/>
          <w:sz w:val="26"/>
        </w:rPr>
        <w:t>1. Introduction and Business Motivation</w:t>
      </w:r>
    </w:p>
    <w:p>
      <w:pPr>
        <w:spacing w:line="276" w:lineRule="auto" w:after="120"/>
      </w:pPr>
      <w:r>
        <w:rPr>
          <w:rFonts w:ascii="Arial" w:hAnsi="Arial"/>
          <w:sz w:val="20"/>
        </w:rPr>
        <w:t>Customer churn is a foundational threat to commercial banking sustainability. In an era of compressed net interest margins, fintech alternatives, and open banking protocols, acquiring a replacement customer costs financial institutions between 5 and 7 times more than retaining an established account holder. Consequently, mitigating churn directly preserves Customer Lifetime Value (CLV), protects core low-cost retail deposit funding, and maintains the primary distribution pipeline for fee-generating lending and wealth products.</w:t>
      </w:r>
    </w:p>
    <w:p>
      <w:pPr>
        <w:spacing w:line="276" w:lineRule="auto" w:after="120"/>
      </w:pPr>
      <w:r>
        <w:rPr>
          <w:rFonts w:ascii="Arial" w:hAnsi="Arial"/>
          <w:sz w:val="20"/>
        </w:rPr>
        <w:t>Historically, financial institutions operated reactively—contacting customers only after closure requests or formal balance transfers were executed. Machine learning enables a transition toward proactive, prescriptive risk scoring, identifying customer accounts entering early disengagement. However, production implementation faces severe methodological traps: class imbalance, default decision threshold failure, hidden market confounders, and regulatory constraints under Basel III and the European Union Artificial Intelligence Act (EU AI Act). This research paper develops an end-to-end, fully auditable churn intelligence system addressing each of these challenges.</w:t>
      </w:r>
    </w:p>
    <w:p>
      <w:pPr>
        <w:keepNext/>
        <w:spacing w:before="280" w:after="120"/>
      </w:pPr>
      <w:r>
        <w:rPr>
          <w:rFonts w:ascii="Arial" w:hAnsi="Arial"/>
          <w:b/>
          <w:color w:val="1B2A4A"/>
          <w:sz w:val="26"/>
        </w:rPr>
        <w:t>2. Empirical Dataset &amp; Exploratory Discoveries</w:t>
      </w:r>
    </w:p>
    <w:p>
      <w:pPr>
        <w:spacing w:line="276" w:lineRule="auto" w:after="120"/>
      </w:pPr>
      <w:r>
        <w:rPr>
          <w:rFonts w:ascii="Arial" w:hAnsi="Arial"/>
          <w:sz w:val="20"/>
        </w:rPr>
        <w:t>The empirical investigation utilizes a portfolio of 10,000 retail banking records across France (50.1%), Germany (25.1%), and Spain (24.8%). The dataset records financial capacity, tenure, contract holdings, engagement status, and demographics. The target variable (Exited) indicates an overall baseline churn rate of 20.37% (2,037 churned vs 7,963 retained), establishing an imbalanced class distribution of approximately 4:1.</w:t>
      </w:r>
    </w:p>
    <w:p>
      <w:pPr>
        <w:spacing w:before="160" w:after="80"/>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303520" cy="3977640"/>
                    </a:xfrm>
                    <a:prstGeom prst="rect"/>
                  </pic:spPr>
                </pic:pic>
              </a:graphicData>
            </a:graphic>
          </wp:inline>
        </w:drawing>
      </w:r>
    </w:p>
    <w:p>
      <w:pPr>
        <w:spacing w:after="200"/>
        <w:jc w:val="center"/>
      </w:pPr>
      <w:r>
        <w:rPr>
          <w:rFonts w:ascii="Arial" w:hAnsi="Arial"/>
          <w:i/>
          <w:color w:val="5A6473"/>
          <w:sz w:val="17"/>
        </w:rPr>
        <w:t>Figure 1: Target class distribution illustrating the 4:1 class imbalance.</w:t>
      </w:r>
    </w:p>
    <w:p>
      <w:pPr>
        <w:keepNext/>
        <w:spacing w:before="200" w:after="80"/>
      </w:pPr>
      <w:r>
        <w:rPr>
          <w:rFonts w:ascii="Arial" w:hAnsi="Arial"/>
          <w:b/>
          <w:color w:val="2E5EAA"/>
          <w:sz w:val="22"/>
        </w:rPr>
        <w:t>2.1 The German Zero-Balance Paradox</w:t>
      </w:r>
    </w:p>
    <w:p>
      <w:pPr>
        <w:spacing w:line="276" w:lineRule="auto" w:after="120"/>
      </w:pPr>
      <w:r>
        <w:rPr>
          <w:rFonts w:ascii="Arial" w:hAnsi="Arial"/>
          <w:sz w:val="20"/>
        </w:rPr>
        <w:t>A naive inspection indicates that Germany experiences a churn rate of 32.44%—nearly double that of France (16.15%) and Spain (16.67%) (Chi-Square = 301.26, p &lt; 1e-65). Prior superficial literature frequently attributed this strictly to competitive banking dynamics or consumer disloyalty.</w:t>
      </w:r>
    </w:p>
    <w:p>
      <w:pPr>
        <w:spacing w:line="276" w:lineRule="auto" w:after="120"/>
      </w:pPr>
      <w:r>
        <w:rPr>
          <w:rFonts w:ascii="Arial" w:hAnsi="Arial"/>
          <w:sz w:val="20"/>
        </w:rPr>
        <w:t>However, our senior analyst investigation reveals a striking structural anomaly: in France and Spain, roughly 48.2% and 48.4% of all account holders maintain an exact account balance of €0.00. In Germany, exactly 0.0% of accounts maintain a zero balance; every single German account holds positive funds (average balance = €119,730.12). When evaluating only customers with positive account balances, French churn jumps to 25.54% and Spanish churn to 24.88%, demonstrating that zero-balance dormancy in France/Spain artificially diluted their observed churn rate relative to Germany.</w:t>
      </w:r>
    </w:p>
    <w:tbl>
      <w:tblPr>
        <w:tblW w:type="auto" w:w="0"/>
        <w:jc w:val="center"/>
        <w:tblLayout w:type="fixed"/>
        <w:tblLook w:firstColumn="1" w:firstRow="1" w:lastColumn="0" w:lastRow="0" w:noHBand="0" w:noVBand="1" w:val="04A0"/>
      </w:tblPr>
      <w:tblGrid>
        <w:gridCol w:w="9360"/>
      </w:tblGrid>
      <w:tr>
        <w:tc>
          <w:tcPr>
            <w:tcW w:type="dxa" w:w="9360"/>
            <w:shd w:fill="EEF3FA"/>
            <w:tcMar>
              <w:top w:w="140" w:type="dxa"/>
              <w:bottom w:w="140" w:type="dxa"/>
              <w:left w:w="200" w:type="dxa"/>
              <w:right w:w="200" w:type="dxa"/>
            </w:tcMar>
          </w:tcPr>
          <w:p>
            <w:pPr>
              <w:spacing w:before="40" w:after="40" w:line="276" w:lineRule="auto"/>
            </w:pPr>
            <w:r>
              <w:rPr>
                <w:rFonts w:ascii="Arial" w:hAnsi="Arial"/>
                <w:b/>
                <w:color w:val="2E5EAA"/>
                <w:sz w:val="20"/>
              </w:rPr>
              <w:t xml:space="preserve">[ANALYTICAL DISCOVERY] </w:t>
            </w:r>
            <w:r>
              <w:rPr>
                <w:rFonts w:ascii="Arial" w:hAnsi="Arial"/>
                <w:color w:val="1B2A4A"/>
                <w:sz w:val="19"/>
              </w:rPr>
              <w:t>German customers have 0.0% zero-balance accounts (mean balance €119,730), whereas 48.2% of French and 48.4% of Spanish customers have €0 balance. When filtering for funded accounts, geographic churn disparity narrows dramatically (25.5% vs 32.4%).</w:t>
            </w:r>
          </w:p>
        </w:tc>
      </w:tr>
    </w:tbl>
    <w:p>
      <w:pPr>
        <w:spacing w:after="80"/>
      </w:pPr>
    </w:p>
    <w:p>
      <w:pPr>
        <w:spacing w:before="160" w:after="80"/>
        <w:jc w:val="center"/>
      </w:pPr>
      <w:r>
        <w:drawing>
          <wp:inline xmlns:a="http://schemas.openxmlformats.org/drawingml/2006/main" xmlns:pic="http://schemas.openxmlformats.org/drawingml/2006/picture">
            <wp:extent cx="5303520" cy="2121408"/>
            <wp:docPr id="2" name="Picture 2"/>
            <wp:cNvGraphicFramePr>
              <a:graphicFrameLocks noChangeAspect="1"/>
            </wp:cNvGraphicFramePr>
            <a:graphic>
              <a:graphicData uri="http://schemas.openxmlformats.org/drawingml/2006/picture">
                <pic:pic>
                  <pic:nvPicPr>
                    <pic:cNvPr id="0" name="02b_geography_zero_balance_paradox.png"/>
                    <pic:cNvPicPr/>
                  </pic:nvPicPr>
                  <pic:blipFill>
                    <a:blip r:embed="rId10"/>
                    <a:stretch>
                      <a:fillRect/>
                    </a:stretch>
                  </pic:blipFill>
                  <pic:spPr>
                    <a:xfrm>
                      <a:off x="0" y="0"/>
                      <a:ext cx="5303520" cy="2121408"/>
                    </a:xfrm>
                    <a:prstGeom prst="rect"/>
                  </pic:spPr>
                </pic:pic>
              </a:graphicData>
            </a:graphic>
          </wp:inline>
        </w:drawing>
      </w:r>
    </w:p>
    <w:p>
      <w:pPr>
        <w:spacing w:after="200"/>
        <w:jc w:val="center"/>
      </w:pPr>
      <w:r>
        <w:rPr>
          <w:rFonts w:ascii="Arial" w:hAnsi="Arial"/>
          <w:i/>
          <w:color w:val="5A6473"/>
          <w:sz w:val="17"/>
        </w:rPr>
        <w:t>Figure 2: The German Zero-Balance Paradox: Zero-balance prevalence and churn rate comparisons.</w:t>
      </w:r>
    </w:p>
    <w:p>
      <w:pPr>
        <w:keepNext/>
        <w:spacing w:before="200" w:after="80"/>
      </w:pPr>
      <w:r>
        <w:rPr>
          <w:rFonts w:ascii="Arial" w:hAnsi="Arial"/>
          <w:b/>
          <w:color w:val="2E5EAA"/>
          <w:sz w:val="22"/>
        </w:rPr>
        <w:t>2.2 The Multi-Product Bundling Trap</w:t>
      </w:r>
    </w:p>
    <w:p>
      <w:pPr>
        <w:spacing w:line="276" w:lineRule="auto" w:after="120"/>
      </w:pPr>
      <w:r>
        <w:rPr>
          <w:rFonts w:ascii="Arial" w:hAnsi="Arial"/>
          <w:sz w:val="20"/>
        </w:rPr>
        <w:t>A second critical empirical pattern emerges across product holdings. Customers holding 2 products exhibit the lowest churn rate (7.58%), whereas customers with 1 product churn at 27.71%, and customers with 3 or 4 products churn at catastrophic rates of 82.71% and 100.00%. However, accounts with 3 or 4 products represent only 3.26% of the portfolio (N=326). Rather than indicating disloyal multi-product users, this cohort represents forced product bundling followed by acute fee dissatisfaction preceding account closure.</w:t>
      </w:r>
    </w:p>
    <w:p>
      <w:pPr>
        <w:spacing w:before="160" w:after="80"/>
        <w:jc w:val="center"/>
      </w:pPr>
      <w:r>
        <w:drawing>
          <wp:inline xmlns:a="http://schemas.openxmlformats.org/drawingml/2006/main" xmlns:pic="http://schemas.openxmlformats.org/drawingml/2006/picture">
            <wp:extent cx="5303520" cy="3636699"/>
            <wp:docPr id="3" name="Picture 3"/>
            <wp:cNvGraphicFramePr>
              <a:graphicFrameLocks noChangeAspect="1"/>
            </wp:cNvGraphicFramePr>
            <a:graphic>
              <a:graphicData uri="http://schemas.openxmlformats.org/drawingml/2006/picture">
                <pic:pic>
                  <pic:nvPicPr>
                    <pic:cNvPr id="0" name="05_churn_by_numproducts.png"/>
                    <pic:cNvPicPr/>
                  </pic:nvPicPr>
                  <pic:blipFill>
                    <a:blip r:embed="rId11"/>
                    <a:stretch>
                      <a:fillRect/>
                    </a:stretch>
                  </pic:blipFill>
                  <pic:spPr>
                    <a:xfrm>
                      <a:off x="0" y="0"/>
                      <a:ext cx="5303520" cy="3636699"/>
                    </a:xfrm>
                    <a:prstGeom prst="rect"/>
                  </pic:spPr>
                </pic:pic>
              </a:graphicData>
            </a:graphic>
          </wp:inline>
        </w:drawing>
      </w:r>
    </w:p>
    <w:p>
      <w:pPr>
        <w:spacing w:after="200"/>
        <w:jc w:val="center"/>
      </w:pPr>
      <w:r>
        <w:rPr>
          <w:rFonts w:ascii="Arial" w:hAnsi="Arial"/>
          <w:i/>
          <w:color w:val="5A6473"/>
          <w:sz w:val="17"/>
        </w:rPr>
        <w:t>Figure 3: Churn rate by number of products held, annotated with sample sizes.</w:t>
      </w:r>
    </w:p>
    <w:p>
      <w:pPr>
        <w:keepNext/>
        <w:spacing w:before="280" w:after="120"/>
      </w:pPr>
      <w:r>
        <w:rPr>
          <w:rFonts w:ascii="Arial" w:hAnsi="Arial"/>
          <w:b/>
          <w:color w:val="1B2A4A"/>
          <w:sz w:val="26"/>
        </w:rPr>
        <w:t>3. Feature Engineering &amp; Preprocessing Architecture</w:t>
      </w:r>
    </w:p>
    <w:p>
      <w:pPr>
        <w:spacing w:line="276" w:lineRule="auto" w:after="120"/>
      </w:pPr>
      <w:r>
        <w:rPr>
          <w:rFonts w:ascii="Arial" w:hAnsi="Arial"/>
          <w:sz w:val="20"/>
        </w:rPr>
        <w:t>To extract deep behavioral signals while guaranteeing zero data leakage, we formulated several domain-specific features embedded in a strict scikit-learn Pipeline:</w:t>
      </w:r>
    </w:p>
    <w:p>
      <w:pPr>
        <w:pStyle w:val="ListBullet"/>
        <w:spacing w:line="276" w:lineRule="auto" w:after="60"/>
      </w:pPr>
      <w:r>
        <w:rPr>
          <w:rFonts w:ascii="Arial" w:hAnsi="Arial"/>
          <w:b/>
          <w:sz w:val="20"/>
        </w:rPr>
        <w:t xml:space="preserve">BalanceSalaryRatio: </w:t>
      </w:r>
      <w:r>
        <w:rPr>
          <w:rFonts w:ascii="Arial" w:hAnsi="Arial"/>
          <w:sz w:val="20"/>
        </w:rPr>
        <w:t xml:space="preserve"> — account balance relative to estimated annual income, capturing financial liquidity depth.</w:t>
      </w:r>
    </w:p>
    <w:p>
      <w:pPr>
        <w:pStyle w:val="ListBullet"/>
        <w:spacing w:line="276" w:lineRule="auto" w:after="60"/>
      </w:pPr>
      <w:r>
        <w:rPr>
          <w:rFonts w:ascii="Arial" w:hAnsi="Arial"/>
          <w:b/>
          <w:sz w:val="20"/>
        </w:rPr>
        <w:t xml:space="preserve">ProductDensity: </w:t>
      </w:r>
      <w:r>
        <w:rPr>
          <w:rFonts w:ascii="Arial" w:hAnsi="Arial"/>
          <w:sz w:val="20"/>
        </w:rPr>
        <w:t xml:space="preserve"> — contracts held per year of tenure (smoothed by Tenure + 1), measuring relationship velocity without zero-division error.</w:t>
      </w:r>
    </w:p>
    <w:p>
      <w:pPr>
        <w:pStyle w:val="ListBullet"/>
        <w:spacing w:line="276" w:lineRule="auto" w:after="60"/>
      </w:pPr>
      <w:r>
        <w:rPr>
          <w:rFonts w:ascii="Arial" w:hAnsi="Arial"/>
          <w:b/>
          <w:sz w:val="20"/>
        </w:rPr>
        <w:t xml:space="preserve">BalancePerProduct: </w:t>
      </w:r>
      <w:r>
        <w:rPr>
          <w:rFonts w:ascii="Arial" w:hAnsi="Arial"/>
          <w:sz w:val="20"/>
        </w:rPr>
        <w:t xml:space="preserve"> — capital concentration per banking product contract.</w:t>
      </w:r>
    </w:p>
    <w:p>
      <w:pPr>
        <w:pStyle w:val="ListBullet"/>
        <w:spacing w:line="276" w:lineRule="auto" w:after="60"/>
      </w:pPr>
      <w:r>
        <w:rPr>
          <w:rFonts w:ascii="Arial" w:hAnsi="Arial"/>
          <w:b/>
          <w:sz w:val="20"/>
        </w:rPr>
        <w:t xml:space="preserve">HighRiskProducts: </w:t>
      </w:r>
      <w:r>
        <w:rPr>
          <w:rFonts w:ascii="Arial" w:hAnsi="Arial"/>
          <w:sz w:val="20"/>
        </w:rPr>
        <w:t xml:space="preserve"> — binary indicator flagging the high-risk 3 and 4 product accounts.</w:t>
      </w:r>
    </w:p>
    <w:p>
      <w:pPr>
        <w:pStyle w:val="ListBullet"/>
        <w:spacing w:line="276" w:lineRule="auto" w:after="60"/>
      </w:pPr>
      <w:r>
        <w:rPr>
          <w:rFonts w:ascii="Arial" w:hAnsi="Arial"/>
          <w:b/>
          <w:sz w:val="20"/>
        </w:rPr>
        <w:t xml:space="preserve">EngagementProductInteraction: </w:t>
      </w:r>
      <w:r>
        <w:rPr>
          <w:rFonts w:ascii="Arial" w:hAnsi="Arial"/>
          <w:sz w:val="20"/>
        </w:rPr>
        <w:t xml:space="preserve"> — interaction between active membership engagement and product count.</w:t>
      </w:r>
    </w:p>
    <w:p>
      <w:pPr>
        <w:pStyle w:val="ListBullet"/>
        <w:spacing w:line="276" w:lineRule="auto" w:after="60"/>
      </w:pPr>
      <w:r>
        <w:rPr>
          <w:rFonts w:ascii="Arial" w:hAnsi="Arial"/>
          <w:b/>
          <w:sz w:val="20"/>
        </w:rPr>
        <w:t xml:space="preserve">AgeSquared: </w:t>
      </w:r>
      <w:r>
        <w:rPr>
          <w:rFonts w:ascii="Arial" w:hAnsi="Arial"/>
          <w:sz w:val="20"/>
        </w:rPr>
        <w:t xml:space="preserve"> — captures non-linear convex churn risk accelerating across the 45–65 age cohort.</w:t>
      </w:r>
    </w:p>
    <w:p>
      <w:pPr>
        <w:pStyle w:val="ListBullet"/>
        <w:spacing w:line="276" w:lineRule="auto" w:after="60"/>
      </w:pPr>
      <w:r>
        <w:rPr>
          <w:rFonts w:ascii="Arial" w:hAnsi="Arial"/>
          <w:b/>
          <w:sz w:val="20"/>
        </w:rPr>
        <w:t xml:space="preserve">IsZeroBalance: </w:t>
      </w:r>
      <w:r>
        <w:rPr>
          <w:rFonts w:ascii="Arial" w:hAnsi="Arial"/>
          <w:sz w:val="20"/>
        </w:rPr>
        <w:t xml:space="preserve"> — explicit flag for secondary zero-balance accounts.</w:t>
      </w:r>
    </w:p>
    <w:p>
      <w:pPr>
        <w:keepNext/>
        <w:spacing w:before="280" w:after="120"/>
      </w:pPr>
      <w:r>
        <w:rPr>
          <w:rFonts w:ascii="Arial" w:hAnsi="Arial"/>
          <w:b/>
          <w:color w:val="1B2A4A"/>
          <w:sz w:val="26"/>
        </w:rPr>
        <w:t>4. Machine Learning Formulation &amp; Benchmark Results</w:t>
      </w:r>
    </w:p>
    <w:p>
      <w:pPr>
        <w:spacing w:line="276" w:lineRule="auto" w:after="120"/>
      </w:pPr>
      <w:r>
        <w:rPr>
          <w:rFonts w:ascii="Arial" w:hAnsi="Arial"/>
          <w:sz w:val="20"/>
        </w:rPr>
        <w:t>Five diverse machine learning architectures were trained on 8,000 stratified training samples and evaluated on a held-out test cohort of 2,000 accounts. In addition to standard ROC-AUC, Precision-Recall AUC (PR-AUC / Average Precision) was logged to rigorously assess imbalanced minority-class performance.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2A4A"/>
            <w:tcMar>
              <w:top w:w="80" w:type="dxa"/>
              <w:bottom w:w="80" w:type="dxa"/>
              <w:left w:w="80" w:type="dxa"/>
              <w:right w:w="80" w:type="dxa"/>
            </w:tcMar>
          </w:tcPr>
          <w:p>
            <w:r>
              <w:rPr>
                <w:rFonts w:ascii="Arial" w:hAnsi="Arial"/>
                <w:b/>
                <w:color w:val="FFFFFF"/>
                <w:sz w:val="17"/>
              </w:rPr>
              <w:t>Model</w:t>
            </w:r>
          </w:p>
        </w:tc>
        <w:tc>
          <w:tcPr>
            <w:tcW w:type="dxa" w:w="1337"/>
            <w:shd w:fill="1B2A4A"/>
            <w:tcMar>
              <w:top w:w="80" w:type="dxa"/>
              <w:bottom w:w="80" w:type="dxa"/>
              <w:left w:w="80" w:type="dxa"/>
              <w:right w:w="80" w:type="dxa"/>
            </w:tcMar>
          </w:tcPr>
          <w:p>
            <w:r>
              <w:rPr>
                <w:rFonts w:ascii="Arial" w:hAnsi="Arial"/>
                <w:b/>
                <w:color w:val="FFFFFF"/>
                <w:sz w:val="17"/>
              </w:rPr>
              <w:t>Accuracy</w:t>
            </w:r>
          </w:p>
        </w:tc>
        <w:tc>
          <w:tcPr>
            <w:tcW w:type="dxa" w:w="1337"/>
            <w:shd w:fill="1B2A4A"/>
            <w:tcMar>
              <w:top w:w="80" w:type="dxa"/>
              <w:bottom w:w="80" w:type="dxa"/>
              <w:left w:w="80" w:type="dxa"/>
              <w:right w:w="80" w:type="dxa"/>
            </w:tcMar>
          </w:tcPr>
          <w:p>
            <w:r>
              <w:rPr>
                <w:rFonts w:ascii="Arial" w:hAnsi="Arial"/>
                <w:b/>
                <w:color w:val="FFFFFF"/>
                <w:sz w:val="17"/>
              </w:rPr>
              <w:t>Precision</w:t>
            </w:r>
          </w:p>
        </w:tc>
        <w:tc>
          <w:tcPr>
            <w:tcW w:type="dxa" w:w="1337"/>
            <w:shd w:fill="1B2A4A"/>
            <w:tcMar>
              <w:top w:w="80" w:type="dxa"/>
              <w:bottom w:w="80" w:type="dxa"/>
              <w:left w:w="80" w:type="dxa"/>
              <w:right w:w="80" w:type="dxa"/>
            </w:tcMar>
          </w:tcPr>
          <w:p>
            <w:r>
              <w:rPr>
                <w:rFonts w:ascii="Arial" w:hAnsi="Arial"/>
                <w:b/>
                <w:color w:val="FFFFFF"/>
                <w:sz w:val="17"/>
              </w:rPr>
              <w:t>Recall</w:t>
            </w:r>
          </w:p>
        </w:tc>
        <w:tc>
          <w:tcPr>
            <w:tcW w:type="dxa" w:w="1337"/>
            <w:shd w:fill="1B2A4A"/>
            <w:tcMar>
              <w:top w:w="80" w:type="dxa"/>
              <w:bottom w:w="80" w:type="dxa"/>
              <w:left w:w="80" w:type="dxa"/>
              <w:right w:w="80" w:type="dxa"/>
            </w:tcMar>
          </w:tcPr>
          <w:p>
            <w:r>
              <w:rPr>
                <w:rFonts w:ascii="Arial" w:hAnsi="Arial"/>
                <w:b/>
                <w:color w:val="FFFFFF"/>
                <w:sz w:val="17"/>
              </w:rPr>
              <w:t>F1-Score</w:t>
            </w:r>
          </w:p>
        </w:tc>
        <w:tc>
          <w:tcPr>
            <w:tcW w:type="dxa" w:w="1337"/>
            <w:shd w:fill="1B2A4A"/>
            <w:tcMar>
              <w:top w:w="80" w:type="dxa"/>
              <w:bottom w:w="80" w:type="dxa"/>
              <w:left w:w="80" w:type="dxa"/>
              <w:right w:w="80" w:type="dxa"/>
            </w:tcMar>
          </w:tcPr>
          <w:p>
            <w:r>
              <w:rPr>
                <w:rFonts w:ascii="Arial" w:hAnsi="Arial"/>
                <w:b/>
                <w:color w:val="FFFFFF"/>
                <w:sz w:val="17"/>
              </w:rPr>
              <w:t>ROC-AUC</w:t>
            </w:r>
          </w:p>
        </w:tc>
        <w:tc>
          <w:tcPr>
            <w:tcW w:type="dxa" w:w="1337"/>
            <w:shd w:fill="1B2A4A"/>
            <w:tcMar>
              <w:top w:w="80" w:type="dxa"/>
              <w:bottom w:w="80" w:type="dxa"/>
              <w:left w:w="80" w:type="dxa"/>
              <w:right w:w="80" w:type="dxa"/>
            </w:tcMar>
          </w:tcPr>
          <w:p>
            <w:r>
              <w:rPr>
                <w:rFonts w:ascii="Arial" w:hAnsi="Arial"/>
                <w:b/>
                <w:color w:val="FFFFFF"/>
                <w:sz w:val="17"/>
              </w:rPr>
              <w:t>PR-AUC</w:t>
            </w:r>
          </w:p>
        </w:tc>
      </w:tr>
      <w:tr>
        <w:tc>
          <w:tcPr>
            <w:tcW w:type="dxa" w:w="1337"/>
            <w:tcMar>
              <w:top w:w="60" w:type="dxa"/>
              <w:bottom w:w="60" w:type="dxa"/>
              <w:left w:w="80" w:type="dxa"/>
              <w:right w:w="80" w:type="dxa"/>
            </w:tcMar>
          </w:tcPr>
          <w:p>
            <w:r>
              <w:rPr>
                <w:rFonts w:ascii="Arial" w:hAnsi="Arial"/>
                <w:b/>
                <w:sz w:val="17"/>
              </w:rPr>
              <w:t>Gradient Boosting</w:t>
            </w:r>
          </w:p>
        </w:tc>
        <w:tc>
          <w:tcPr>
            <w:tcW w:type="dxa" w:w="1337"/>
            <w:tcMar>
              <w:top w:w="60" w:type="dxa"/>
              <w:bottom w:w="60" w:type="dxa"/>
              <w:left w:w="80" w:type="dxa"/>
              <w:right w:w="80" w:type="dxa"/>
            </w:tcMar>
          </w:tcPr>
          <w:p>
            <w:r>
              <w:rPr>
                <w:rFonts w:ascii="Arial" w:hAnsi="Arial"/>
                <w:sz w:val="17"/>
              </w:rPr>
              <w:t>86.6%</w:t>
            </w:r>
          </w:p>
        </w:tc>
        <w:tc>
          <w:tcPr>
            <w:tcW w:type="dxa" w:w="1337"/>
            <w:tcMar>
              <w:top w:w="60" w:type="dxa"/>
              <w:bottom w:w="60" w:type="dxa"/>
              <w:left w:w="80" w:type="dxa"/>
              <w:right w:w="80" w:type="dxa"/>
            </w:tcMar>
          </w:tcPr>
          <w:p>
            <w:r>
              <w:rPr>
                <w:rFonts w:ascii="Arial" w:hAnsi="Arial"/>
                <w:sz w:val="17"/>
              </w:rPr>
              <w:t>77.5%</w:t>
            </w:r>
          </w:p>
        </w:tc>
        <w:tc>
          <w:tcPr>
            <w:tcW w:type="dxa" w:w="1337"/>
            <w:tcMar>
              <w:top w:w="60" w:type="dxa"/>
              <w:bottom w:w="60" w:type="dxa"/>
              <w:left w:w="80" w:type="dxa"/>
              <w:right w:w="80" w:type="dxa"/>
            </w:tcMar>
          </w:tcPr>
          <w:p>
            <w:r>
              <w:rPr>
                <w:rFonts w:ascii="Arial" w:hAnsi="Arial"/>
                <w:sz w:val="17"/>
              </w:rPr>
              <w:t>48.2%</w:t>
            </w:r>
          </w:p>
        </w:tc>
        <w:tc>
          <w:tcPr>
            <w:tcW w:type="dxa" w:w="1337"/>
            <w:tcMar>
              <w:top w:w="60" w:type="dxa"/>
              <w:bottom w:w="60" w:type="dxa"/>
              <w:left w:w="80" w:type="dxa"/>
              <w:right w:w="80" w:type="dxa"/>
            </w:tcMar>
          </w:tcPr>
          <w:p>
            <w:r>
              <w:rPr>
                <w:rFonts w:ascii="Arial" w:hAnsi="Arial"/>
                <w:sz w:val="17"/>
              </w:rPr>
              <w:t>0.594</w:t>
            </w:r>
          </w:p>
        </w:tc>
        <w:tc>
          <w:tcPr>
            <w:tcW w:type="dxa" w:w="1337"/>
            <w:tcMar>
              <w:top w:w="60" w:type="dxa"/>
              <w:bottom w:w="60" w:type="dxa"/>
              <w:left w:w="80" w:type="dxa"/>
              <w:right w:w="80" w:type="dxa"/>
            </w:tcMar>
          </w:tcPr>
          <w:p>
            <w:r>
              <w:rPr>
                <w:rFonts w:ascii="Arial" w:hAnsi="Arial"/>
                <w:sz w:val="17"/>
              </w:rPr>
              <w:t>0.871</w:t>
            </w:r>
          </w:p>
        </w:tc>
        <w:tc>
          <w:tcPr>
            <w:tcW w:type="dxa" w:w="1337"/>
            <w:tcMar>
              <w:top w:w="60" w:type="dxa"/>
              <w:bottom w:w="60" w:type="dxa"/>
              <w:left w:w="80" w:type="dxa"/>
              <w:right w:w="80" w:type="dxa"/>
            </w:tcMar>
          </w:tcPr>
          <w:p>
            <w:r>
              <w:rPr>
                <w:rFonts w:ascii="Arial" w:hAnsi="Arial"/>
                <w:sz w:val="17"/>
              </w:rPr>
              <w:t>0.721</w:t>
            </w:r>
          </w:p>
        </w:tc>
      </w:tr>
      <w:tr>
        <w:tc>
          <w:tcPr>
            <w:tcW w:type="dxa" w:w="1337"/>
            <w:shd w:fill="F4F6F9"/>
            <w:tcMar>
              <w:top w:w="60" w:type="dxa"/>
              <w:bottom w:w="60" w:type="dxa"/>
              <w:left w:w="80" w:type="dxa"/>
              <w:right w:w="80" w:type="dxa"/>
            </w:tcMar>
          </w:tcPr>
          <w:p>
            <w:r>
              <w:rPr>
                <w:rFonts w:ascii="Arial" w:hAnsi="Arial"/>
                <w:sz w:val="17"/>
              </w:rPr>
              <w:t>HistGradientBoosting (Balanced)</w:t>
            </w:r>
          </w:p>
        </w:tc>
        <w:tc>
          <w:tcPr>
            <w:tcW w:type="dxa" w:w="1337"/>
            <w:shd w:fill="F4F6F9"/>
            <w:tcMar>
              <w:top w:w="60" w:type="dxa"/>
              <w:bottom w:w="60" w:type="dxa"/>
              <w:left w:w="80" w:type="dxa"/>
              <w:right w:w="80" w:type="dxa"/>
            </w:tcMar>
          </w:tcPr>
          <w:p>
            <w:r>
              <w:rPr>
                <w:rFonts w:ascii="Arial" w:hAnsi="Arial"/>
                <w:sz w:val="17"/>
              </w:rPr>
              <w:t>80.3%</w:t>
            </w:r>
          </w:p>
        </w:tc>
        <w:tc>
          <w:tcPr>
            <w:tcW w:type="dxa" w:w="1337"/>
            <w:shd w:fill="F4F6F9"/>
            <w:tcMar>
              <w:top w:w="60" w:type="dxa"/>
              <w:bottom w:w="60" w:type="dxa"/>
              <w:left w:w="80" w:type="dxa"/>
              <w:right w:w="80" w:type="dxa"/>
            </w:tcMar>
          </w:tcPr>
          <w:p>
            <w:r>
              <w:rPr>
                <w:rFonts w:ascii="Arial" w:hAnsi="Arial"/>
                <w:sz w:val="17"/>
              </w:rPr>
              <w:t>51.1%</w:t>
            </w:r>
          </w:p>
        </w:tc>
        <w:tc>
          <w:tcPr>
            <w:tcW w:type="dxa" w:w="1337"/>
            <w:shd w:fill="F4F6F9"/>
            <w:tcMar>
              <w:top w:w="60" w:type="dxa"/>
              <w:bottom w:w="60" w:type="dxa"/>
              <w:left w:w="80" w:type="dxa"/>
              <w:right w:w="80" w:type="dxa"/>
            </w:tcMar>
          </w:tcPr>
          <w:p>
            <w:r>
              <w:rPr>
                <w:rFonts w:ascii="Arial" w:hAnsi="Arial"/>
                <w:sz w:val="17"/>
              </w:rPr>
              <w:t>74.0%</w:t>
            </w:r>
          </w:p>
        </w:tc>
        <w:tc>
          <w:tcPr>
            <w:tcW w:type="dxa" w:w="1337"/>
            <w:shd w:fill="F4F6F9"/>
            <w:tcMar>
              <w:top w:w="60" w:type="dxa"/>
              <w:bottom w:w="60" w:type="dxa"/>
              <w:left w:w="80" w:type="dxa"/>
              <w:right w:w="80" w:type="dxa"/>
            </w:tcMar>
          </w:tcPr>
          <w:p>
            <w:r>
              <w:rPr>
                <w:rFonts w:ascii="Arial" w:hAnsi="Arial"/>
                <w:sz w:val="17"/>
              </w:rPr>
              <w:t>0.604</w:t>
            </w:r>
          </w:p>
        </w:tc>
        <w:tc>
          <w:tcPr>
            <w:tcW w:type="dxa" w:w="1337"/>
            <w:shd w:fill="F4F6F9"/>
            <w:tcMar>
              <w:top w:w="60" w:type="dxa"/>
              <w:bottom w:w="60" w:type="dxa"/>
              <w:left w:w="80" w:type="dxa"/>
              <w:right w:w="80" w:type="dxa"/>
            </w:tcMar>
          </w:tcPr>
          <w:p>
            <w:r>
              <w:rPr>
                <w:rFonts w:ascii="Arial" w:hAnsi="Arial"/>
                <w:sz w:val="17"/>
              </w:rPr>
              <w:t>0.865</w:t>
            </w:r>
          </w:p>
        </w:tc>
        <w:tc>
          <w:tcPr>
            <w:tcW w:type="dxa" w:w="1337"/>
            <w:shd w:fill="F4F6F9"/>
            <w:tcMar>
              <w:top w:w="60" w:type="dxa"/>
              <w:bottom w:w="60" w:type="dxa"/>
              <w:left w:w="80" w:type="dxa"/>
              <w:right w:w="80" w:type="dxa"/>
            </w:tcMar>
          </w:tcPr>
          <w:p>
            <w:r>
              <w:rPr>
                <w:rFonts w:ascii="Arial" w:hAnsi="Arial"/>
                <w:sz w:val="17"/>
              </w:rPr>
              <w:t>0.713</w:t>
            </w:r>
          </w:p>
        </w:tc>
      </w:tr>
      <w:tr>
        <w:tc>
          <w:tcPr>
            <w:tcW w:type="dxa" w:w="1337"/>
            <w:tcMar>
              <w:top w:w="60" w:type="dxa"/>
              <w:bottom w:w="60" w:type="dxa"/>
              <w:left w:w="80" w:type="dxa"/>
              <w:right w:w="80" w:type="dxa"/>
            </w:tcMar>
          </w:tcPr>
          <w:p>
            <w:r>
              <w:rPr>
                <w:rFonts w:ascii="Arial" w:hAnsi="Arial"/>
                <w:sz w:val="17"/>
              </w:rPr>
              <w:t>Random Forest</w:t>
            </w:r>
          </w:p>
        </w:tc>
        <w:tc>
          <w:tcPr>
            <w:tcW w:type="dxa" w:w="1337"/>
            <w:tcMar>
              <w:top w:w="60" w:type="dxa"/>
              <w:bottom w:w="60" w:type="dxa"/>
              <w:left w:w="80" w:type="dxa"/>
              <w:right w:w="80" w:type="dxa"/>
            </w:tcMar>
          </w:tcPr>
          <w:p>
            <w:r>
              <w:rPr>
                <w:rFonts w:ascii="Arial" w:hAnsi="Arial"/>
                <w:sz w:val="17"/>
              </w:rPr>
              <w:t>81.5%</w:t>
            </w:r>
          </w:p>
        </w:tc>
        <w:tc>
          <w:tcPr>
            <w:tcW w:type="dxa" w:w="1337"/>
            <w:tcMar>
              <w:top w:w="60" w:type="dxa"/>
              <w:bottom w:w="60" w:type="dxa"/>
              <w:left w:w="80" w:type="dxa"/>
              <w:right w:w="80" w:type="dxa"/>
            </w:tcMar>
          </w:tcPr>
          <w:p>
            <w:r>
              <w:rPr>
                <w:rFonts w:ascii="Arial" w:hAnsi="Arial"/>
                <w:sz w:val="17"/>
              </w:rPr>
              <w:t>53.4%</w:t>
            </w:r>
          </w:p>
        </w:tc>
        <w:tc>
          <w:tcPr>
            <w:tcW w:type="dxa" w:w="1337"/>
            <w:tcMar>
              <w:top w:w="60" w:type="dxa"/>
              <w:bottom w:w="60" w:type="dxa"/>
              <w:left w:w="80" w:type="dxa"/>
              <w:right w:w="80" w:type="dxa"/>
            </w:tcMar>
          </w:tcPr>
          <w:p>
            <w:r>
              <w:rPr>
                <w:rFonts w:ascii="Arial" w:hAnsi="Arial"/>
                <w:sz w:val="17"/>
              </w:rPr>
              <w:t>72.0%</w:t>
            </w:r>
          </w:p>
        </w:tc>
        <w:tc>
          <w:tcPr>
            <w:tcW w:type="dxa" w:w="1337"/>
            <w:tcMar>
              <w:top w:w="60" w:type="dxa"/>
              <w:bottom w:w="60" w:type="dxa"/>
              <w:left w:w="80" w:type="dxa"/>
              <w:right w:w="80" w:type="dxa"/>
            </w:tcMar>
          </w:tcPr>
          <w:p>
            <w:r>
              <w:rPr>
                <w:rFonts w:ascii="Arial" w:hAnsi="Arial"/>
                <w:sz w:val="17"/>
              </w:rPr>
              <w:t>0.613</w:t>
            </w:r>
          </w:p>
        </w:tc>
        <w:tc>
          <w:tcPr>
            <w:tcW w:type="dxa" w:w="1337"/>
            <w:tcMar>
              <w:top w:w="60" w:type="dxa"/>
              <w:bottom w:w="60" w:type="dxa"/>
              <w:left w:w="80" w:type="dxa"/>
              <w:right w:w="80" w:type="dxa"/>
            </w:tcMar>
          </w:tcPr>
          <w:p>
            <w:r>
              <w:rPr>
                <w:rFonts w:ascii="Arial" w:hAnsi="Arial"/>
                <w:sz w:val="17"/>
              </w:rPr>
              <w:t>0.864</w:t>
            </w:r>
          </w:p>
        </w:tc>
        <w:tc>
          <w:tcPr>
            <w:tcW w:type="dxa" w:w="1337"/>
            <w:tcMar>
              <w:top w:w="60" w:type="dxa"/>
              <w:bottom w:w="60" w:type="dxa"/>
              <w:left w:w="80" w:type="dxa"/>
              <w:right w:w="80" w:type="dxa"/>
            </w:tcMar>
          </w:tcPr>
          <w:p>
            <w:r>
              <w:rPr>
                <w:rFonts w:ascii="Arial" w:hAnsi="Arial"/>
                <w:sz w:val="17"/>
              </w:rPr>
              <w:t>0.710</w:t>
            </w:r>
          </w:p>
        </w:tc>
      </w:tr>
      <w:tr>
        <w:tc>
          <w:tcPr>
            <w:tcW w:type="dxa" w:w="1337"/>
            <w:shd w:fill="F4F6F9"/>
            <w:tcMar>
              <w:top w:w="60" w:type="dxa"/>
              <w:bottom w:w="60" w:type="dxa"/>
              <w:left w:w="80" w:type="dxa"/>
              <w:right w:w="80" w:type="dxa"/>
            </w:tcMar>
          </w:tcPr>
          <w:p>
            <w:r>
              <w:rPr>
                <w:rFonts w:ascii="Arial" w:hAnsi="Arial"/>
                <w:sz w:val="17"/>
              </w:rPr>
              <w:t>Logistic Regression</w:t>
            </w:r>
          </w:p>
        </w:tc>
        <w:tc>
          <w:tcPr>
            <w:tcW w:type="dxa" w:w="1337"/>
            <w:shd w:fill="F4F6F9"/>
            <w:tcMar>
              <w:top w:w="60" w:type="dxa"/>
              <w:bottom w:w="60" w:type="dxa"/>
              <w:left w:w="80" w:type="dxa"/>
              <w:right w:w="80" w:type="dxa"/>
            </w:tcMar>
          </w:tcPr>
          <w:p>
            <w:r>
              <w:rPr>
                <w:rFonts w:ascii="Arial" w:hAnsi="Arial"/>
                <w:sz w:val="17"/>
              </w:rPr>
              <w:t>74.9%</w:t>
            </w:r>
          </w:p>
        </w:tc>
        <w:tc>
          <w:tcPr>
            <w:tcW w:type="dxa" w:w="1337"/>
            <w:shd w:fill="F4F6F9"/>
            <w:tcMar>
              <w:top w:w="60" w:type="dxa"/>
              <w:bottom w:w="60" w:type="dxa"/>
              <w:left w:w="80" w:type="dxa"/>
              <w:right w:w="80" w:type="dxa"/>
            </w:tcMar>
          </w:tcPr>
          <w:p>
            <w:r>
              <w:rPr>
                <w:rFonts w:ascii="Arial" w:hAnsi="Arial"/>
                <w:sz w:val="17"/>
              </w:rPr>
              <w:t>43.4%</w:t>
            </w:r>
          </w:p>
        </w:tc>
        <w:tc>
          <w:tcPr>
            <w:tcW w:type="dxa" w:w="1337"/>
            <w:shd w:fill="F4F6F9"/>
            <w:tcMar>
              <w:top w:w="60" w:type="dxa"/>
              <w:bottom w:w="60" w:type="dxa"/>
              <w:left w:w="80" w:type="dxa"/>
              <w:right w:w="80" w:type="dxa"/>
            </w:tcMar>
          </w:tcPr>
          <w:p>
            <w:r>
              <w:rPr>
                <w:rFonts w:ascii="Arial" w:hAnsi="Arial"/>
                <w:sz w:val="17"/>
              </w:rPr>
              <w:t>77.1%</w:t>
            </w:r>
          </w:p>
        </w:tc>
        <w:tc>
          <w:tcPr>
            <w:tcW w:type="dxa" w:w="1337"/>
            <w:shd w:fill="F4F6F9"/>
            <w:tcMar>
              <w:top w:w="60" w:type="dxa"/>
              <w:bottom w:w="60" w:type="dxa"/>
              <w:left w:w="80" w:type="dxa"/>
              <w:right w:w="80" w:type="dxa"/>
            </w:tcMar>
          </w:tcPr>
          <w:p>
            <w:r>
              <w:rPr>
                <w:rFonts w:ascii="Arial" w:hAnsi="Arial"/>
                <w:sz w:val="17"/>
              </w:rPr>
              <w:t>0.556</w:t>
            </w:r>
          </w:p>
        </w:tc>
        <w:tc>
          <w:tcPr>
            <w:tcW w:type="dxa" w:w="1337"/>
            <w:shd w:fill="F4F6F9"/>
            <w:tcMar>
              <w:top w:w="60" w:type="dxa"/>
              <w:bottom w:w="60" w:type="dxa"/>
              <w:left w:w="80" w:type="dxa"/>
              <w:right w:w="80" w:type="dxa"/>
            </w:tcMar>
          </w:tcPr>
          <w:p>
            <w:r>
              <w:rPr>
                <w:rFonts w:ascii="Arial" w:hAnsi="Arial"/>
                <w:sz w:val="17"/>
              </w:rPr>
              <w:t>0.851</w:t>
            </w:r>
          </w:p>
        </w:tc>
        <w:tc>
          <w:tcPr>
            <w:tcW w:type="dxa" w:w="1337"/>
            <w:shd w:fill="F4F6F9"/>
            <w:tcMar>
              <w:top w:w="60" w:type="dxa"/>
              <w:bottom w:w="60" w:type="dxa"/>
              <w:left w:w="80" w:type="dxa"/>
              <w:right w:w="80" w:type="dxa"/>
            </w:tcMar>
          </w:tcPr>
          <w:p>
            <w:r>
              <w:rPr>
                <w:rFonts w:ascii="Arial" w:hAnsi="Arial"/>
                <w:sz w:val="17"/>
              </w:rPr>
              <w:t>0.662</w:t>
            </w:r>
          </w:p>
        </w:tc>
      </w:tr>
      <w:tr>
        <w:tc>
          <w:tcPr>
            <w:tcW w:type="dxa" w:w="1337"/>
            <w:tcMar>
              <w:top w:w="60" w:type="dxa"/>
              <w:bottom w:w="60" w:type="dxa"/>
              <w:left w:w="80" w:type="dxa"/>
              <w:right w:w="80" w:type="dxa"/>
            </w:tcMar>
          </w:tcPr>
          <w:p>
            <w:r>
              <w:rPr>
                <w:rFonts w:ascii="Arial" w:hAnsi="Arial"/>
                <w:sz w:val="17"/>
              </w:rPr>
              <w:t>Decision Tree</w:t>
            </w:r>
          </w:p>
        </w:tc>
        <w:tc>
          <w:tcPr>
            <w:tcW w:type="dxa" w:w="1337"/>
            <w:tcMar>
              <w:top w:w="60" w:type="dxa"/>
              <w:bottom w:w="60" w:type="dxa"/>
              <w:left w:w="80" w:type="dxa"/>
              <w:right w:w="80" w:type="dxa"/>
            </w:tcMar>
          </w:tcPr>
          <w:p>
            <w:r>
              <w:rPr>
                <w:rFonts w:ascii="Arial" w:hAnsi="Arial"/>
                <w:sz w:val="17"/>
              </w:rPr>
              <w:t>75.9%</w:t>
            </w:r>
          </w:p>
        </w:tc>
        <w:tc>
          <w:tcPr>
            <w:tcW w:type="dxa" w:w="1337"/>
            <w:tcMar>
              <w:top w:w="60" w:type="dxa"/>
              <w:bottom w:w="60" w:type="dxa"/>
              <w:left w:w="80" w:type="dxa"/>
              <w:right w:w="80" w:type="dxa"/>
            </w:tcMar>
          </w:tcPr>
          <w:p>
            <w:r>
              <w:rPr>
                <w:rFonts w:ascii="Arial" w:hAnsi="Arial"/>
                <w:sz w:val="17"/>
              </w:rPr>
              <w:t>44.7%</w:t>
            </w:r>
          </w:p>
        </w:tc>
        <w:tc>
          <w:tcPr>
            <w:tcW w:type="dxa" w:w="1337"/>
            <w:tcMar>
              <w:top w:w="60" w:type="dxa"/>
              <w:bottom w:w="60" w:type="dxa"/>
              <w:left w:w="80" w:type="dxa"/>
              <w:right w:w="80" w:type="dxa"/>
            </w:tcMar>
          </w:tcPr>
          <w:p>
            <w:r>
              <w:rPr>
                <w:rFonts w:ascii="Arial" w:hAnsi="Arial"/>
                <w:sz w:val="17"/>
              </w:rPr>
              <w:t>76.9%</w:t>
            </w:r>
          </w:p>
        </w:tc>
        <w:tc>
          <w:tcPr>
            <w:tcW w:type="dxa" w:w="1337"/>
            <w:tcMar>
              <w:top w:w="60" w:type="dxa"/>
              <w:bottom w:w="60" w:type="dxa"/>
              <w:left w:w="80" w:type="dxa"/>
              <w:right w:w="80" w:type="dxa"/>
            </w:tcMar>
          </w:tcPr>
          <w:p>
            <w:r>
              <w:rPr>
                <w:rFonts w:ascii="Arial" w:hAnsi="Arial"/>
                <w:sz w:val="17"/>
              </w:rPr>
              <w:t>0.565</w:t>
            </w:r>
          </w:p>
        </w:tc>
        <w:tc>
          <w:tcPr>
            <w:tcW w:type="dxa" w:w="1337"/>
            <w:tcMar>
              <w:top w:w="60" w:type="dxa"/>
              <w:bottom w:w="60" w:type="dxa"/>
              <w:left w:w="80" w:type="dxa"/>
              <w:right w:w="80" w:type="dxa"/>
            </w:tcMar>
          </w:tcPr>
          <w:p>
            <w:r>
              <w:rPr>
                <w:rFonts w:ascii="Arial" w:hAnsi="Arial"/>
                <w:sz w:val="17"/>
              </w:rPr>
              <w:t>0.826</w:t>
            </w:r>
          </w:p>
        </w:tc>
        <w:tc>
          <w:tcPr>
            <w:tcW w:type="dxa" w:w="1337"/>
            <w:tcMar>
              <w:top w:w="60" w:type="dxa"/>
              <w:bottom w:w="60" w:type="dxa"/>
              <w:left w:w="80" w:type="dxa"/>
              <w:right w:w="80" w:type="dxa"/>
            </w:tcMar>
          </w:tcPr>
          <w:p>
            <w:r>
              <w:rPr>
                <w:rFonts w:ascii="Arial" w:hAnsi="Arial"/>
                <w:sz w:val="17"/>
              </w:rPr>
              <w:t>0.642</w:t>
            </w:r>
          </w:p>
        </w:tc>
      </w:tr>
    </w:tbl>
    <w:p>
      <w:pPr>
        <w:spacing w:before="160" w:after="80"/>
        <w:jc w:val="center"/>
      </w:pPr>
      <w:r>
        <w:drawing>
          <wp:inline xmlns:a="http://schemas.openxmlformats.org/drawingml/2006/main" xmlns:pic="http://schemas.openxmlformats.org/drawingml/2006/picture">
            <wp:extent cx="5303520" cy="3064256"/>
            <wp:docPr id="4" name="Picture 4"/>
            <wp:cNvGraphicFramePr>
              <a:graphicFrameLocks noChangeAspect="1"/>
            </wp:cNvGraphicFramePr>
            <a:graphic>
              <a:graphicData uri="http://schemas.openxmlformats.org/drawingml/2006/picture">
                <pic:pic>
                  <pic:nvPicPr>
                    <pic:cNvPr id="0" name="10_model_comparison.png"/>
                    <pic:cNvPicPr/>
                  </pic:nvPicPr>
                  <pic:blipFill>
                    <a:blip r:embed="rId12"/>
                    <a:stretch>
                      <a:fillRect/>
                    </a:stretch>
                  </pic:blipFill>
                  <pic:spPr>
                    <a:xfrm>
                      <a:off x="0" y="0"/>
                      <a:ext cx="5303520" cy="3064256"/>
                    </a:xfrm>
                    <a:prstGeom prst="rect"/>
                  </pic:spPr>
                </pic:pic>
              </a:graphicData>
            </a:graphic>
          </wp:inline>
        </w:drawing>
      </w:r>
    </w:p>
    <w:p>
      <w:pPr>
        <w:spacing w:after="200"/>
        <w:jc w:val="center"/>
      </w:pPr>
      <w:r>
        <w:rPr>
          <w:rFonts w:ascii="Arial" w:hAnsi="Arial"/>
          <w:i/>
          <w:color w:val="5A6473"/>
          <w:sz w:val="17"/>
        </w:rPr>
        <w:t>Figure 4: Comprehensive model performance benchmark across all six evaluation dimensions.</w:t>
      </w:r>
    </w:p>
    <w:p>
      <w:pPr>
        <w:spacing w:before="160" w:after="80"/>
        <w:jc w:val="center"/>
      </w:pPr>
      <w:r>
        <w:drawing>
          <wp:inline xmlns:a="http://schemas.openxmlformats.org/drawingml/2006/main" xmlns:pic="http://schemas.openxmlformats.org/drawingml/2006/picture">
            <wp:extent cx="5303520" cy="4545874"/>
            <wp:docPr id="5" name="Picture 5"/>
            <wp:cNvGraphicFramePr>
              <a:graphicFrameLocks noChangeAspect="1"/>
            </wp:cNvGraphicFramePr>
            <a:graphic>
              <a:graphicData uri="http://schemas.openxmlformats.org/drawingml/2006/picture">
                <pic:pic>
                  <pic:nvPicPr>
                    <pic:cNvPr id="0" name="11_roc_curves.png"/>
                    <pic:cNvPicPr/>
                  </pic:nvPicPr>
                  <pic:blipFill>
                    <a:blip r:embed="rId13"/>
                    <a:stretch>
                      <a:fillRect/>
                    </a:stretch>
                  </pic:blipFill>
                  <pic:spPr>
                    <a:xfrm>
                      <a:off x="0" y="0"/>
                      <a:ext cx="5303520" cy="4545874"/>
                    </a:xfrm>
                    <a:prstGeom prst="rect"/>
                  </pic:spPr>
                </pic:pic>
              </a:graphicData>
            </a:graphic>
          </wp:inline>
        </w:drawing>
      </w:r>
    </w:p>
    <w:p>
      <w:pPr>
        <w:spacing w:after="200"/>
        <w:jc w:val="center"/>
      </w:pPr>
      <w:r>
        <w:rPr>
          <w:rFonts w:ascii="Arial" w:hAnsi="Arial"/>
          <w:i/>
          <w:color w:val="5A6473"/>
          <w:sz w:val="17"/>
        </w:rPr>
        <w:t>Figure 5: Receiver Operating Characteristic (ROC) curves across all models.</w:t>
      </w:r>
    </w:p>
    <w:p>
      <w:pPr>
        <w:spacing w:before="160" w:after="80"/>
        <w:jc w:val="center"/>
      </w:pPr>
      <w:r>
        <w:drawing>
          <wp:inline xmlns:a="http://schemas.openxmlformats.org/drawingml/2006/main" xmlns:pic="http://schemas.openxmlformats.org/drawingml/2006/picture">
            <wp:extent cx="5303520" cy="4545874"/>
            <wp:docPr id="6" name="Picture 6"/>
            <wp:cNvGraphicFramePr>
              <a:graphicFrameLocks noChangeAspect="1"/>
            </wp:cNvGraphicFramePr>
            <a:graphic>
              <a:graphicData uri="http://schemas.openxmlformats.org/drawingml/2006/picture">
                <pic:pic>
                  <pic:nvPicPr>
                    <pic:cNvPr id="0" name="11b_precision_recall_curves.png"/>
                    <pic:cNvPicPr/>
                  </pic:nvPicPr>
                  <pic:blipFill>
                    <a:blip r:embed="rId14"/>
                    <a:stretch>
                      <a:fillRect/>
                    </a:stretch>
                  </pic:blipFill>
                  <pic:spPr>
                    <a:xfrm>
                      <a:off x="0" y="0"/>
                      <a:ext cx="5303520" cy="4545874"/>
                    </a:xfrm>
                    <a:prstGeom prst="rect"/>
                  </pic:spPr>
                </pic:pic>
              </a:graphicData>
            </a:graphic>
          </wp:inline>
        </w:drawing>
      </w:r>
    </w:p>
    <w:p>
      <w:pPr>
        <w:spacing w:after="200"/>
        <w:jc w:val="center"/>
      </w:pPr>
      <w:r>
        <w:rPr>
          <w:rFonts w:ascii="Arial" w:hAnsi="Arial"/>
          <w:i/>
          <w:color w:val="5A6473"/>
          <w:sz w:val="17"/>
        </w:rPr>
        <w:t>Figure 6: Precision-Recall curves highlighting minority-class discrimination.</w:t>
      </w:r>
    </w:p>
    <w:p>
      <w:pPr>
        <w:keepNext/>
        <w:spacing w:before="280" w:after="120"/>
      </w:pPr>
      <w:r>
        <w:rPr>
          <w:rFonts w:ascii="Arial" w:hAnsi="Arial"/>
          <w:b/>
          <w:color w:val="1B2A4A"/>
          <w:sz w:val="26"/>
        </w:rPr>
        <w:t>5. Resolving the 50% Recall Blind Spot via Threshold Calibration</w:t>
      </w:r>
    </w:p>
    <w:p>
      <w:pPr>
        <w:spacing w:line="276" w:lineRule="auto" w:after="120"/>
      </w:pPr>
      <w:r>
        <w:rPr>
          <w:rFonts w:ascii="Arial" w:hAnsi="Arial"/>
          <w:sz w:val="20"/>
        </w:rPr>
        <w:t>A standard Gradient Boosting model evaluated at the canonical 0.50 probability threshold achieves 86.6% accuracy but only 48.16% Recall. In operational banking terms, this is a disaster: the system allows more than half of all churning accounts to walk out the door undetected. In commercial terms, this naive threshold incurs an expected loss of $233,450 across 2,000 customers.</w:t>
      </w:r>
    </w:p>
    <w:p>
      <w:pPr>
        <w:spacing w:line="276" w:lineRule="auto" w:after="120"/>
      </w:pPr>
      <w:r>
        <w:rPr>
          <w:rFonts w:ascii="Arial" w:hAnsi="Arial"/>
          <w:sz w:val="20"/>
        </w:rPr>
        <w:t>To resolve this, we formalize a threshold-calibration framework minimizing expected loss: L(T) = C_FN * FN(T) + C_FP * FP(T) + C_TP * TP(T), where C_FN = $1,000 (lost CLV) and C_FP = $50 (retention incentive). Calibrating to the optimal F1 threshold (T* = 0.27) increases Recall to 69.78% (capturing 284 churners vs 196) and cuts expected losses to $160,800—saving $72,650 per 2,000 customers. At the cost-minimizing threshold (T* = 0.07), Recall reaches 94.59% with maximum portfolio preservation.</w:t>
      </w:r>
    </w:p>
    <w:tbl>
      <w:tblPr>
        <w:tblW w:type="auto" w:w="0"/>
        <w:jc w:val="center"/>
        <w:tblLayout w:type="fixed"/>
        <w:tblLook w:firstColumn="1" w:firstRow="1" w:lastColumn="0" w:lastRow="0" w:noHBand="0" w:noVBand="1" w:val="04A0"/>
      </w:tblPr>
      <w:tblGrid>
        <w:gridCol w:w="9360"/>
      </w:tblGrid>
      <w:tr>
        <w:tc>
          <w:tcPr>
            <w:tcW w:type="dxa" w:w="9360"/>
            <w:shd w:fill="EEF3FA"/>
            <w:tcMar>
              <w:top w:w="140" w:type="dxa"/>
              <w:bottom w:w="140" w:type="dxa"/>
              <w:left w:w="200" w:type="dxa"/>
              <w:right w:w="200" w:type="dxa"/>
            </w:tcMar>
          </w:tcPr>
          <w:p>
            <w:pPr>
              <w:spacing w:before="40" w:after="40" w:line="276" w:lineRule="auto"/>
            </w:pPr>
            <w:r>
              <w:rPr>
                <w:rFonts w:ascii="Arial" w:hAnsi="Arial"/>
                <w:b/>
                <w:color w:val="2E5EAA"/>
                <w:sz w:val="20"/>
              </w:rPr>
              <w:t xml:space="preserve">[COMMERCIAL IMPACT] </w:t>
            </w:r>
            <w:r>
              <w:rPr>
                <w:rFonts w:ascii="Arial" w:hAnsi="Arial"/>
                <w:color w:val="1B2A4A"/>
                <w:sz w:val="19"/>
              </w:rPr>
              <w:t>Calibrating the decision threshold from 0.50 to 0.27 increases churner capture from 48.2% to 69.8%, reducing missed churners from 211 down to 123 and generating $72,650 in direct net savings per 2,000 evaluated accounts.</w:t>
            </w:r>
          </w:p>
        </w:tc>
      </w:tr>
    </w:tbl>
    <w:p>
      <w:pPr>
        <w:spacing w:after="80"/>
      </w:pPr>
    </w:p>
    <w:p>
      <w:pPr>
        <w:spacing w:before="160" w:after="80"/>
        <w:jc w:val="center"/>
      </w:pPr>
      <w:r>
        <w:drawing>
          <wp:inline xmlns:a="http://schemas.openxmlformats.org/drawingml/2006/main" xmlns:pic="http://schemas.openxmlformats.org/drawingml/2006/picture">
            <wp:extent cx="5303520" cy="2314263"/>
            <wp:docPr id="7" name="Picture 7"/>
            <wp:cNvGraphicFramePr>
              <a:graphicFrameLocks noChangeAspect="1"/>
            </wp:cNvGraphicFramePr>
            <a:graphic>
              <a:graphicData uri="http://schemas.openxmlformats.org/drawingml/2006/picture">
                <pic:pic>
                  <pic:nvPicPr>
                    <pic:cNvPr id="0" name="12_confusion_matrix.png"/>
                    <pic:cNvPicPr/>
                  </pic:nvPicPr>
                  <pic:blipFill>
                    <a:blip r:embed="rId15"/>
                    <a:stretch>
                      <a:fillRect/>
                    </a:stretch>
                  </pic:blipFill>
                  <pic:spPr>
                    <a:xfrm>
                      <a:off x="0" y="0"/>
                      <a:ext cx="5303520" cy="2314263"/>
                    </a:xfrm>
                    <a:prstGeom prst="rect"/>
                  </pic:spPr>
                </pic:pic>
              </a:graphicData>
            </a:graphic>
          </wp:inline>
        </w:drawing>
      </w:r>
    </w:p>
    <w:p>
      <w:pPr>
        <w:spacing w:after="200"/>
        <w:jc w:val="center"/>
      </w:pPr>
      <w:r>
        <w:rPr>
          <w:rFonts w:ascii="Arial" w:hAnsi="Arial"/>
          <w:i/>
          <w:color w:val="5A6473"/>
          <w:sz w:val="17"/>
        </w:rPr>
        <w:t>Figure 7: Confusion matrix calibration: Default threshold (0.50) vs Calibrated threshold (0.27).</w:t>
      </w:r>
    </w:p>
    <w:p>
      <w:pPr>
        <w:spacing w:before="160" w:after="80"/>
        <w:jc w:val="center"/>
      </w:pPr>
      <w:r>
        <w:drawing>
          <wp:inline xmlns:a="http://schemas.openxmlformats.org/drawingml/2006/main" xmlns:pic="http://schemas.openxmlformats.org/drawingml/2006/picture">
            <wp:extent cx="5303520" cy="3182112"/>
            <wp:docPr id="8" name="Picture 8"/>
            <wp:cNvGraphicFramePr>
              <a:graphicFrameLocks noChangeAspect="1"/>
            </wp:cNvGraphicFramePr>
            <a:graphic>
              <a:graphicData uri="http://schemas.openxmlformats.org/drawingml/2006/picture">
                <pic:pic>
                  <pic:nvPicPr>
                    <pic:cNvPr id="0" name="12b_cost_utility_curve.png"/>
                    <pic:cNvPicPr/>
                  </pic:nvPicPr>
                  <pic:blipFill>
                    <a:blip r:embed="rId16"/>
                    <a:stretch>
                      <a:fillRect/>
                    </a:stretch>
                  </pic:blipFill>
                  <pic:spPr>
                    <a:xfrm>
                      <a:off x="0" y="0"/>
                      <a:ext cx="5303520" cy="3182112"/>
                    </a:xfrm>
                    <a:prstGeom prst="rect"/>
                  </pic:spPr>
                </pic:pic>
              </a:graphicData>
            </a:graphic>
          </wp:inline>
        </w:drawing>
      </w:r>
    </w:p>
    <w:p>
      <w:pPr>
        <w:spacing w:after="200"/>
        <w:jc w:val="center"/>
      </w:pPr>
      <w:r>
        <w:rPr>
          <w:rFonts w:ascii="Arial" w:hAnsi="Arial"/>
          <w:i/>
          <w:color w:val="5A6473"/>
          <w:sz w:val="17"/>
        </w:rPr>
        <w:t>Figure 8: Retail banking utility curve: Expected portfolio cost vs decision threshold.</w:t>
      </w:r>
    </w:p>
    <w:p>
      <w:pPr>
        <w:keepNext/>
        <w:spacing w:before="200" w:after="80"/>
      </w:pPr>
      <w:r>
        <w:rPr>
          <w:rFonts w:ascii="Arial" w:hAnsi="Arial"/>
          <w:b/>
          <w:color w:val="2E5EAA"/>
          <w:sz w:val="22"/>
        </w:rPr>
        <w:t>5.1 Bootstrap 95% Confidence Intervals</w:t>
      </w:r>
    </w:p>
    <w:p>
      <w:pPr>
        <w:spacing w:line="276" w:lineRule="auto" w:after="120"/>
      </w:pPr>
      <w:r>
        <w:rPr>
          <w:rFonts w:ascii="Arial" w:hAnsi="Arial"/>
          <w:sz w:val="20"/>
        </w:rPr>
        <w:t>To establish rigorous statistical significance, 1,000 stratified bootstrap resamples were computed on the held-out test cohort:</w:t>
      </w:r>
    </w:p>
    <w:tbl>
      <w:tblPr>
        <w:tblW w:type="auto" w:w="0"/>
        <w:jc w:val="center"/>
        <w:tblLook w:firstColumn="1" w:firstRow="1" w:lastColumn="0" w:lastRow="0" w:noHBand="0" w:noVBand="1" w:val="04A0"/>
      </w:tblPr>
      <w:tblGrid>
        <w:gridCol w:w="2340"/>
        <w:gridCol w:w="2340"/>
        <w:gridCol w:w="2340"/>
        <w:gridCol w:w="2340"/>
      </w:tblGrid>
      <w:tr>
        <w:tc>
          <w:tcPr>
            <w:tcW w:type="dxa" w:w="2340"/>
            <w:shd w:fill="2E5EAA"/>
            <w:tcMar>
              <w:top w:w="60" w:type="dxa"/>
              <w:bottom w:w="60" w:type="dxa"/>
              <w:left w:w="80" w:type="dxa"/>
              <w:right w:w="80" w:type="dxa"/>
            </w:tcMar>
          </w:tcPr>
          <w:p>
            <w:r>
              <w:rPr>
                <w:rFonts w:ascii="Arial" w:hAnsi="Arial"/>
                <w:b/>
                <w:color w:val="FFFFFF"/>
                <w:sz w:val="17"/>
              </w:rPr>
              <w:t>Metric</w:t>
            </w:r>
          </w:p>
        </w:tc>
        <w:tc>
          <w:tcPr>
            <w:tcW w:type="dxa" w:w="2340"/>
            <w:shd w:fill="2E5EAA"/>
            <w:tcMar>
              <w:top w:w="60" w:type="dxa"/>
              <w:bottom w:w="60" w:type="dxa"/>
              <w:left w:w="80" w:type="dxa"/>
              <w:right w:w="80" w:type="dxa"/>
            </w:tcMar>
          </w:tcPr>
          <w:p>
            <w:r>
              <w:rPr>
                <w:rFonts w:ascii="Arial" w:hAnsi="Arial"/>
                <w:b/>
                <w:color w:val="FFFFFF"/>
                <w:sz w:val="17"/>
              </w:rPr>
              <w:t>Bootstrap Mean</w:t>
            </w:r>
          </w:p>
        </w:tc>
        <w:tc>
          <w:tcPr>
            <w:tcW w:type="dxa" w:w="2340"/>
            <w:shd w:fill="2E5EAA"/>
            <w:tcMar>
              <w:top w:w="60" w:type="dxa"/>
              <w:bottom w:w="60" w:type="dxa"/>
              <w:left w:w="80" w:type="dxa"/>
              <w:right w:w="80" w:type="dxa"/>
            </w:tcMar>
          </w:tcPr>
          <w:p>
            <w:r>
              <w:rPr>
                <w:rFonts w:ascii="Arial" w:hAnsi="Arial"/>
                <w:b/>
                <w:color w:val="FFFFFF"/>
                <w:sz w:val="17"/>
              </w:rPr>
              <w:t>95% CI Lower</w:t>
            </w:r>
          </w:p>
        </w:tc>
        <w:tc>
          <w:tcPr>
            <w:tcW w:type="dxa" w:w="2340"/>
            <w:shd w:fill="2E5EAA"/>
            <w:tcMar>
              <w:top w:w="60" w:type="dxa"/>
              <w:bottom w:w="60" w:type="dxa"/>
              <w:left w:w="80" w:type="dxa"/>
              <w:right w:w="80" w:type="dxa"/>
            </w:tcMar>
          </w:tcPr>
          <w:p>
            <w:r>
              <w:rPr>
                <w:rFonts w:ascii="Arial" w:hAnsi="Arial"/>
                <w:b/>
                <w:color w:val="FFFFFF"/>
                <w:sz w:val="17"/>
              </w:rPr>
              <w:t>95% CI Upper</w:t>
            </w:r>
          </w:p>
        </w:tc>
      </w:tr>
      <w:tr>
        <w:tc>
          <w:tcPr>
            <w:tcW w:type="dxa" w:w="2340"/>
            <w:tcMar>
              <w:top w:w="50" w:type="dxa"/>
              <w:bottom w:w="50" w:type="dxa"/>
              <w:left w:w="80" w:type="dxa"/>
              <w:right w:w="80" w:type="dxa"/>
            </w:tcMar>
          </w:tcPr>
          <w:p>
            <w:r>
              <w:rPr>
                <w:rFonts w:ascii="Arial" w:hAnsi="Arial"/>
                <w:sz w:val="17"/>
              </w:rPr>
              <w:t>Accuracy</w:t>
            </w:r>
          </w:p>
        </w:tc>
        <w:tc>
          <w:tcPr>
            <w:tcW w:type="dxa" w:w="2340"/>
            <w:tcMar>
              <w:top w:w="50" w:type="dxa"/>
              <w:bottom w:w="50" w:type="dxa"/>
              <w:left w:w="80" w:type="dxa"/>
              <w:right w:w="80" w:type="dxa"/>
            </w:tcMar>
          </w:tcPr>
          <w:p>
            <w:r>
              <w:rPr>
                <w:rFonts w:ascii="Arial" w:hAnsi="Arial"/>
                <w:sz w:val="17"/>
              </w:rPr>
              <w:t>0.8445</w:t>
            </w:r>
          </w:p>
        </w:tc>
        <w:tc>
          <w:tcPr>
            <w:tcW w:type="dxa" w:w="2340"/>
            <w:tcMar>
              <w:top w:w="50" w:type="dxa"/>
              <w:bottom w:w="50" w:type="dxa"/>
              <w:left w:w="80" w:type="dxa"/>
              <w:right w:w="80" w:type="dxa"/>
            </w:tcMar>
          </w:tcPr>
          <w:p>
            <w:r>
              <w:rPr>
                <w:rFonts w:ascii="Arial" w:hAnsi="Arial"/>
                <w:sz w:val="17"/>
              </w:rPr>
              <w:t>0.8290</w:t>
            </w:r>
          </w:p>
        </w:tc>
        <w:tc>
          <w:tcPr>
            <w:tcW w:type="dxa" w:w="2340"/>
            <w:tcMar>
              <w:top w:w="50" w:type="dxa"/>
              <w:bottom w:w="50" w:type="dxa"/>
              <w:left w:w="80" w:type="dxa"/>
              <w:right w:w="80" w:type="dxa"/>
            </w:tcMar>
          </w:tcPr>
          <w:p>
            <w:r>
              <w:rPr>
                <w:rFonts w:ascii="Arial" w:hAnsi="Arial"/>
                <w:sz w:val="17"/>
              </w:rPr>
              <w:t>0.8600</w:t>
            </w:r>
          </w:p>
        </w:tc>
      </w:tr>
      <w:tr>
        <w:tc>
          <w:tcPr>
            <w:tcW w:type="dxa" w:w="2340"/>
            <w:shd w:fill="F4F6F9"/>
            <w:tcMar>
              <w:top w:w="50" w:type="dxa"/>
              <w:bottom w:w="50" w:type="dxa"/>
              <w:left w:w="80" w:type="dxa"/>
              <w:right w:w="80" w:type="dxa"/>
            </w:tcMar>
          </w:tcPr>
          <w:p>
            <w:r>
              <w:rPr>
                <w:rFonts w:ascii="Arial" w:hAnsi="Arial"/>
                <w:sz w:val="17"/>
              </w:rPr>
              <w:t>Precision</w:t>
            </w:r>
          </w:p>
        </w:tc>
        <w:tc>
          <w:tcPr>
            <w:tcW w:type="dxa" w:w="2340"/>
            <w:shd w:fill="F4F6F9"/>
            <w:tcMar>
              <w:top w:w="50" w:type="dxa"/>
              <w:bottom w:w="50" w:type="dxa"/>
              <w:left w:w="80" w:type="dxa"/>
              <w:right w:w="80" w:type="dxa"/>
            </w:tcMar>
          </w:tcPr>
          <w:p>
            <w:r>
              <w:rPr>
                <w:rFonts w:ascii="Arial" w:hAnsi="Arial"/>
                <w:sz w:val="17"/>
              </w:rPr>
              <w:t>0.6013</w:t>
            </w:r>
          </w:p>
        </w:tc>
        <w:tc>
          <w:tcPr>
            <w:tcW w:type="dxa" w:w="2340"/>
            <w:shd w:fill="F4F6F9"/>
            <w:tcMar>
              <w:top w:w="50" w:type="dxa"/>
              <w:bottom w:w="50" w:type="dxa"/>
              <w:left w:w="80" w:type="dxa"/>
              <w:right w:w="80" w:type="dxa"/>
            </w:tcMar>
          </w:tcPr>
          <w:p>
            <w:r>
              <w:rPr>
                <w:rFonts w:ascii="Arial" w:hAnsi="Arial"/>
                <w:sz w:val="17"/>
              </w:rPr>
              <w:t>0.5567</w:t>
            </w:r>
          </w:p>
        </w:tc>
        <w:tc>
          <w:tcPr>
            <w:tcW w:type="dxa" w:w="2340"/>
            <w:shd w:fill="F4F6F9"/>
            <w:tcMar>
              <w:top w:w="50" w:type="dxa"/>
              <w:bottom w:w="50" w:type="dxa"/>
              <w:left w:w="80" w:type="dxa"/>
              <w:right w:w="80" w:type="dxa"/>
            </w:tcMar>
          </w:tcPr>
          <w:p>
            <w:r>
              <w:rPr>
                <w:rFonts w:ascii="Arial" w:hAnsi="Arial"/>
                <w:sz w:val="17"/>
              </w:rPr>
              <w:t>0.6456</w:t>
            </w:r>
          </w:p>
        </w:tc>
      </w:tr>
      <w:tr>
        <w:tc>
          <w:tcPr>
            <w:tcW w:type="dxa" w:w="2340"/>
            <w:tcMar>
              <w:top w:w="50" w:type="dxa"/>
              <w:bottom w:w="50" w:type="dxa"/>
              <w:left w:w="80" w:type="dxa"/>
              <w:right w:w="80" w:type="dxa"/>
            </w:tcMar>
          </w:tcPr>
          <w:p>
            <w:r>
              <w:rPr>
                <w:rFonts w:ascii="Arial" w:hAnsi="Arial"/>
                <w:sz w:val="17"/>
              </w:rPr>
              <w:t>Recall</w:t>
            </w:r>
          </w:p>
        </w:tc>
        <w:tc>
          <w:tcPr>
            <w:tcW w:type="dxa" w:w="2340"/>
            <w:tcMar>
              <w:top w:w="50" w:type="dxa"/>
              <w:bottom w:w="50" w:type="dxa"/>
              <w:left w:w="80" w:type="dxa"/>
              <w:right w:w="80" w:type="dxa"/>
            </w:tcMar>
          </w:tcPr>
          <w:p>
            <w:r>
              <w:rPr>
                <w:rFonts w:ascii="Arial" w:hAnsi="Arial"/>
                <w:sz w:val="17"/>
              </w:rPr>
              <w:t>0.6981</w:t>
            </w:r>
          </w:p>
        </w:tc>
        <w:tc>
          <w:tcPr>
            <w:tcW w:type="dxa" w:w="2340"/>
            <w:tcMar>
              <w:top w:w="50" w:type="dxa"/>
              <w:bottom w:w="50" w:type="dxa"/>
              <w:left w:w="80" w:type="dxa"/>
              <w:right w:w="80" w:type="dxa"/>
            </w:tcMar>
          </w:tcPr>
          <w:p>
            <w:r>
              <w:rPr>
                <w:rFonts w:ascii="Arial" w:hAnsi="Arial"/>
                <w:sz w:val="17"/>
              </w:rPr>
              <w:t>0.6542</w:t>
            </w:r>
          </w:p>
        </w:tc>
        <w:tc>
          <w:tcPr>
            <w:tcW w:type="dxa" w:w="2340"/>
            <w:tcMar>
              <w:top w:w="50" w:type="dxa"/>
              <w:bottom w:w="50" w:type="dxa"/>
              <w:left w:w="80" w:type="dxa"/>
              <w:right w:w="80" w:type="dxa"/>
            </w:tcMar>
          </w:tcPr>
          <w:p>
            <w:r>
              <w:rPr>
                <w:rFonts w:ascii="Arial" w:hAnsi="Arial"/>
                <w:sz w:val="17"/>
              </w:rPr>
              <w:t>0.7396</w:t>
            </w:r>
          </w:p>
        </w:tc>
      </w:tr>
      <w:tr>
        <w:tc>
          <w:tcPr>
            <w:tcW w:type="dxa" w:w="2340"/>
            <w:shd w:fill="F4F6F9"/>
            <w:tcMar>
              <w:top w:w="50" w:type="dxa"/>
              <w:bottom w:w="50" w:type="dxa"/>
              <w:left w:w="80" w:type="dxa"/>
              <w:right w:w="80" w:type="dxa"/>
            </w:tcMar>
          </w:tcPr>
          <w:p>
            <w:r>
              <w:rPr>
                <w:rFonts w:ascii="Arial" w:hAnsi="Arial"/>
                <w:sz w:val="17"/>
              </w:rPr>
              <w:t>F1-Score</w:t>
            </w:r>
          </w:p>
        </w:tc>
        <w:tc>
          <w:tcPr>
            <w:tcW w:type="dxa" w:w="2340"/>
            <w:shd w:fill="F4F6F9"/>
            <w:tcMar>
              <w:top w:w="50" w:type="dxa"/>
              <w:bottom w:w="50" w:type="dxa"/>
              <w:left w:w="80" w:type="dxa"/>
              <w:right w:w="80" w:type="dxa"/>
            </w:tcMar>
          </w:tcPr>
          <w:p>
            <w:r>
              <w:rPr>
                <w:rFonts w:ascii="Arial" w:hAnsi="Arial"/>
                <w:sz w:val="17"/>
              </w:rPr>
              <w:t>0.6458</w:t>
            </w:r>
          </w:p>
        </w:tc>
        <w:tc>
          <w:tcPr>
            <w:tcW w:type="dxa" w:w="2340"/>
            <w:shd w:fill="F4F6F9"/>
            <w:tcMar>
              <w:top w:w="50" w:type="dxa"/>
              <w:bottom w:w="50" w:type="dxa"/>
              <w:left w:w="80" w:type="dxa"/>
              <w:right w:w="80" w:type="dxa"/>
            </w:tcMar>
          </w:tcPr>
          <w:p>
            <w:r>
              <w:rPr>
                <w:rFonts w:ascii="Arial" w:hAnsi="Arial"/>
                <w:sz w:val="17"/>
              </w:rPr>
              <w:t>0.6108</w:t>
            </w:r>
          </w:p>
        </w:tc>
        <w:tc>
          <w:tcPr>
            <w:tcW w:type="dxa" w:w="2340"/>
            <w:shd w:fill="F4F6F9"/>
            <w:tcMar>
              <w:top w:w="50" w:type="dxa"/>
              <w:bottom w:w="50" w:type="dxa"/>
              <w:left w:w="80" w:type="dxa"/>
              <w:right w:w="80" w:type="dxa"/>
            </w:tcMar>
          </w:tcPr>
          <w:p>
            <w:r>
              <w:rPr>
                <w:rFonts w:ascii="Arial" w:hAnsi="Arial"/>
                <w:sz w:val="17"/>
              </w:rPr>
              <w:t>0.6815</w:t>
            </w:r>
          </w:p>
        </w:tc>
      </w:tr>
      <w:tr>
        <w:tc>
          <w:tcPr>
            <w:tcW w:type="dxa" w:w="2340"/>
            <w:tcMar>
              <w:top w:w="50" w:type="dxa"/>
              <w:bottom w:w="50" w:type="dxa"/>
              <w:left w:w="80" w:type="dxa"/>
              <w:right w:w="80" w:type="dxa"/>
            </w:tcMar>
          </w:tcPr>
          <w:p>
            <w:r>
              <w:rPr>
                <w:rFonts w:ascii="Arial" w:hAnsi="Arial"/>
                <w:sz w:val="17"/>
              </w:rPr>
              <w:t>ROC-AUC</w:t>
            </w:r>
          </w:p>
        </w:tc>
        <w:tc>
          <w:tcPr>
            <w:tcW w:type="dxa" w:w="2340"/>
            <w:tcMar>
              <w:top w:w="50" w:type="dxa"/>
              <w:bottom w:w="50" w:type="dxa"/>
              <w:left w:w="80" w:type="dxa"/>
              <w:right w:w="80" w:type="dxa"/>
            </w:tcMar>
          </w:tcPr>
          <w:p>
            <w:r>
              <w:rPr>
                <w:rFonts w:ascii="Arial" w:hAnsi="Arial"/>
                <w:sz w:val="17"/>
              </w:rPr>
              <w:t>0.8708</w:t>
            </w:r>
          </w:p>
        </w:tc>
        <w:tc>
          <w:tcPr>
            <w:tcW w:type="dxa" w:w="2340"/>
            <w:tcMar>
              <w:top w:w="50" w:type="dxa"/>
              <w:bottom w:w="50" w:type="dxa"/>
              <w:left w:w="80" w:type="dxa"/>
              <w:right w:w="80" w:type="dxa"/>
            </w:tcMar>
          </w:tcPr>
          <w:p>
            <w:r>
              <w:rPr>
                <w:rFonts w:ascii="Arial" w:hAnsi="Arial"/>
                <w:sz w:val="17"/>
              </w:rPr>
              <w:t>0.8508</w:t>
            </w:r>
          </w:p>
        </w:tc>
        <w:tc>
          <w:tcPr>
            <w:tcW w:type="dxa" w:w="2340"/>
            <w:tcMar>
              <w:top w:w="50" w:type="dxa"/>
              <w:bottom w:w="50" w:type="dxa"/>
              <w:left w:w="80" w:type="dxa"/>
              <w:right w:w="80" w:type="dxa"/>
            </w:tcMar>
          </w:tcPr>
          <w:p>
            <w:r>
              <w:rPr>
                <w:rFonts w:ascii="Arial" w:hAnsi="Arial"/>
                <w:sz w:val="17"/>
              </w:rPr>
              <w:t>0.8907</w:t>
            </w:r>
          </w:p>
        </w:tc>
      </w:tr>
      <w:tr>
        <w:tc>
          <w:tcPr>
            <w:tcW w:type="dxa" w:w="2340"/>
            <w:shd w:fill="F4F6F9"/>
            <w:tcMar>
              <w:top w:w="50" w:type="dxa"/>
              <w:bottom w:w="50" w:type="dxa"/>
              <w:left w:w="80" w:type="dxa"/>
              <w:right w:w="80" w:type="dxa"/>
            </w:tcMar>
          </w:tcPr>
          <w:p>
            <w:r>
              <w:rPr>
                <w:rFonts w:ascii="Arial" w:hAnsi="Arial"/>
                <w:sz w:val="17"/>
              </w:rPr>
              <w:t>PR-AUC</w:t>
            </w:r>
          </w:p>
        </w:tc>
        <w:tc>
          <w:tcPr>
            <w:tcW w:type="dxa" w:w="2340"/>
            <w:shd w:fill="F4F6F9"/>
            <w:tcMar>
              <w:top w:w="50" w:type="dxa"/>
              <w:bottom w:w="50" w:type="dxa"/>
              <w:left w:w="80" w:type="dxa"/>
              <w:right w:w="80" w:type="dxa"/>
            </w:tcMar>
          </w:tcPr>
          <w:p>
            <w:r>
              <w:rPr>
                <w:rFonts w:ascii="Arial" w:hAnsi="Arial"/>
                <w:sz w:val="17"/>
              </w:rPr>
              <w:t>0.7213</w:t>
            </w:r>
          </w:p>
        </w:tc>
        <w:tc>
          <w:tcPr>
            <w:tcW w:type="dxa" w:w="2340"/>
            <w:shd w:fill="F4F6F9"/>
            <w:tcMar>
              <w:top w:w="50" w:type="dxa"/>
              <w:bottom w:w="50" w:type="dxa"/>
              <w:left w:w="80" w:type="dxa"/>
              <w:right w:w="80" w:type="dxa"/>
            </w:tcMar>
          </w:tcPr>
          <w:p>
            <w:r>
              <w:rPr>
                <w:rFonts w:ascii="Arial" w:hAnsi="Arial"/>
                <w:sz w:val="17"/>
              </w:rPr>
              <w:t>0.6816</w:t>
            </w:r>
          </w:p>
        </w:tc>
        <w:tc>
          <w:tcPr>
            <w:tcW w:type="dxa" w:w="2340"/>
            <w:shd w:fill="F4F6F9"/>
            <w:tcMar>
              <w:top w:w="50" w:type="dxa"/>
              <w:bottom w:w="50" w:type="dxa"/>
              <w:left w:w="80" w:type="dxa"/>
              <w:right w:w="80" w:type="dxa"/>
            </w:tcMar>
          </w:tcPr>
          <w:p>
            <w:r>
              <w:rPr>
                <w:rFonts w:ascii="Arial" w:hAnsi="Arial"/>
                <w:sz w:val="17"/>
              </w:rPr>
              <w:t>0.7589</w:t>
            </w:r>
          </w:p>
        </w:tc>
      </w:tr>
    </w:tbl>
    <w:p>
      <w:pPr>
        <w:keepNext/>
        <w:spacing w:before="280" w:after="120"/>
      </w:pPr>
      <w:r>
        <w:rPr>
          <w:rFonts w:ascii="Arial" w:hAnsi="Arial"/>
          <w:b/>
          <w:color w:val="1B2A4A"/>
          <w:sz w:val="26"/>
        </w:rPr>
        <w:t>6. Model Explainability &amp; Regulatory Compliance (XAI)</w:t>
      </w:r>
    </w:p>
    <w:p>
      <w:pPr>
        <w:spacing w:line="276" w:lineRule="auto" w:after="120"/>
      </w:pPr>
      <w:r>
        <w:rPr>
          <w:rFonts w:ascii="Arial" w:hAnsi="Arial"/>
          <w:sz w:val="20"/>
        </w:rPr>
        <w:t>Under Basel III (BCBS 239) and the European Union Artificial Intelligence Act (EU AI Act), machine learning systems deployed in banking cannot operate as opaque 'black boxes'. Financial institutions are legally obligated to provide explainable rationales for risk evaluations.</w:t>
      </w:r>
    </w:p>
    <w:p>
      <w:pPr>
        <w:spacing w:line="276" w:lineRule="auto" w:after="120"/>
      </w:pPr>
      <w:r>
        <w:rPr>
          <w:rFonts w:ascii="Arial" w:hAnsi="Arial"/>
          <w:sz w:val="20"/>
        </w:rPr>
        <w:t>Model-agnostic permutation importance demonstrates that Age (mean AUC drop = 0.077), NumOfProducts (0.063), and Geography (0.028) are the primary macro drivers of customer attrition. Partial dependence profiles reveal non-linear marginal trajectories: churn probability remains stable until age 40, accelerates rapidly through age 55, and peaks during pre-retirement planning.</w:t>
      </w:r>
    </w:p>
    <w:p>
      <w:pPr>
        <w:spacing w:before="160" w:after="80"/>
        <w:jc w:val="center"/>
      </w:pPr>
      <w:r>
        <w:drawing>
          <wp:inline xmlns:a="http://schemas.openxmlformats.org/drawingml/2006/main" xmlns:pic="http://schemas.openxmlformats.org/drawingml/2006/picture">
            <wp:extent cx="5303520" cy="3653536"/>
            <wp:docPr id="9" name="Picture 9"/>
            <wp:cNvGraphicFramePr>
              <a:graphicFrameLocks noChangeAspect="1"/>
            </wp:cNvGraphicFramePr>
            <a:graphic>
              <a:graphicData uri="http://schemas.openxmlformats.org/drawingml/2006/picture">
                <pic:pic>
                  <pic:nvPicPr>
                    <pic:cNvPr id="0" name="14_permutation_importance.png"/>
                    <pic:cNvPicPr/>
                  </pic:nvPicPr>
                  <pic:blipFill>
                    <a:blip r:embed="rId17"/>
                    <a:stretch>
                      <a:fillRect/>
                    </a:stretch>
                  </pic:blipFill>
                  <pic:spPr>
                    <a:xfrm>
                      <a:off x="0" y="0"/>
                      <a:ext cx="5303520" cy="3653536"/>
                    </a:xfrm>
                    <a:prstGeom prst="rect"/>
                  </pic:spPr>
                </pic:pic>
              </a:graphicData>
            </a:graphic>
          </wp:inline>
        </w:drawing>
      </w:r>
    </w:p>
    <w:p>
      <w:pPr>
        <w:spacing w:after="200"/>
        <w:jc w:val="center"/>
      </w:pPr>
      <w:r>
        <w:rPr>
          <w:rFonts w:ascii="Arial" w:hAnsi="Arial"/>
          <w:i/>
          <w:color w:val="5A6473"/>
          <w:sz w:val="17"/>
        </w:rPr>
        <w:t>Figure 9: Model-agnostic permutation importance on holdout test set.</w:t>
      </w:r>
    </w:p>
    <w:p>
      <w:pPr>
        <w:spacing w:before="160" w:after="80"/>
        <w:jc w:val="center"/>
      </w:pPr>
      <w:r>
        <w:drawing>
          <wp:inline xmlns:a="http://schemas.openxmlformats.org/drawingml/2006/main" xmlns:pic="http://schemas.openxmlformats.org/drawingml/2006/picture">
            <wp:extent cx="5303520" cy="1398645"/>
            <wp:docPr id="10" name="Picture 10"/>
            <wp:cNvGraphicFramePr>
              <a:graphicFrameLocks noChangeAspect="1"/>
            </wp:cNvGraphicFramePr>
            <a:graphic>
              <a:graphicData uri="http://schemas.openxmlformats.org/drawingml/2006/picture">
                <pic:pic>
                  <pic:nvPicPr>
                    <pic:cNvPr id="0" name="15_partial_dependence.png"/>
                    <pic:cNvPicPr/>
                  </pic:nvPicPr>
                  <pic:blipFill>
                    <a:blip r:embed="rId18"/>
                    <a:stretch>
                      <a:fillRect/>
                    </a:stretch>
                  </pic:blipFill>
                  <pic:spPr>
                    <a:xfrm>
                      <a:off x="0" y="0"/>
                      <a:ext cx="5303520" cy="1398645"/>
                    </a:xfrm>
                    <a:prstGeom prst="rect"/>
                  </pic:spPr>
                </pic:pic>
              </a:graphicData>
            </a:graphic>
          </wp:inline>
        </w:drawing>
      </w:r>
    </w:p>
    <w:p>
      <w:pPr>
        <w:spacing w:after="200"/>
        <w:jc w:val="center"/>
      </w:pPr>
      <w:r>
        <w:rPr>
          <w:rFonts w:ascii="Arial" w:hAnsi="Arial"/>
          <w:i/>
          <w:color w:val="5A6473"/>
          <w:sz w:val="17"/>
        </w:rPr>
        <w:t>Figure 10: Partial dependence plots illustrating non-linear marginal effects.</w:t>
      </w:r>
    </w:p>
    <w:p>
      <w:pPr>
        <w:keepNext/>
        <w:spacing w:before="280" w:after="120"/>
      </w:pPr>
      <w:r>
        <w:rPr>
          <w:rFonts w:ascii="Arial" w:hAnsi="Arial"/>
          <w:b/>
          <w:color w:val="1B2A4A"/>
          <w:sz w:val="26"/>
        </w:rPr>
        <w:t>7. Interactive Decision Support System Architecture</w:t>
      </w:r>
    </w:p>
    <w:p>
      <w:pPr>
        <w:spacing w:line="276" w:lineRule="auto" w:after="120"/>
      </w:pPr>
      <w:r>
        <w:rPr>
          <w:rFonts w:ascii="Arial" w:hAnsi="Arial"/>
          <w:sz w:val="20"/>
        </w:rPr>
        <w:t>To operationalize this research, an enterprise Streamlit web application (app.py) was architected with six functional modules:</w:t>
      </w:r>
    </w:p>
    <w:p>
      <w:pPr>
        <w:pStyle w:val="ListBullet"/>
        <w:spacing w:line="276" w:lineRule="auto" w:after="60"/>
      </w:pPr>
      <w:r>
        <w:rPr>
          <w:rFonts w:ascii="Arial" w:hAnsi="Arial"/>
          <w:b/>
          <w:sz w:val="20"/>
        </w:rPr>
        <w:t xml:space="preserve">1. Customer Churn Risk Calculator: </w:t>
      </w:r>
      <w:r>
        <w:rPr>
          <w:rFonts w:ascii="Arial" w:hAnsi="Arial"/>
          <w:sz w:val="20"/>
        </w:rPr>
        <w:t xml:space="preserve"> — real-time churn probability scoring, risk tier gauge, and local factor breakdown.</w:t>
      </w:r>
    </w:p>
    <w:p>
      <w:pPr>
        <w:pStyle w:val="ListBullet"/>
        <w:spacing w:line="276" w:lineRule="auto" w:after="60"/>
      </w:pPr>
      <w:r>
        <w:rPr>
          <w:rFonts w:ascii="Arial" w:hAnsi="Arial"/>
          <w:b/>
          <w:sz w:val="20"/>
        </w:rPr>
        <w:t xml:space="preserve">2. Probability Distribution Analytics: </w:t>
      </w:r>
      <w:r>
        <w:rPr>
          <w:rFonts w:ascii="Arial" w:hAnsi="Arial"/>
          <w:sz w:val="20"/>
        </w:rPr>
        <w:t xml:space="preserve"> — holdout test set probability densities, PR curves, and dynamic threshold slider.</w:t>
      </w:r>
    </w:p>
    <w:p>
      <w:pPr>
        <w:pStyle w:val="ListBullet"/>
        <w:spacing w:line="276" w:lineRule="auto" w:after="60"/>
      </w:pPr>
      <w:r>
        <w:rPr>
          <w:rFonts w:ascii="Arial" w:hAnsi="Arial"/>
          <w:b/>
          <w:sz w:val="20"/>
        </w:rPr>
        <w:t xml:space="preserve">3. Feature Importance Dashboard: </w:t>
      </w:r>
      <w:r>
        <w:rPr>
          <w:rFonts w:ascii="Arial" w:hAnsi="Arial"/>
          <w:sz w:val="20"/>
        </w:rPr>
        <w:t xml:space="preserve"> — global permutation importance and 95% bootstrap benchmark tables.</w:t>
      </w:r>
    </w:p>
    <w:p>
      <w:pPr>
        <w:pStyle w:val="ListBullet"/>
        <w:spacing w:line="276" w:lineRule="auto" w:after="60"/>
      </w:pPr>
      <w:r>
        <w:rPr>
          <w:rFonts w:ascii="Arial" w:hAnsi="Arial"/>
          <w:b/>
          <w:sz w:val="20"/>
        </w:rPr>
        <w:t xml:space="preserve">4. What-If Scenario Simulator: </w:t>
      </w:r>
      <w:r>
        <w:rPr>
          <w:rFonts w:ascii="Arial" w:hAnsi="Arial"/>
          <w:sz w:val="20"/>
        </w:rPr>
        <w:t xml:space="preserve"> — interactive sensitivity analysis examining churn response to hypothetical relationship changes.</w:t>
      </w:r>
    </w:p>
    <w:p>
      <w:pPr>
        <w:pStyle w:val="ListBullet"/>
        <w:spacing w:line="276" w:lineRule="auto" w:after="60"/>
      </w:pPr>
      <w:r>
        <w:rPr>
          <w:rFonts w:ascii="Arial" w:hAnsi="Arial"/>
          <w:b/>
          <w:sz w:val="20"/>
        </w:rPr>
        <w:t xml:space="preserve">5. Batch Customer Scoring &amp; CSV Export: </w:t>
      </w:r>
      <w:r>
        <w:rPr>
          <w:rFonts w:ascii="Arial" w:hAnsi="Arial"/>
          <w:sz w:val="20"/>
        </w:rPr>
        <w:t xml:space="preserve"> — enterprise file uploader allowing branch managers to score 10,000+ customer records in bulk, categorize by risk tier, and export prioritized outreach lists.</w:t>
      </w:r>
    </w:p>
    <w:p>
      <w:pPr>
        <w:pStyle w:val="ListBullet"/>
        <w:spacing w:line="276" w:lineRule="auto" w:after="60"/>
      </w:pPr>
      <w:r>
        <w:rPr>
          <w:rFonts w:ascii="Arial" w:hAnsi="Arial"/>
          <w:b/>
          <w:sz w:val="20"/>
        </w:rPr>
        <w:t xml:space="preserve">6. Executive Retention ROI Simulator: </w:t>
      </w:r>
      <w:r>
        <w:rPr>
          <w:rFonts w:ascii="Arial" w:hAnsi="Arial"/>
          <w:sz w:val="20"/>
        </w:rPr>
        <w:t xml:space="preserve"> — financial simulation calculating Gross Saved Value, Campaign Costs, and Net Retention ROI.</w:t>
      </w:r>
    </w:p>
    <w:p>
      <w:pPr>
        <w:keepNext/>
        <w:spacing w:before="280" w:after="120"/>
      </w:pPr>
      <w:r>
        <w:rPr>
          <w:rFonts w:ascii="Arial" w:hAnsi="Arial"/>
          <w:b/>
          <w:color w:val="1B2A4A"/>
          <w:sz w:val="26"/>
        </w:rPr>
        <w:t>8. Conclusion &amp; Policy Recommendations</w:t>
      </w:r>
    </w:p>
    <w:p>
      <w:pPr>
        <w:spacing w:line="276" w:lineRule="auto" w:after="120"/>
      </w:pPr>
      <w:r>
        <w:rPr>
          <w:rFonts w:ascii="Arial" w:hAnsi="Arial"/>
          <w:sz w:val="20"/>
        </w:rPr>
        <w:t>This research demonstrates that developing effective churn intelligence requires transitioning from naive accuracy optimization to cost-sensitive threshold calibration, market-specific institutional profiling (unmasking the German Zero-Balance Paradox), and regulatory explainability. By deploying a calibrated operating threshold of T* = 0.27, retail banking institutions can capture ~70%–85% of at-risk accounts, preserving hundreds of thousands of dollars in Customer Lifetime Value while strictly complying with international AI governance mandates.</w:t>
      </w:r>
    </w:p>
    <w:p>
      <w:pPr>
        <w:keepNext/>
        <w:spacing w:before="200" w:after="80"/>
      </w:pPr>
      <w:r>
        <w:rPr>
          <w:rFonts w:ascii="Arial" w:hAnsi="Arial"/>
          <w:b/>
          <w:color w:val="2E5EAA"/>
          <w:sz w:val="22"/>
        </w:rPr>
        <w:t>8.1 Data &amp; Code Availability</w:t>
      </w:r>
    </w:p>
    <w:p>
      <w:pPr>
        <w:spacing w:line="276" w:lineRule="auto" w:after="120"/>
      </w:pPr>
      <w:r>
        <w:rPr>
          <w:rFonts w:ascii="Arial" w:hAnsi="Arial"/>
          <w:sz w:val="20"/>
        </w:rPr>
        <w:t>All source code, trained pipelines, evaluation artifacts, and the interactive Streamlit application are permanently available on GitHub (chandolupraneethkumar05-oss/Bank-Churn-Project) and deposited for public archival on Zenodo under open-access CC-BY-4.0 licensing.</w:t>
      </w:r>
    </w:p>
    <w:p>
      <w:pPr>
        <w:keepNext/>
        <w:spacing w:before="280" w:after="120"/>
      </w:pPr>
      <w:r>
        <w:rPr>
          <w:rFonts w:ascii="Arial" w:hAnsi="Arial"/>
          <w:b/>
          <w:color w:val="1B2A4A"/>
          <w:sz w:val="26"/>
        </w:rPr>
        <w:t>References</w:t>
      </w:r>
    </w:p>
    <w:p>
      <w:pPr>
        <w:spacing w:line="276" w:lineRule="auto" w:after="60"/>
        <w:ind w:left="360" w:hanging="360"/>
      </w:pPr>
      <w:r>
        <w:rPr>
          <w:rFonts w:ascii="Arial" w:hAnsi="Arial"/>
          <w:sz w:val="17"/>
        </w:rPr>
        <w:t>[1] B. Baesens, D. Martens, and W. Verbeke, Analytics in a Big Data World: The Essential Guide to Data Science and its Applications. Hoboken, NJ: John Wiley &amp; Sons, 2014.</w:t>
      </w:r>
    </w:p>
    <w:p>
      <w:pPr>
        <w:spacing w:line="276" w:lineRule="auto" w:after="60"/>
        <w:ind w:left="360" w:hanging="360"/>
      </w:pPr>
      <w:r>
        <w:rPr>
          <w:rFonts w:ascii="Arial" w:hAnsi="Arial"/>
          <w:sz w:val="17"/>
        </w:rPr>
        <w:t>[2] W. Verbeke, D. Martens, C. Mues, and B. Baesens, 'Building comprehensible customer churn prediction models with advanced rule induction techniques,' Expert Systems with Applications, vol. 38, no. 3, pp. 2354–2364, 2011.</w:t>
      </w:r>
    </w:p>
    <w:p>
      <w:pPr>
        <w:spacing w:line="276" w:lineRule="auto" w:after="60"/>
        <w:ind w:left="360" w:hanging="360"/>
      </w:pPr>
      <w:r>
        <w:rPr>
          <w:rFonts w:ascii="Arial" w:hAnsi="Arial"/>
          <w:sz w:val="17"/>
        </w:rPr>
        <w:t>[3] European Commission, 'Proposal for a Regulation laying down harmonised rules on artificial intelligence (Artificial Intelligence Act),' COM(2021) 206 final, Brussels, 2021.</w:t>
      </w:r>
    </w:p>
    <w:p>
      <w:pPr>
        <w:spacing w:line="276" w:lineRule="auto" w:after="60"/>
        <w:ind w:left="360" w:hanging="360"/>
      </w:pPr>
      <w:r>
        <w:rPr>
          <w:rFonts w:ascii="Arial" w:hAnsi="Arial"/>
          <w:sz w:val="17"/>
        </w:rPr>
        <w:t>[4] Basel Committee on Banking Supervision, 'Principles for effective risk data aggregation and risk reporting (BCBS 239),' Bank for International Settlements, Basel, Switzerland, Tech. Rep., 2013.</w:t>
      </w:r>
    </w:p>
    <w:p>
      <w:pPr>
        <w:spacing w:line="276" w:lineRule="auto" w:after="60"/>
        <w:ind w:left="360" w:hanging="360"/>
      </w:pPr>
      <w:r>
        <w:rPr>
          <w:rFonts w:ascii="Arial" w:hAnsi="Arial"/>
          <w:sz w:val="17"/>
        </w:rPr>
        <w:t>[5] C. Molnar, Interpretable Machine Learning: A Guide for Making Black Box Models Explainable, 2nd ed. Munich, Germany: Leanpub, 2022.</w:t>
      </w:r>
    </w:p>
    <w:p>
      <w:pPr>
        <w:spacing w:line="276" w:lineRule="auto" w:after="60"/>
        <w:ind w:left="360" w:hanging="360"/>
      </w:pPr>
      <w:r>
        <w:rPr>
          <w:rFonts w:ascii="Arial" w:hAnsi="Arial"/>
          <w:sz w:val="17"/>
        </w:rPr>
        <w:t>[6] J. H. Friedman, 'Greedy function approximation: A gradient boosting machine,' The Annals of Statistics, vol. 29, no. 5, pp. 1189–1232, 2001.</w:t>
      </w:r>
    </w:p>
    <w:p>
      <w:pPr>
        <w:spacing w:line="276" w:lineRule="auto" w:after="60"/>
        <w:ind w:left="360" w:hanging="360"/>
      </w:pPr>
      <w:r>
        <w:rPr>
          <w:rFonts w:ascii="Arial" w:hAnsi="Arial"/>
          <w:sz w:val="17"/>
        </w:rPr>
        <w:t>[7] L. Breiman, 'Random forests,' Machine Learning, vol. 45, no. 1, pp. 5–32, 2001.</w:t>
      </w:r>
    </w:p>
    <w:p>
      <w:pPr>
        <w:spacing w:line="276" w:lineRule="auto" w:after="60"/>
        <w:ind w:left="360" w:hanging="360"/>
      </w:pPr>
      <w:r>
        <w:rPr>
          <w:rFonts w:ascii="Arial" w:hAnsi="Arial"/>
          <w:sz w:val="17"/>
        </w:rPr>
        <w:t>[8] W. J. Youden, 'Index for rating diagnostic tests,' Cancer, vol. 3, no. 1, pp. 32–35, 1950.</w:t>
      </w:r>
    </w:p>
    <w:p>
      <w:pPr>
        <w:spacing w:line="276" w:lineRule="auto" w:after="60"/>
        <w:ind w:left="360" w:hanging="360"/>
      </w:pPr>
      <w:r>
        <w:rPr>
          <w:rFonts w:ascii="Arial" w:hAnsi="Arial"/>
          <w:sz w:val="17"/>
        </w:rPr>
        <w:t>[9] T. Fawcett, 'An introduction to ROC analysis,' Pattern Recognition Letters, vol. 27, no. 8, pp. 861–874, 2006.</w:t>
      </w:r>
    </w:p>
    <w:p>
      <w:pPr>
        <w:spacing w:line="276" w:lineRule="auto" w:after="60"/>
        <w:ind w:left="360" w:hanging="360"/>
      </w:pPr>
      <w:r>
        <w:rPr>
          <w:rFonts w:ascii="Arial" w:hAnsi="Arial"/>
          <w:sz w:val="17"/>
        </w:rPr>
        <w:t>[10] J. Davis and M. Goadrich, 'The relationship between Precision-Recall and ROC curves,' in Proceedings of the 23rd International Conference on Machine Learning (ICML), Pittsburgh, PA, 2006, pp. 233–240.</w:t>
      </w:r>
    </w:p>
    <w:p>
      <w:pPr>
        <w:spacing w:line="276" w:lineRule="auto" w:after="60"/>
        <w:ind w:left="360" w:hanging="360"/>
      </w:pPr>
      <w:r>
        <w:rPr>
          <w:rFonts w:ascii="Arial" w:hAnsi="Arial"/>
          <w:sz w:val="17"/>
        </w:rPr>
        <w:t>[11] B. Efron and R. J. Tibshirani, An Introduction to the Bootstrap. New York, NY: Chapman &amp; Hall/CRC, 1994.</w:t>
      </w:r>
    </w:p>
    <w:p>
      <w:pPr>
        <w:spacing w:line="276" w:lineRule="auto" w:after="60"/>
        <w:ind w:left="360" w:hanging="360"/>
      </w:pPr>
      <w:r>
        <w:rPr>
          <w:rFonts w:ascii="Arial" w:hAnsi="Arial"/>
          <w:sz w:val="17"/>
        </w:rPr>
        <w:t>[12] F. Pedregosa et al., 'Scikit-learn: Machine learning in Python,' Journal of Machine Learning Research, vol. 12, pp. 2825–2830, 2011.</w:t>
      </w:r>
    </w:p>
    <w:p>
      <w:pPr>
        <w:spacing w:line="276" w:lineRule="auto" w:after="60"/>
        <w:ind w:left="360" w:hanging="360"/>
      </w:pPr>
      <w:r>
        <w:rPr>
          <w:rFonts w:ascii="Arial" w:hAnsi="Arial"/>
          <w:sz w:val="17"/>
        </w:rPr>
        <w:t>[13] E. W. Ngai, L. Xiu, and D. C. Chau, 'Application of data mining techniques in customer relationship management,' Expert Systems with Applications, vol. 36, no. 2, pp. 2592–2602, 2009.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