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dgldlv4vqhtp" w:id="0"/>
      <w:bookmarkEnd w:id="0"/>
      <w:r w:rsidDel="00000000" w:rsidR="00000000" w:rsidRPr="00000000">
        <w:rPr>
          <w:b w:val="1"/>
          <w:color w:val="000000"/>
          <w:sz w:val="26"/>
          <w:szCs w:val="26"/>
          <w:rtl w:val="0"/>
        </w:rPr>
        <w:t xml:space="preserve">Title: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cys390xje1x5" w:id="1"/>
      <w:bookmarkEnd w:id="1"/>
      <w:r w:rsidDel="00000000" w:rsidR="00000000" w:rsidRPr="00000000">
        <w:rPr>
          <w:b w:val="1"/>
          <w:color w:val="000000"/>
          <w:sz w:val="26"/>
          <w:szCs w:val="26"/>
          <w:rtl w:val="0"/>
        </w:rPr>
        <w:t xml:space="preserve">The History and Evolution of NTT DATA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meyk9zmteru0" w:id="2"/>
      <w:bookmarkEnd w:id="2"/>
      <w:r w:rsidDel="00000000" w:rsidR="00000000" w:rsidRPr="00000000">
        <w:rPr>
          <w:b w:val="1"/>
          <w:color w:val="000000"/>
          <w:sz w:val="22"/>
          <w:szCs w:val="22"/>
          <w:rtl w:val="0"/>
        </w:rPr>
        <w:t xml:space="preserve">Page 1 — Origins and Early Growth</w:t>
      </w:r>
    </w:p>
    <w:p w:rsidR="00000000" w:rsidDel="00000000" w:rsidP="00000000" w:rsidRDefault="00000000" w:rsidRPr="00000000" w14:paraId="00000004">
      <w:pPr>
        <w:spacing w:after="240" w:before="240" w:lineRule="auto"/>
        <w:rPr/>
      </w:pPr>
      <w:r w:rsidDel="00000000" w:rsidR="00000000" w:rsidRPr="00000000">
        <w:rPr>
          <w:rtl w:val="0"/>
        </w:rPr>
        <w:t xml:space="preserve">NTT DATA traces its origins to Japan’s early telecommunications development. The company’s roots go back to the </w:t>
      </w:r>
      <w:r w:rsidDel="00000000" w:rsidR="00000000" w:rsidRPr="00000000">
        <w:rPr>
          <w:b w:val="1"/>
          <w:rtl w:val="0"/>
        </w:rPr>
        <w:t xml:space="preserve">Data Communications Bureau</w:t>
      </w:r>
      <w:r w:rsidDel="00000000" w:rsidR="00000000" w:rsidRPr="00000000">
        <w:rPr>
          <w:rtl w:val="0"/>
        </w:rPr>
        <w:t xml:space="preserve">, which was established in </w:t>
      </w:r>
      <w:r w:rsidDel="00000000" w:rsidR="00000000" w:rsidRPr="00000000">
        <w:rPr>
          <w:b w:val="1"/>
          <w:rtl w:val="0"/>
        </w:rPr>
        <w:t xml:space="preserve">1967</w:t>
      </w:r>
      <w:r w:rsidDel="00000000" w:rsidR="00000000" w:rsidRPr="00000000">
        <w:rPr>
          <w:rtl w:val="0"/>
        </w:rPr>
        <w:t xml:space="preserve"> as part of the Nippon Telegraph and Telephone Public Corporation (NTT).</w:t>
      </w:r>
    </w:p>
    <w:p w:rsidR="00000000" w:rsidDel="00000000" w:rsidP="00000000" w:rsidRDefault="00000000" w:rsidRPr="00000000" w14:paraId="00000005">
      <w:pPr>
        <w:spacing w:after="240" w:before="240" w:lineRule="auto"/>
        <w:rPr/>
      </w:pPr>
      <w:r w:rsidDel="00000000" w:rsidR="00000000" w:rsidRPr="00000000">
        <w:rPr>
          <w:rtl w:val="0"/>
        </w:rPr>
        <w:t xml:space="preserve">In </w:t>
      </w:r>
      <w:r w:rsidDel="00000000" w:rsidR="00000000" w:rsidRPr="00000000">
        <w:rPr>
          <w:b w:val="1"/>
          <w:rtl w:val="0"/>
        </w:rPr>
        <w:t xml:space="preserve">1985</w:t>
      </w:r>
      <w:r w:rsidDel="00000000" w:rsidR="00000000" w:rsidRPr="00000000">
        <w:rPr>
          <w:rtl w:val="0"/>
        </w:rPr>
        <w:t xml:space="preserve">, the Nippon Telegraph and Telephone Public Corporation was privatized, becoming </w:t>
      </w:r>
      <w:r w:rsidDel="00000000" w:rsidR="00000000" w:rsidRPr="00000000">
        <w:rPr>
          <w:b w:val="1"/>
          <w:rtl w:val="0"/>
        </w:rPr>
        <w:t xml:space="preserve">Nippon Telegraph and Telephone Corporation (NTT)</w:t>
      </w:r>
      <w:r w:rsidDel="00000000" w:rsidR="00000000" w:rsidRPr="00000000">
        <w:rPr>
          <w:rtl w:val="0"/>
        </w:rPr>
        <w:t xml:space="preserve">. Just three years later, in </w:t>
      </w:r>
      <w:r w:rsidDel="00000000" w:rsidR="00000000" w:rsidRPr="00000000">
        <w:rPr>
          <w:b w:val="1"/>
          <w:rtl w:val="0"/>
        </w:rPr>
        <w:t xml:space="preserve">1988</w:t>
      </w:r>
      <w:r w:rsidDel="00000000" w:rsidR="00000000" w:rsidRPr="00000000">
        <w:rPr>
          <w:rtl w:val="0"/>
        </w:rPr>
        <w:t xml:space="preserve">, </w:t>
      </w:r>
      <w:r w:rsidDel="00000000" w:rsidR="00000000" w:rsidRPr="00000000">
        <w:rPr>
          <w:b w:val="1"/>
          <w:rtl w:val="0"/>
        </w:rPr>
        <w:t xml:space="preserve">NTT DATA Corporation</w:t>
      </w:r>
      <w:r w:rsidDel="00000000" w:rsidR="00000000" w:rsidRPr="00000000">
        <w:rPr>
          <w:rtl w:val="0"/>
        </w:rPr>
        <w:t xml:space="preserve"> was spun off as an independent company specializing in data communications, information systems, and IT services.</w:t>
      </w:r>
    </w:p>
    <w:p w:rsidR="00000000" w:rsidDel="00000000" w:rsidP="00000000" w:rsidRDefault="00000000" w:rsidRPr="00000000" w14:paraId="00000006">
      <w:pPr>
        <w:spacing w:after="240" w:before="240" w:lineRule="auto"/>
        <w:rPr/>
      </w:pPr>
      <w:r w:rsidDel="00000000" w:rsidR="00000000" w:rsidRPr="00000000">
        <w:rPr>
          <w:rtl w:val="0"/>
        </w:rPr>
        <w:t xml:space="preserve">During its early decades, NTT DATA developed several large-scale systems for Japan’s public and financial sectors. One of its most important early projects was the </w:t>
      </w:r>
      <w:r w:rsidDel="00000000" w:rsidR="00000000" w:rsidRPr="00000000">
        <w:rPr>
          <w:b w:val="1"/>
          <w:rtl w:val="0"/>
        </w:rPr>
        <w:t xml:space="preserve">Zengin System</w:t>
      </w:r>
      <w:r w:rsidDel="00000000" w:rsidR="00000000" w:rsidRPr="00000000">
        <w:rPr>
          <w:rtl w:val="0"/>
        </w:rPr>
        <w:t xml:space="preserve">, introduced in </w:t>
      </w:r>
      <w:r w:rsidDel="00000000" w:rsidR="00000000" w:rsidRPr="00000000">
        <w:rPr>
          <w:b w:val="1"/>
          <w:rtl w:val="0"/>
        </w:rPr>
        <w:t xml:space="preserve">1973</w:t>
      </w:r>
      <w:r w:rsidDel="00000000" w:rsidR="00000000" w:rsidRPr="00000000">
        <w:rPr>
          <w:rtl w:val="0"/>
        </w:rPr>
        <w:t xml:space="preserve">, which allowed hundreds of banks in Japan to transfer funds electronically. This innovation laid the foundation for the country’s digital banking network.</w:t>
      </w:r>
    </w:p>
    <w:p w:rsidR="00000000" w:rsidDel="00000000" w:rsidP="00000000" w:rsidRDefault="00000000" w:rsidRPr="00000000" w14:paraId="00000007">
      <w:pPr>
        <w:spacing w:after="240" w:before="240" w:lineRule="auto"/>
        <w:rPr/>
      </w:pPr>
      <w:r w:rsidDel="00000000" w:rsidR="00000000" w:rsidRPr="00000000">
        <w:rPr>
          <w:rtl w:val="0"/>
        </w:rPr>
        <w:t xml:space="preserve">In the 1990s, NTT DATA began expanding internationally and invested heavily in research and development. It focused on software engineering, systems integration, and emerging technologies such as smart cards and online transaction platforms.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fikt8k9sf087" w:id="3"/>
      <w:bookmarkEnd w:id="3"/>
      <w:r w:rsidDel="00000000" w:rsidR="00000000" w:rsidRPr="00000000">
        <w:rPr>
          <w:b w:val="1"/>
          <w:color w:val="000000"/>
          <w:sz w:val="22"/>
          <w:szCs w:val="22"/>
          <w:rtl w:val="0"/>
        </w:rPr>
        <w:t xml:space="preserve">Page 2 — Global Expansion and Modern Transformation</w:t>
      </w:r>
    </w:p>
    <w:p w:rsidR="00000000" w:rsidDel="00000000" w:rsidP="00000000" w:rsidRDefault="00000000" w:rsidRPr="00000000" w14:paraId="0000000A">
      <w:pPr>
        <w:spacing w:after="240" w:before="240" w:lineRule="auto"/>
        <w:rPr/>
      </w:pPr>
      <w:r w:rsidDel="00000000" w:rsidR="00000000" w:rsidRPr="00000000">
        <w:rPr>
          <w:rtl w:val="0"/>
        </w:rPr>
        <w:t xml:space="preserve">By the mid-2000s, NTT DATA had evolved into a global IT services company. It expanded internationally through acquisitions, including </w:t>
      </w:r>
      <w:r w:rsidDel="00000000" w:rsidR="00000000" w:rsidRPr="00000000">
        <w:rPr>
          <w:b w:val="1"/>
          <w:rtl w:val="0"/>
        </w:rPr>
        <w:t xml:space="preserve">Cirquent GmbH (Germany)</w:t>
      </w:r>
      <w:r w:rsidDel="00000000" w:rsidR="00000000" w:rsidRPr="00000000">
        <w:rPr>
          <w:rtl w:val="0"/>
        </w:rPr>
        <w:t xml:space="preserve"> in </w:t>
      </w:r>
      <w:r w:rsidDel="00000000" w:rsidR="00000000" w:rsidRPr="00000000">
        <w:rPr>
          <w:b w:val="1"/>
          <w:rtl w:val="0"/>
        </w:rPr>
        <w:t xml:space="preserve">2008</w:t>
      </w:r>
      <w:r w:rsidDel="00000000" w:rsidR="00000000" w:rsidRPr="00000000">
        <w:rPr>
          <w:rtl w:val="0"/>
        </w:rPr>
        <w:t xml:space="preserve">, and </w:t>
      </w:r>
      <w:r w:rsidDel="00000000" w:rsidR="00000000" w:rsidRPr="00000000">
        <w:rPr>
          <w:b w:val="1"/>
          <w:rtl w:val="0"/>
        </w:rPr>
        <w:t xml:space="preserve">Keane Inc. (United States)</w:t>
      </w:r>
      <w:r w:rsidDel="00000000" w:rsidR="00000000" w:rsidRPr="00000000">
        <w:rPr>
          <w:rtl w:val="0"/>
        </w:rPr>
        <w:t xml:space="preserve"> in </w:t>
      </w:r>
      <w:r w:rsidDel="00000000" w:rsidR="00000000" w:rsidRPr="00000000">
        <w:rPr>
          <w:b w:val="1"/>
          <w:rtl w:val="0"/>
        </w:rPr>
        <w:t xml:space="preserve">2010</w:t>
      </w:r>
      <w:r w:rsidDel="00000000" w:rsidR="00000000" w:rsidRPr="00000000">
        <w:rPr>
          <w:rtl w:val="0"/>
        </w:rPr>
        <w:t xml:space="preserve">, strengthening its presence in Europe and North America.</w:t>
      </w:r>
    </w:p>
    <w:p w:rsidR="00000000" w:rsidDel="00000000" w:rsidP="00000000" w:rsidRDefault="00000000" w:rsidRPr="00000000" w14:paraId="0000000B">
      <w:pPr>
        <w:spacing w:after="240" w:before="240" w:lineRule="auto"/>
        <w:rPr/>
      </w:pPr>
      <w:r w:rsidDel="00000000" w:rsidR="00000000" w:rsidRPr="00000000">
        <w:rPr>
          <w:rtl w:val="0"/>
        </w:rPr>
        <w:t xml:space="preserve">The company’s focus also shifted from traditional IT infrastructure to </w:t>
      </w:r>
      <w:r w:rsidDel="00000000" w:rsidR="00000000" w:rsidRPr="00000000">
        <w:rPr>
          <w:b w:val="1"/>
          <w:rtl w:val="0"/>
        </w:rPr>
        <w:t xml:space="preserve">digital transformation</w:t>
      </w:r>
      <w:r w:rsidDel="00000000" w:rsidR="00000000" w:rsidRPr="00000000">
        <w:rPr>
          <w:rtl w:val="0"/>
        </w:rPr>
        <w:t xml:space="preserve">, </w:t>
      </w:r>
      <w:r w:rsidDel="00000000" w:rsidR="00000000" w:rsidRPr="00000000">
        <w:rPr>
          <w:b w:val="1"/>
          <w:rtl w:val="0"/>
        </w:rPr>
        <w:t xml:space="preserve">consulting</w:t>
      </w:r>
      <w:r w:rsidDel="00000000" w:rsidR="00000000" w:rsidRPr="00000000">
        <w:rPr>
          <w:rtl w:val="0"/>
        </w:rPr>
        <w:t xml:space="preserve">, and </w:t>
      </w:r>
      <w:r w:rsidDel="00000000" w:rsidR="00000000" w:rsidRPr="00000000">
        <w:rPr>
          <w:b w:val="1"/>
          <w:rtl w:val="0"/>
        </w:rPr>
        <w:t xml:space="preserve">innovation-driven solutions</w:t>
      </w:r>
      <w:r w:rsidDel="00000000" w:rsidR="00000000" w:rsidRPr="00000000">
        <w:rPr>
          <w:rtl w:val="0"/>
        </w:rPr>
        <w:t xml:space="preserve">. NTT DATA began positioning itself not only as a technology provider but also as a </w:t>
      </w:r>
      <w:r w:rsidDel="00000000" w:rsidR="00000000" w:rsidRPr="00000000">
        <w:rPr>
          <w:b w:val="1"/>
          <w:rtl w:val="0"/>
        </w:rPr>
        <w:t xml:space="preserve">strategic partner</w:t>
      </w:r>
      <w:r w:rsidDel="00000000" w:rsidR="00000000" w:rsidRPr="00000000">
        <w:rPr>
          <w:rtl w:val="0"/>
        </w:rPr>
        <w:t xml:space="preserve"> helping clients adapt to digital business models.</w:t>
      </w:r>
    </w:p>
    <w:p w:rsidR="00000000" w:rsidDel="00000000" w:rsidP="00000000" w:rsidRDefault="00000000" w:rsidRPr="00000000" w14:paraId="0000000C">
      <w:pPr>
        <w:spacing w:after="240" w:before="240" w:lineRule="auto"/>
        <w:rPr/>
      </w:pPr>
      <w:r w:rsidDel="00000000" w:rsidR="00000000" w:rsidRPr="00000000">
        <w:rPr>
          <w:rtl w:val="0"/>
        </w:rPr>
        <w:t xml:space="preserve">In </w:t>
      </w:r>
      <w:r w:rsidDel="00000000" w:rsidR="00000000" w:rsidRPr="00000000">
        <w:rPr>
          <w:b w:val="1"/>
          <w:rtl w:val="0"/>
        </w:rPr>
        <w:t xml:space="preserve">2022–2023</w:t>
      </w:r>
      <w:r w:rsidDel="00000000" w:rsidR="00000000" w:rsidRPr="00000000">
        <w:rPr>
          <w:rtl w:val="0"/>
        </w:rPr>
        <w:t xml:space="preserve">, NTT DATA reorganized into a </w:t>
      </w:r>
      <w:r w:rsidDel="00000000" w:rsidR="00000000" w:rsidRPr="00000000">
        <w:rPr>
          <w:b w:val="1"/>
          <w:rtl w:val="0"/>
        </w:rPr>
        <w:t xml:space="preserve">holding company structure</w:t>
      </w:r>
      <w:r w:rsidDel="00000000" w:rsidR="00000000" w:rsidRPr="00000000">
        <w:rPr>
          <w:rtl w:val="0"/>
        </w:rPr>
        <w:t xml:space="preserve"> to streamline its global operations. The new organization established:</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rtl w:val="0"/>
        </w:rPr>
        <w:t xml:space="preserve">NTT DATA Group Corporation</w:t>
      </w:r>
      <w:r w:rsidDel="00000000" w:rsidR="00000000" w:rsidRPr="00000000">
        <w:rPr>
          <w:rtl w:val="0"/>
        </w:rPr>
        <w:t xml:space="preserve"> as the holding company,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NTT DATA Japan</w:t>
      </w:r>
      <w:r w:rsidDel="00000000" w:rsidR="00000000" w:rsidRPr="00000000">
        <w:rPr>
          <w:rtl w:val="0"/>
        </w:rPr>
        <w:t xml:space="preserve"> for domestic operations, and</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rtl w:val="0"/>
        </w:rPr>
        <w:t xml:space="preserve">NTT DATA, Inc.</w:t>
      </w:r>
      <w:r w:rsidDel="00000000" w:rsidR="00000000" w:rsidRPr="00000000">
        <w:rPr>
          <w:rtl w:val="0"/>
        </w:rPr>
        <w:t xml:space="preserve"> for overseas business.</w:t>
      </w:r>
    </w:p>
    <w:p w:rsidR="00000000" w:rsidDel="00000000" w:rsidP="00000000" w:rsidRDefault="00000000" w:rsidRPr="00000000" w14:paraId="00000010">
      <w:pPr>
        <w:spacing w:after="240" w:before="240" w:lineRule="auto"/>
        <w:rPr/>
      </w:pPr>
      <w:r w:rsidDel="00000000" w:rsidR="00000000" w:rsidRPr="00000000">
        <w:rPr>
          <w:rtl w:val="0"/>
        </w:rPr>
        <w:t xml:space="preserve">Looking toward </w:t>
      </w:r>
      <w:r w:rsidDel="00000000" w:rsidR="00000000" w:rsidRPr="00000000">
        <w:rPr>
          <w:b w:val="1"/>
          <w:rtl w:val="0"/>
        </w:rPr>
        <w:t xml:space="preserve">2025</w:t>
      </w:r>
      <w:r w:rsidDel="00000000" w:rsidR="00000000" w:rsidRPr="00000000">
        <w:rPr>
          <w:rtl w:val="0"/>
        </w:rPr>
        <w:t xml:space="preserve">, NTT DATA aims to reach its “</w:t>
      </w:r>
      <w:r w:rsidDel="00000000" w:rsidR="00000000" w:rsidRPr="00000000">
        <w:rPr>
          <w:b w:val="1"/>
          <w:rtl w:val="0"/>
        </w:rPr>
        <w:t xml:space="preserve">Global 3rd Stage</w:t>
      </w:r>
      <w:r w:rsidDel="00000000" w:rsidR="00000000" w:rsidRPr="00000000">
        <w:rPr>
          <w:rtl w:val="0"/>
        </w:rPr>
        <w:t xml:space="preserve">,” focusing on being a </w:t>
      </w:r>
      <w:r w:rsidDel="00000000" w:rsidR="00000000" w:rsidRPr="00000000">
        <w:rPr>
          <w:i w:val="1"/>
          <w:rtl w:val="0"/>
        </w:rPr>
        <w:t xml:space="preserve">Trusted Global Innovator</w:t>
      </w:r>
      <w:r w:rsidDel="00000000" w:rsidR="00000000" w:rsidRPr="00000000">
        <w:rPr>
          <w:rtl w:val="0"/>
        </w:rPr>
        <w:t xml:space="preserve">. Its strategy centers around two key ideas: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“power to create”</w:t>
      </w:r>
      <w:r w:rsidDel="00000000" w:rsidR="00000000" w:rsidRPr="00000000">
        <w:rPr>
          <w:rtl w:val="0"/>
        </w:rPr>
        <w:t xml:space="preserve"> (enhancing technology and innovation capabilities), and</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“power to connect”</w:t>
      </w:r>
      <w:r w:rsidDel="00000000" w:rsidR="00000000" w:rsidRPr="00000000">
        <w:rPr>
          <w:rtl w:val="0"/>
        </w:rPr>
        <w:t xml:space="preserve"> (leveraging networks, infrastructure, and partnerships).</w:t>
      </w:r>
    </w:p>
    <w:p w:rsidR="00000000" w:rsidDel="00000000" w:rsidP="00000000" w:rsidRDefault="00000000" w:rsidRPr="00000000" w14:paraId="00000013">
      <w:pPr>
        <w:spacing w:after="240" w:before="240" w:lineRule="auto"/>
        <w:rPr/>
      </w:pPr>
      <w:r w:rsidDel="00000000" w:rsidR="00000000" w:rsidRPr="00000000">
        <w:rPr>
          <w:rtl w:val="0"/>
        </w:rPr>
        <w:t xml:space="preserve">The company’s recent priorities include sustainability, cybersecurity, and digital resilience, all aligned with long-term societal value creation.</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