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yklur6or0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❓ Questions and Answers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636.6261417322835"/>
        <w:gridCol w:w="2575.27937007874"/>
        <w:gridCol w:w="4813.606299212599"/>
        <w:tblGridChange w:id="0">
          <w:tblGrid>
            <w:gridCol w:w="1636.6261417322835"/>
            <w:gridCol w:w="2575.27937007874"/>
            <w:gridCol w:w="4813.6062992125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did the first practical electric car appear?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Late 19th century.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was Tesla’s first EV and when launched?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Roadster, 2008.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Range of Tesla Roadster?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 200 miles per charge.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did global EV sales exceed 3 million annually?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2020.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UN goal relates to climate action?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SDG 13 (Climate Action).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Predicted share of EVs in 2035?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60% of new car sales.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did EV popularity change from 1920s to 2000s?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Declined after 1920s, revived with new battery tech and Tesla innovation.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Analytical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are lithium and nickel central issues?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are essential for batteries but raise sustainability and supply concerns.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EV evolution.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19th-century experiments to mass adoption driven by tech and policy shifts toward clean mobility.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Out-of-Scope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is Tesla’s current CEO?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in document.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