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Statistical Analysis Plan (SAP)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Study Title: Mock Phase I Trial on Antihypertensive Drug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Protocol ID: MOCK2025-AHT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Chandra Prakash Joshi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Version: 1.0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 April  2025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Study Overview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Analysis Populations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Endpoints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Statistical Methods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Handling Missing 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ADaM Datasets Used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TLFs Planned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 Software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 Appendix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1. Study Overview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is a single-arm, open-label Phase I study involving 30 healthy adult subjects. The objective is to evaluate the safety and tolerability of a new antihypertensive drug over a 4-week treatment period.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2. Analysis Populations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Safety Population: All subjects who received at least one dose of the study drug.</w:t>
        <w:br w:type="textWrapping"/>
        <w:t xml:space="preserve">- Full Analysis Set (FAS): All enrolled subjects with post-baseline data.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3. Endpoints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Primary Endpoint: Incidence and frequency of adverse events by Preferred term..</w:t>
        <w:br w:type="textWrapping"/>
        <w:t xml:space="preserve">- Secondary Endpoints: Change in systolic and diastolic blood pressure from baseline to Week 4.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4. Statistical Methods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Descriptive statistics will be used to summarize demographic and baseline characteristics.</w:t>
        <w:br w:type="textWrapping"/>
        <w:br w:type="textWrapping"/>
        <w:t xml:space="preserve">- AE : Frequency and percentage of subjects experiencing  AE by Preferred term will be presented.</w:t>
        <w:br w:type="textWrapping"/>
        <w:t xml:space="preserve">- BP Change:Post baseline measurement .</w:t>
        <w:br w:type="textWrapping"/>
        <w:t xml:space="preserve">- Lab Parameters: Summary statistics (mean, SD, min, max, median) will be calculated.</w:t>
        <w:br w:type="textWrapping"/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5. Handling Missing Data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imputation will be done for missing data. The number and percentage of missing values will be reported for each variable and time point.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6. ADaM Datasets Used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ADSL: Subject-level analysis dataset</w:t>
        <w:br w:type="textWrapping"/>
        <w:t xml:space="preserve">- ADAE: Adverse events dataset</w:t>
        <w:br w:type="textWrapping"/>
        <w:t xml:space="preserve">- ADVS: Vital signs dataset</w:t>
        <w:br w:type="textWrapping"/>
        <w:t xml:space="preserve">- ADLB: Laboratory test results dataset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7. TLFs Planned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Tables:</w:t>
        <w:br w:type="textWrapping"/>
        <w:t xml:space="preserve">- Table 1: Adverse Events summary by Preferred term.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Table 2: Descriptive statistics for Single numeric variable. </w:t>
        <w:br w:type="textWrapping"/>
        <w:br w:type="textWrapping"/>
        <w:t xml:space="preserve">Listings:</w:t>
        <w:br w:type="textWrapping"/>
        <w:t xml:space="preserve">- Listing 1: Imputation of Subject level Population flags .</w:t>
        <w:br w:type="textWrapping"/>
        <w:br w:type="textWrapping"/>
        <w:t xml:space="preserve">Figures:</w:t>
        <w:br w:type="textWrapping"/>
        <w:t xml:space="preserve">- Figure 1: Mean BP Over Time (using SGPLOT or ggplot2)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8. Software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All statistical analyses will be performed using SAS Studio or R 4.2.1.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9. Appendix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Sample output shells, mock table formats, CRF annotations, and derivation logic for key variables will be included in the appendix (not shown in this mock version).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Note: This SAP was independently developed as part of a self-driven project to simulate real-world clinical programming and statistical planning aligned with CDISC standards.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4" w:top="864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