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 w:after="40"/>
      </w:pPr>
      <w:r>
        <w:rPr>
          <w:rFonts w:ascii="Aptos" w:hAnsi="Aptos"/>
          <w:b/>
          <w:color w:val="0E8A8A"/>
          <w:sz w:val="18"/>
        </w:rPr>
        <w:t>LEARNEROS</w:t>
      </w:r>
    </w:p>
    <w:p>
      <w:pPr>
        <w:pStyle w:val="Title"/>
      </w:pPr>
      <w:r>
        <w:t>Backend Architecture</w:t>
        <w:br/>
        <w:t>&amp; Operations</w:t>
      </w:r>
    </w:p>
    <w:p>
      <w:pPr>
        <w:spacing w:after="260"/>
      </w:pPr>
      <w:r>
        <w:rPr>
          <w:rFonts w:ascii="Aptos" w:hAnsi="Aptos"/>
          <w:color w:val="627D98"/>
          <w:sz w:val="24"/>
        </w:rPr>
        <w:t>Routing, APIs, persistence, assessment context, insight lifecycle, LLM orchestration, caching, observability, and deployment</w:t>
      </w:r>
    </w:p>
    <w:tbl>
      <w:tblPr>
        <w:tblW w:type="auto" w:w="0"/>
        <w:jc w:val="left"/>
        <w:tblLayout w:type="fixed"/>
        <w:tblLook w:firstColumn="1" w:firstRow="1" w:lastColumn="0" w:lastRow="0" w:noHBand="0" w:noVBand="1" w:val="04A0"/>
      </w:tblPr>
      <w:tblGrid>
        <w:gridCol w:w="4997"/>
        <w:gridCol w:w="4997"/>
      </w:tblGrid>
      <w:tr>
        <w:trPr>
          <w:tblHeader w:val="true"/>
        </w:trPr>
        <w:tc>
          <w:tcPr>
            <w:tcW w:type="dxa" w:w="1944"/>
            <w:tcBorders>
              <w:top w:val="single" w:sz="4" w:color="D9E2EC"/>
              <w:left w:val="single" w:sz="4" w:color="D9E2EC"/>
              <w:bottom w:val="single" w:sz="4" w:color="D9E2EC"/>
              <w:right w:val="single" w:sz="4" w:color="D9E2EC"/>
            </w:tcBorders>
            <w:shd w:fill="F4F7FA"/>
            <w:vAlign w:val="top"/>
            <w:tcMar>
              <w:top w:w="90" w:type="dxa"/>
              <w:start w:w="100" w:type="dxa"/>
              <w:bottom w:w="90" w:type="dxa"/>
              <w:end w:w="100" w:type="dxa"/>
            </w:tcMar>
          </w:tcPr>
          <w:p>
            <w:pPr>
              <w:spacing w:after="0" w:line="252" w:lineRule="auto"/>
            </w:pPr>
            <w:r/>
            <w:r>
              <w:rPr>
                <w:rFonts w:ascii="Aptos" w:hAnsi="Aptos"/>
                <w:b/>
                <w:color w:val="627D98"/>
                <w:sz w:val="15"/>
              </w:rPr>
              <w:t>SYSTEM</w:t>
            </w:r>
          </w:p>
        </w:tc>
        <w:tc>
          <w:tcPr>
            <w:tcW w:type="dxa" w:w="7416"/>
            <w:tcBorders>
              <w:top w:val="single" w:sz="4" w:color="D9E2EC"/>
              <w:left w:val="single" w:sz="4" w:color="D9E2EC"/>
              <w:bottom w:val="single" w:sz="4" w:color="D9E2EC"/>
              <w:right w:val="single" w:sz="4" w:color="D9E2EC"/>
            </w:tcBorders>
            <w:vAlign w:val="top"/>
            <w:tcMar>
              <w:top w:w="90" w:type="dxa"/>
              <w:start w:w="100" w:type="dxa"/>
              <w:bottom w:w="90" w:type="dxa"/>
              <w:end w:w="100" w:type="dxa"/>
            </w:tcMar>
          </w:tcPr>
          <w:p>
            <w:pPr>
              <w:spacing w:after="0" w:line="252" w:lineRule="auto"/>
            </w:pPr>
            <w:r/>
            <w:r>
              <w:rPr>
                <w:rFonts w:ascii="Aptos" w:hAnsi="Aptos"/>
                <w:b w:val="0"/>
                <w:color w:val="243B53"/>
                <w:sz w:val="16"/>
              </w:rPr>
              <w:t>LearnerOS adaptive learning backend</w:t>
            </w:r>
          </w:p>
        </w:tc>
      </w:tr>
      <w:tr>
        <w:tc>
          <w:tcPr>
            <w:tcW w:type="dxa" w:w="1944"/>
            <w:tcBorders>
              <w:top w:val="single" w:sz="4" w:color="D9E2EC"/>
              <w:left w:val="single" w:sz="4" w:color="D9E2EC"/>
              <w:bottom w:val="single" w:sz="4" w:color="D9E2EC"/>
              <w:right w:val="single" w:sz="4" w:color="D9E2EC"/>
            </w:tcBorders>
            <w:shd w:fill="F4F7FA"/>
            <w:vAlign w:val="top"/>
            <w:tcMar>
              <w:top w:w="90" w:type="dxa"/>
              <w:start w:w="100" w:type="dxa"/>
              <w:bottom w:w="90" w:type="dxa"/>
              <w:end w:w="100" w:type="dxa"/>
            </w:tcMar>
          </w:tcPr>
          <w:p>
            <w:pPr>
              <w:spacing w:after="0" w:line="252" w:lineRule="auto"/>
            </w:pPr>
            <w:r/>
            <w:r>
              <w:rPr>
                <w:rFonts w:ascii="Aptos" w:hAnsi="Aptos"/>
                <w:b/>
                <w:color w:val="627D98"/>
                <w:sz w:val="15"/>
              </w:rPr>
              <w:t>REPOSITORY</w:t>
            </w:r>
          </w:p>
        </w:tc>
        <w:tc>
          <w:tcPr>
            <w:tcW w:type="dxa" w:w="7416"/>
            <w:tcBorders>
              <w:top w:val="single" w:sz="4" w:color="D9E2EC"/>
              <w:left w:val="single" w:sz="4" w:color="D9E2EC"/>
              <w:bottom w:val="single" w:sz="4" w:color="D9E2EC"/>
              <w:right w:val="single" w:sz="4" w:color="D9E2EC"/>
            </w:tcBorders>
            <w:vAlign w:val="top"/>
            <w:tcMar>
              <w:top w:w="90" w:type="dxa"/>
              <w:start w:w="100" w:type="dxa"/>
              <w:bottom w:w="90" w:type="dxa"/>
              <w:end w:w="100" w:type="dxa"/>
            </w:tcMar>
          </w:tcPr>
          <w:p>
            <w:pPr>
              <w:spacing w:after="0" w:line="252" w:lineRule="auto"/>
            </w:pPr>
            <w:r/>
            <w:r>
              <w:rPr>
                <w:rFonts w:ascii="Aptos" w:hAnsi="Aptos"/>
                <w:b w:val="0"/>
                <w:color w:val="243B53"/>
                <w:sz w:val="16"/>
              </w:rPr>
              <w:t>/Users/srichandrasamanapalli/code/AI TUTOR/learneros/backend</w:t>
            </w:r>
          </w:p>
        </w:tc>
      </w:tr>
      <w:tr>
        <w:tc>
          <w:tcPr>
            <w:tcW w:type="dxa" w:w="1944"/>
            <w:tcBorders>
              <w:top w:val="single" w:sz="4" w:color="D9E2EC"/>
              <w:left w:val="single" w:sz="4" w:color="D9E2EC"/>
              <w:bottom w:val="single" w:sz="4" w:color="D9E2EC"/>
              <w:right w:val="single" w:sz="4" w:color="D9E2EC"/>
            </w:tcBorders>
            <w:shd w:fill="F4F7FA"/>
            <w:vAlign w:val="top"/>
            <w:tcMar>
              <w:top w:w="90" w:type="dxa"/>
              <w:start w:w="100" w:type="dxa"/>
              <w:bottom w:w="90" w:type="dxa"/>
              <w:end w:w="100" w:type="dxa"/>
            </w:tcMar>
          </w:tcPr>
          <w:p>
            <w:pPr>
              <w:spacing w:after="0" w:line="252" w:lineRule="auto"/>
            </w:pPr>
            <w:r/>
            <w:r>
              <w:rPr>
                <w:rFonts w:ascii="Aptos" w:hAnsi="Aptos"/>
                <w:b/>
                <w:color w:val="627D98"/>
                <w:sz w:val="15"/>
              </w:rPr>
              <w:t>REFERENCE DATE</w:t>
            </w:r>
          </w:p>
        </w:tc>
        <w:tc>
          <w:tcPr>
            <w:tcW w:type="dxa" w:w="7416"/>
            <w:tcBorders>
              <w:top w:val="single" w:sz="4" w:color="D9E2EC"/>
              <w:left w:val="single" w:sz="4" w:color="D9E2EC"/>
              <w:bottom w:val="single" w:sz="4" w:color="D9E2EC"/>
              <w:right w:val="single" w:sz="4" w:color="D9E2EC"/>
            </w:tcBorders>
            <w:vAlign w:val="top"/>
            <w:tcMar>
              <w:top w:w="90" w:type="dxa"/>
              <w:start w:w="100" w:type="dxa"/>
              <w:bottom w:w="90" w:type="dxa"/>
              <w:end w:w="100" w:type="dxa"/>
            </w:tcMar>
          </w:tcPr>
          <w:p>
            <w:pPr>
              <w:spacing w:after="0" w:line="252" w:lineRule="auto"/>
            </w:pPr>
            <w:r/>
            <w:r>
              <w:rPr>
                <w:rFonts w:ascii="Aptos" w:hAnsi="Aptos"/>
                <w:b w:val="0"/>
                <w:color w:val="243B53"/>
                <w:sz w:val="16"/>
              </w:rPr>
              <w:t>2026-08-10</w:t>
            </w:r>
          </w:p>
        </w:tc>
      </w:tr>
      <w:tr>
        <w:tc>
          <w:tcPr>
            <w:tcW w:type="dxa" w:w="1944"/>
            <w:tcBorders>
              <w:top w:val="single" w:sz="4" w:color="D9E2EC"/>
              <w:left w:val="single" w:sz="4" w:color="D9E2EC"/>
              <w:bottom w:val="single" w:sz="4" w:color="D9E2EC"/>
              <w:right w:val="single" w:sz="4" w:color="D9E2EC"/>
            </w:tcBorders>
            <w:shd w:fill="F4F7FA"/>
            <w:vAlign w:val="top"/>
            <w:tcMar>
              <w:top w:w="90" w:type="dxa"/>
              <w:start w:w="100" w:type="dxa"/>
              <w:bottom w:w="90" w:type="dxa"/>
              <w:end w:w="100" w:type="dxa"/>
            </w:tcMar>
          </w:tcPr>
          <w:p>
            <w:pPr>
              <w:spacing w:after="0" w:line="252" w:lineRule="auto"/>
            </w:pPr>
            <w:r/>
            <w:r>
              <w:rPr>
                <w:rFonts w:ascii="Aptos" w:hAnsi="Aptos"/>
                <w:b/>
                <w:color w:val="627D98"/>
                <w:sz w:val="15"/>
              </w:rPr>
              <w:t>STATUS</w:t>
            </w:r>
          </w:p>
        </w:tc>
        <w:tc>
          <w:tcPr>
            <w:tcW w:type="dxa" w:w="7416"/>
            <w:tcBorders>
              <w:top w:val="single" w:sz="4" w:color="D9E2EC"/>
              <w:left w:val="single" w:sz="4" w:color="D9E2EC"/>
              <w:bottom w:val="single" w:sz="4" w:color="D9E2EC"/>
              <w:right w:val="single" w:sz="4" w:color="D9E2EC"/>
            </w:tcBorders>
            <w:vAlign w:val="top"/>
            <w:tcMar>
              <w:top w:w="90" w:type="dxa"/>
              <w:start w:w="100" w:type="dxa"/>
              <w:bottom w:w="90" w:type="dxa"/>
              <w:end w:w="100" w:type="dxa"/>
            </w:tcMar>
          </w:tcPr>
          <w:p>
            <w:pPr>
              <w:spacing w:after="0" w:line="252" w:lineRule="auto"/>
            </w:pPr>
            <w:r>
              <w:t>Code-grounded implementation reference; assessment behavior updated after the subsection/concept-scope changes</w:t>
            </w:r>
          </w:p>
        </w:tc>
      </w:tr>
    </w:tbl>
    <w:tbl>
      <w:tblPr>
        <w:tblW w:type="auto" w:w="0"/>
        <w:jc w:val="left"/>
        <w:tblLayout w:type="fixed"/>
        <w:tblLook w:firstColumn="1" w:firstRow="1" w:lastColumn="0" w:lastRow="0" w:noHBand="0" w:noVBand="1" w:val="04A0"/>
      </w:tblPr>
      <w:tblGrid>
        <w:gridCol w:w="9994"/>
      </w:tblGrid>
      <w:tr>
        <w:trPr>
          <w:tblHeader w:val="true"/>
        </w:trPr>
        <w:tc>
          <w:tcPr>
            <w:tcW w:type="dxa" w:w="9994"/>
            <w:shd w:fill="E6FFFA"/>
            <w:tcBorders>
              <w:top w:val="single" w:sz="8" w:color="8ADBD3"/>
              <w:left w:val="single" w:sz="8" w:color="8ADBD3"/>
              <w:bottom w:val="single" w:sz="8" w:color="8ADBD3"/>
              <w:right w:val="single" w:sz="8" w:color="8ADBD3"/>
            </w:tcBorders>
            <w:tcMar>
              <w:top w:w="150" w:type="dxa"/>
              <w:start w:w="160" w:type="dxa"/>
              <w:bottom w:w="150" w:type="dxa"/>
              <w:end w:w="160" w:type="dxa"/>
            </w:tcMar>
          </w:tcPr>
          <w:p>
            <w:pPr>
              <w:spacing w:after="40"/>
            </w:pPr>
            <w:r>
              <w:rPr>
                <w:b/>
                <w:color w:val="0E8A8A"/>
                <w:sz w:val="19"/>
              </w:rPr>
              <w:t>Reading guide</w:t>
              <w:br/>
            </w:r>
            <w:r>
              <w:rPr>
                <w:b w:val="0"/>
                <w:color w:val="0E8A8A"/>
                <w:sz w:val="19"/>
              </w:rPr>
              <w:t>This document describes the backend currently represented by the source tree. Assessment behavior is grounded in the production router and its focused regression tests. Observability behavior is grounded in the request middleware, OpenTelemetry initializer, LLM service, assessment lifecycle helper, durable assessment records, and their tests. Unrelated evaluation, export, and promotion scripts are outside the behavioral scope of this revision.</w:t>
            </w:r>
          </w:p>
        </w:tc>
      </w:tr>
    </w:tbl>
    <w:p/>
    <w:p>
      <w:pPr>
        <w:pStyle w:val="Heading1"/>
      </w:pPr>
      <w:r>
        <w:t>Contents</w:t>
      </w:r>
    </w:p>
    <w:p>
      <w:pPr>
        <w:pStyle w:val="ListBullet"/>
      </w:pPr>
      <w:r>
        <w:t>1. System role and architecture</w:t>
      </w:r>
    </w:p>
    <w:p>
      <w:pPr>
        <w:pStyle w:val="ListBullet"/>
      </w:pPr>
      <w:r>
        <w:t>2. Runtime request lifecycle</w:t>
      </w:r>
    </w:p>
    <w:p>
      <w:pPr>
        <w:pStyle w:val="ListBullet"/>
      </w:pPr>
      <w:r>
        <w:t>3. Routing and API surface</w:t>
      </w:r>
    </w:p>
    <w:p>
      <w:pPr>
        <w:pStyle w:val="ListBullet"/>
      </w:pPr>
      <w:r>
        <w:t>4. Authentication, authorization, and tenant isolation</w:t>
      </w:r>
    </w:p>
    <w:p>
      <w:pPr>
        <w:pStyle w:val="ListBullet"/>
      </w:pPr>
      <w:r>
        <w:t>5. Neo4j data model and persistence</w:t>
      </w:r>
    </w:p>
    <w:p>
      <w:pPr>
        <w:pStyle w:val="ListBullet"/>
      </w:pPr>
      <w:r>
        <w:t>6. Insight lifecycle and reconciliation</w:t>
      </w:r>
    </w:p>
    <w:p>
      <w:pPr>
        <w:pStyle w:val="ListBullet"/>
      </w:pPr>
      <w:r>
        <w:t>7. LLM orchestration and prompt paths</w:t>
      </w:r>
    </w:p>
    <w:p>
      <w:pPr>
        <w:pStyle w:val="ListBullet"/>
      </w:pPr>
      <w:r>
        <w:t>8. Retry, timeout, and failure semantics</w:t>
      </w:r>
    </w:p>
    <w:p>
      <w:pPr>
        <w:pStyle w:val="ListBullet"/>
      </w:pPr>
      <w:r>
        <w:t>9. Caching and content delivery</w:t>
      </w:r>
    </w:p>
    <w:p>
      <w:pPr>
        <w:pStyle w:val="ListBullet"/>
      </w:pPr>
      <w:r>
        <w:t>10. AI tutor and LangGraph state</w:t>
      </w:r>
    </w:p>
    <w:p>
      <w:pPr>
        <w:pStyle w:val="ListBullet"/>
      </w:pPr>
      <w:r>
        <w:t>11. Teacher analytics and semantic clustering</w:t>
      </w:r>
    </w:p>
    <w:p>
      <w:pPr>
        <w:pStyle w:val="ListBullet"/>
      </w:pPr>
      <w:r>
        <w:t>12. Assessment context, concept fallback, and insight scope</w:t>
      </w:r>
    </w:p>
    <w:p>
      <w:pPr>
        <w:pStyle w:val="ListBullet"/>
      </w:pPr>
      <w:r>
        <w:t>13. Observability and OpenTelemetry</w:t>
      </w:r>
    </w:p>
    <w:p>
      <w:pPr>
        <w:pStyle w:val="ListBullet"/>
      </w:pPr>
      <w:r>
        <w:t>14. Security and privacy controls</w:t>
      </w:r>
    </w:p>
    <w:p>
      <w:pPr>
        <w:pStyle w:val="ListBullet"/>
      </w:pPr>
      <w:r>
        <w:t>15. Configuration and deployment</w:t>
      </w:r>
    </w:p>
    <w:p>
      <w:pPr>
        <w:pStyle w:val="ListBullet"/>
      </w:pPr>
      <w:r>
        <w:t>16. Operational runbook and known gaps</w:t>
      </w:r>
    </w:p>
    <w:p>
      <w:pPr>
        <w:pStyle w:val="Heading1"/>
      </w:pPr>
      <w:r>
        <w:t>1. System Role And Architecture</w:t>
      </w:r>
    </w:p>
    <w:p>
      <w:r>
        <w:t>LearnerOS is an adaptive learning backend. It combines a curriculum knowledge graph with a student-specific evidence layer. The curriculum graph describes grades, subjects, textbooks, chapters, sections, subsections, concepts, prerequisite edges, and related learning paths. The evidence layer records what a particular student appears to understand, misunderstand, or partially understand after assessments and tutoring interactions.</w:t>
      </w:r>
    </w:p>
    <w:p>
      <w:r>
        <w:t>The backend is a FastAPI service backed by Neo4j. LLM calls use OpenAI-compatible clients for Fireworks, Cerebras, and Gemini. Firebase Authentication supplies identity and role claims. OpenTelemetry is optional and exports traces and metrics through OTLP when enabled. The service is deployed as a single Uvicorn process on Fly.io with a health check on port 8000.</w:t>
      </w:r>
    </w:p>
    <w:p>
      <w:pPr>
        <w:pStyle w:val="ListBullet"/>
      </w:pPr>
      <w:r>
        <w:rPr>
          <w:b/>
        </w:rPr>
        <w:t xml:space="preserve">Curriculum graph: </w:t>
      </w:r>
      <w:r>
        <w:t>stable, non-personalized learning structure used for textbook navigation, prerequisite-aware teaching, graph views, and retrieval.</w:t>
      </w:r>
    </w:p>
    <w:p>
      <w:pPr>
        <w:pStyle w:val="ListBullet"/>
      </w:pPr>
      <w:r>
        <w:rPr>
          <w:b/>
        </w:rPr>
        <w:t xml:space="preserve">Student evidence graph: </w:t>
      </w:r>
      <w:r>
        <w:t>student-scoped insights, supersession chains, embeddings, assessment attempts, and tutor conversations.</w:t>
      </w:r>
    </w:p>
    <w:p>
      <w:pPr>
        <w:pStyle w:val="ListBullet"/>
      </w:pPr>
      <w:r>
        <w:rPr>
          <w:b/>
        </w:rPr>
        <w:t xml:space="preserve">Generation layer: </w:t>
      </w:r>
      <w:r>
        <w:rPr>
          <w:b w:val="0"/>
        </w:rPr>
        <w:t>written-question and MCQ generation are target-subsection scoped; evaluation uses the target subsection plus full-section reference context and then creates validated, concept-linked insights.</w:t>
      </w:r>
    </w:p>
    <w:p>
      <w:pPr>
        <w:pStyle w:val="ListBullet"/>
      </w:pPr>
      <w:r>
        <w:rPr>
          <w:b/>
        </w:rPr>
        <w:t xml:space="preserve">Analytics layer: </w:t>
      </w:r>
      <w:r>
        <w:t>risk scoring, institute-scoped teacher dashboards, active insight summaries, and semantic student clusters.</w:t>
      </w:r>
    </w:p>
    <w:p>
      <w:pPr>
        <w:spacing w:after="40"/>
      </w:pPr>
      <w:r>
        <w:rPr>
          <w:b/>
          <w:color w:val="627D98"/>
          <w:sz w:val="16"/>
        </w:rPr>
        <w:t>Runtime topology</w:t>
      </w:r>
    </w:p>
    <w:tbl>
      <w:tblPr>
        <w:tblW w:type="auto" w:w="0"/>
        <w:jc w:val="left"/>
        <w:tblLayout w:type="fixed"/>
        <w:tblLook w:firstColumn="1" w:firstRow="1" w:lastColumn="0" w:lastRow="0" w:noHBand="0" w:noVBand="1" w:val="04A0"/>
      </w:tblPr>
      <w:tblGrid>
        <w:gridCol w:w="9994"/>
      </w:tblGrid>
      <w:tr>
        <w:trPr>
          <w:tblHeader w:val="true"/>
        </w:trPr>
        <w:tc>
          <w:tcPr>
            <w:tcW w:type="dxa" w:w="9994"/>
            <w:shd w:fill="F0F4F8"/>
            <w:tcBorders>
              <w:top w:val="single" w:sz="4" w:color="D9E2EC"/>
              <w:left w:val="single" w:sz="4" w:color="D9E2EC"/>
              <w:bottom w:val="single" w:sz="4" w:color="D9E2EC"/>
              <w:right w:val="single" w:sz="4" w:color="D9E2EC"/>
            </w:tcBorders>
            <w:tcMar>
              <w:top w:w="110" w:type="dxa"/>
              <w:start w:w="130" w:type="dxa"/>
              <w:bottom w:w="110" w:type="dxa"/>
              <w:end w:w="130" w:type="dxa"/>
            </w:tcMar>
          </w:tcPr>
          <w:p>
            <w:pPr>
              <w:spacing w:after="0" w:line="240" w:lineRule="auto"/>
            </w:pPr>
            <w:r/>
            <w:r>
              <w:rPr>
                <w:rFonts w:ascii="Consolas" w:hAnsi="Consolas"/>
                <w:color w:val="243B53"/>
                <w:sz w:val="15"/>
              </w:rPr>
              <w:t>FastAPI -&gt; routers -&gt; services -&gt; Neo4j / LLM providers / OTLP</w:t>
            </w:r>
          </w:p>
          <w:p>
            <w:pPr>
              <w:spacing w:after="0" w:line="240" w:lineRule="auto"/>
            </w:pPr>
            <w:r>
              <w:rPr>
                <w:rFonts w:ascii="Consolas" w:hAnsi="Consolas"/>
                <w:color w:val="243B53"/>
                <w:sz w:val="15"/>
              </w:rPr>
              <w:t xml:space="preserve">                   |</w:t>
            </w:r>
          </w:p>
          <w:p>
            <w:pPr>
              <w:spacing w:after="0" w:line="240" w:lineRule="auto"/>
            </w:pPr>
            <w:r>
              <w:rPr>
                <w:rFonts w:ascii="Consolas" w:hAnsi="Consolas"/>
                <w:color w:val="243B53"/>
                <w:sz w:val="15"/>
              </w:rPr>
              <w:t xml:space="preserve">                   +-&gt; R2/public asset redirects for animations and chapter covers</w:t>
            </w:r>
          </w:p>
        </w:tc>
      </w:tr>
    </w:tbl>
    <w:p>
      <w:pPr>
        <w:pStyle w:val="Heading1"/>
      </w:pPr>
      <w:r>
        <w:t>2. Runtime Request Lifecycle</w:t>
      </w:r>
    </w:p>
    <w:p>
      <w:r>
        <w:t>Every request enters through the FastAPI application in backend/app/main.py. Middleware establishes or propagates an X-Request-ID, emits structured request-start and request-complete events, and records total latency. Unhandled exceptions are logged with a bounded message and traceback and are converted into a generic 500 response by FastAPI.</w:t>
      </w:r>
    </w:p>
    <w:p>
      <w:pPr>
        <w:pStyle w:val="ListBullet"/>
      </w:pPr>
      <w:r>
        <w:t>Request ID: accepts a safe caller-provided value matching [A-Za-z0-9_-]{8,128}; otherwise generates a UUID-derived ID.</w:t>
      </w:r>
    </w:p>
    <w:p>
      <w:pPr>
        <w:pStyle w:val="ListBullet"/>
      </w:pPr>
      <w:r>
        <w:t>CORS: configured from FRONTEND_URL and CORS_ORIGINS, with localhost development origins included. Authorization, content type, accept, and origin headers are allowed; X-Request-ID is exposed.</w:t>
      </w:r>
    </w:p>
    <w:p>
      <w:pPr>
        <w:pStyle w:val="ListBullet"/>
      </w:pPr>
      <w:r>
        <w:t>Telemetry: configure_telemetry(app) runs at import time. If OTEL_ENABLED is false, the instrumentation path is a no-op.</w:t>
      </w:r>
    </w:p>
    <w:p>
      <w:pPr>
        <w:pStyle w:val="ListBullet"/>
      </w:pPr>
      <w:r>
        <w:t>Database: the Neo4j driver is lazy and shared as a singleton. Startup does not require a successful database query, so a later request can be the first connection attempt.</w:t>
      </w:r>
    </w:p>
    <w:p>
      <w:pPr>
        <w:pStyle w:val="ListBullet"/>
      </w:pPr>
      <w:r>
        <w:t>Shutdown: closes the Neo4j driver and flushes OpenTelemetry providers.</w:t>
      </w:r>
    </w:p>
    <w:tbl>
      <w:tblPr>
        <w:tblW w:type="auto" w:w="0"/>
        <w:jc w:val="left"/>
        <w:tblLayout w:type="fixed"/>
        <w:tblLook w:firstColumn="1" w:firstRow="1" w:lastColumn="0" w:lastRow="0" w:noHBand="0" w:noVBand="1" w:val="04A0"/>
      </w:tblPr>
      <w:tblGrid>
        <w:gridCol w:w="3331"/>
        <w:gridCol w:w="3331"/>
        <w:gridCol w:w="3331"/>
      </w:tblGrid>
      <w:tr>
        <w:trPr>
          <w:tblHeader w:val="true"/>
        </w:trPr>
        <w:tc>
          <w:tcPr>
            <w:tcW w:type="dxa" w:w="1512"/>
            <w:shd w:fill="102A43"/>
            <w:tcBorders>
              <w:top w:val="single" w:sz="4" w:color="102A43"/>
              <w:left w:val="single" w:sz="4" w:color="102A43"/>
              <w:bottom w:val="single" w:sz="4" w:color="102A43"/>
              <w:right w:val="single" w:sz="4" w:color="102A43"/>
            </w:tcBorders>
            <w:vAlign w:val="top"/>
            <w:tcMar>
              <w:top w:w="90" w:type="dxa"/>
              <w:start w:w="100" w:type="dxa"/>
              <w:bottom w:w="90" w:type="dxa"/>
              <w:end w:w="100" w:type="dxa"/>
            </w:tcMar>
          </w:tcPr>
          <w:p>
            <w:pPr>
              <w:spacing w:after="0" w:line="252" w:lineRule="auto"/>
            </w:pPr>
            <w:r/>
            <w:r>
              <w:rPr>
                <w:rFonts w:ascii="Aptos" w:hAnsi="Aptos"/>
                <w:b/>
                <w:color w:val="FFFFFF"/>
                <w:sz w:val="14"/>
              </w:rPr>
              <w:t>STAGE</w:t>
            </w:r>
          </w:p>
        </w:tc>
        <w:tc>
          <w:tcPr>
            <w:tcW w:type="dxa" w:w="4031"/>
            <w:shd w:fill="102A43"/>
            <w:tcBorders>
              <w:top w:val="single" w:sz="4" w:color="102A43"/>
              <w:left w:val="single" w:sz="4" w:color="102A43"/>
              <w:bottom w:val="single" w:sz="4" w:color="102A43"/>
              <w:right w:val="single" w:sz="4" w:color="102A43"/>
            </w:tcBorders>
            <w:vAlign w:val="top"/>
            <w:tcMar>
              <w:top w:w="90" w:type="dxa"/>
              <w:start w:w="100" w:type="dxa"/>
              <w:bottom w:w="90" w:type="dxa"/>
              <w:end w:w="100" w:type="dxa"/>
            </w:tcMar>
          </w:tcPr>
          <w:p>
            <w:pPr>
              <w:spacing w:after="0" w:line="252" w:lineRule="auto"/>
            </w:pPr>
            <w:r/>
            <w:r>
              <w:rPr>
                <w:rFonts w:ascii="Aptos" w:hAnsi="Aptos"/>
                <w:b/>
                <w:color w:val="FFFFFF"/>
                <w:sz w:val="14"/>
              </w:rPr>
              <w:t>WHAT HAPPENS</w:t>
            </w:r>
          </w:p>
        </w:tc>
        <w:tc>
          <w:tcPr>
            <w:tcW w:type="dxa" w:w="3816"/>
            <w:shd w:fill="102A43"/>
            <w:tcBorders>
              <w:top w:val="single" w:sz="4" w:color="102A43"/>
              <w:left w:val="single" w:sz="4" w:color="102A43"/>
              <w:bottom w:val="single" w:sz="4" w:color="102A43"/>
              <w:right w:val="single" w:sz="4" w:color="102A43"/>
            </w:tcBorders>
            <w:vAlign w:val="top"/>
            <w:tcMar>
              <w:top w:w="90" w:type="dxa"/>
              <w:start w:w="100" w:type="dxa"/>
              <w:bottom w:w="90" w:type="dxa"/>
              <w:end w:w="100" w:type="dxa"/>
            </w:tcMar>
          </w:tcPr>
          <w:p>
            <w:pPr>
              <w:spacing w:after="0" w:line="252" w:lineRule="auto"/>
            </w:pPr>
            <w:r/>
            <w:r>
              <w:rPr>
                <w:rFonts w:ascii="Aptos" w:hAnsi="Aptos"/>
                <w:b/>
                <w:color w:val="FFFFFF"/>
                <w:sz w:val="14"/>
              </w:rPr>
              <w:t>FAILURE BEHAVIOR</w:t>
            </w:r>
          </w:p>
        </w:tc>
      </w:tr>
      <w:tr>
        <w:tc>
          <w:tcPr>
            <w:tcW w:type="dxa" w:w="1512"/>
            <w:shd w:fill="FFFFFF"/>
            <w:tcBorders>
              <w:top w:val="single" w:sz="3" w:color="D9E2EC"/>
              <w:left w:val="single" w:sz="3" w:color="D9E2EC"/>
              <w:bottom w:val="single" w:sz="3" w:color="D9E2EC"/>
              <w:right w:val="single" w:sz="3" w:color="D9E2EC"/>
            </w:tcBorders>
            <w:vAlign w:val="top"/>
            <w:tcMar>
              <w:top w:w="90" w:type="dxa"/>
              <w:start w:w="100" w:type="dxa"/>
              <w:bottom w:w="90" w:type="dxa"/>
              <w:end w:w="100" w:type="dxa"/>
            </w:tcMar>
          </w:tcPr>
          <w:p>
            <w:pPr>
              <w:spacing w:after="0" w:line="252" w:lineRule="auto"/>
            </w:pPr>
            <w:r/>
            <w:r>
              <w:rPr>
                <w:rFonts w:ascii="Aptos" w:hAnsi="Aptos"/>
                <w:b w:val="0"/>
                <w:color w:val="243B53"/>
                <w:sz w:val="15"/>
              </w:rPr>
              <w:t>HTTP entry</w:t>
            </w:r>
          </w:p>
        </w:tc>
        <w:tc>
          <w:tcPr>
            <w:tcW w:type="dxa" w:w="4031"/>
            <w:shd w:fill="FFFFFF"/>
            <w:tcBorders>
              <w:top w:val="single" w:sz="3" w:color="D9E2EC"/>
              <w:left w:val="single" w:sz="3" w:color="D9E2EC"/>
              <w:bottom w:val="single" w:sz="3" w:color="D9E2EC"/>
              <w:right w:val="single" w:sz="3" w:color="D9E2EC"/>
            </w:tcBorders>
            <w:vAlign w:val="top"/>
            <w:tcMar>
              <w:top w:w="90" w:type="dxa"/>
              <w:start w:w="100" w:type="dxa"/>
              <w:bottom w:w="90" w:type="dxa"/>
              <w:end w:w="100" w:type="dxa"/>
            </w:tcMar>
          </w:tcPr>
          <w:p>
            <w:pPr>
              <w:spacing w:after="0" w:line="252" w:lineRule="auto"/>
            </w:pPr>
            <w:r/>
            <w:r>
              <w:rPr>
                <w:rFonts w:ascii="Aptos" w:hAnsi="Aptos"/>
                <w:b w:val="0"/>
                <w:color w:val="243B53"/>
                <w:sz w:val="15"/>
              </w:rPr>
              <w:t>CORS, request ID, structured start event</w:t>
            </w:r>
          </w:p>
        </w:tc>
        <w:tc>
          <w:tcPr>
            <w:tcW w:type="dxa" w:w="3816"/>
            <w:shd w:fill="FFFFFF"/>
            <w:tcBorders>
              <w:top w:val="single" w:sz="3" w:color="D9E2EC"/>
              <w:left w:val="single" w:sz="3" w:color="D9E2EC"/>
              <w:bottom w:val="single" w:sz="3" w:color="D9E2EC"/>
              <w:right w:val="single" w:sz="3" w:color="D9E2EC"/>
            </w:tcBorders>
            <w:vAlign w:val="top"/>
            <w:tcMar>
              <w:top w:w="90" w:type="dxa"/>
              <w:start w:w="100" w:type="dxa"/>
              <w:bottom w:w="90" w:type="dxa"/>
              <w:end w:w="100" w:type="dxa"/>
            </w:tcMar>
          </w:tcPr>
          <w:p>
            <w:pPr>
              <w:spacing w:after="0" w:line="252" w:lineRule="auto"/>
            </w:pPr>
            <w:r/>
            <w:r>
              <w:rPr>
                <w:rFonts w:ascii="Aptos" w:hAnsi="Aptos"/>
                <w:b w:val="0"/>
                <w:color w:val="243B53"/>
                <w:sz w:val="15"/>
              </w:rPr>
              <w:t>CORS rejection occurs before application logic; request ID remains available for logs</w:t>
            </w:r>
          </w:p>
        </w:tc>
      </w:tr>
      <w:tr>
        <w:tc>
          <w:tcPr>
            <w:tcW w:type="dxa" w:w="1512"/>
            <w:shd w:fill="F4F7FA"/>
            <w:tcBorders>
              <w:top w:val="single" w:sz="3" w:color="D9E2EC"/>
              <w:left w:val="single" w:sz="3" w:color="D9E2EC"/>
              <w:bottom w:val="single" w:sz="3" w:color="D9E2EC"/>
              <w:right w:val="single" w:sz="3" w:color="D9E2EC"/>
            </w:tcBorders>
            <w:vAlign w:val="top"/>
            <w:tcMar>
              <w:top w:w="90" w:type="dxa"/>
              <w:start w:w="100" w:type="dxa"/>
              <w:bottom w:w="90" w:type="dxa"/>
              <w:end w:w="100" w:type="dxa"/>
            </w:tcMar>
          </w:tcPr>
          <w:p>
            <w:pPr>
              <w:spacing w:after="0" w:line="252" w:lineRule="auto"/>
            </w:pPr>
            <w:r/>
            <w:r>
              <w:rPr>
                <w:rFonts w:ascii="Aptos" w:hAnsi="Aptos"/>
                <w:b w:val="0"/>
                <w:color w:val="243B53"/>
                <w:sz w:val="15"/>
              </w:rPr>
              <w:t>Auth dependency</w:t>
            </w:r>
          </w:p>
        </w:tc>
        <w:tc>
          <w:tcPr>
            <w:tcW w:type="dxa" w:w="4031"/>
            <w:shd w:fill="F4F7FA"/>
            <w:tcBorders>
              <w:top w:val="single" w:sz="3" w:color="D9E2EC"/>
              <w:left w:val="single" w:sz="3" w:color="D9E2EC"/>
              <w:bottom w:val="single" w:sz="3" w:color="D9E2EC"/>
              <w:right w:val="single" w:sz="3" w:color="D9E2EC"/>
            </w:tcBorders>
            <w:vAlign w:val="top"/>
            <w:tcMar>
              <w:top w:w="90" w:type="dxa"/>
              <w:start w:w="100" w:type="dxa"/>
              <w:bottom w:w="90" w:type="dxa"/>
              <w:end w:w="100" w:type="dxa"/>
            </w:tcMar>
          </w:tcPr>
          <w:p>
            <w:pPr>
              <w:spacing w:after="0" w:line="252" w:lineRule="auto"/>
            </w:pPr>
            <w:r/>
            <w:r>
              <w:rPr>
                <w:rFonts w:ascii="Aptos" w:hAnsi="Aptos"/>
                <w:b w:val="0"/>
                <w:color w:val="243B53"/>
                <w:sz w:val="15"/>
              </w:rPr>
              <w:t>Firebase bearer token verification and role/institute checks</w:t>
            </w:r>
          </w:p>
        </w:tc>
        <w:tc>
          <w:tcPr>
            <w:tcW w:type="dxa" w:w="3816"/>
            <w:shd w:fill="F4F7FA"/>
            <w:tcBorders>
              <w:top w:val="single" w:sz="3" w:color="D9E2EC"/>
              <w:left w:val="single" w:sz="3" w:color="D9E2EC"/>
              <w:bottom w:val="single" w:sz="3" w:color="D9E2EC"/>
              <w:right w:val="single" w:sz="3" w:color="D9E2EC"/>
            </w:tcBorders>
            <w:vAlign w:val="top"/>
            <w:tcMar>
              <w:top w:w="90" w:type="dxa"/>
              <w:start w:w="100" w:type="dxa"/>
              <w:bottom w:w="90" w:type="dxa"/>
              <w:end w:w="100" w:type="dxa"/>
            </w:tcMar>
          </w:tcPr>
          <w:p>
            <w:pPr>
              <w:spacing w:after="0" w:line="252" w:lineRule="auto"/>
            </w:pPr>
            <w:r/>
            <w:r>
              <w:rPr>
                <w:rFonts w:ascii="Aptos" w:hAnsi="Aptos"/>
                <w:b w:val="0"/>
                <w:color w:val="243B53"/>
                <w:sz w:val="15"/>
              </w:rPr>
              <w:t>401 for missing/invalid token; 403 for insufficient role or missing institute claim</w:t>
            </w:r>
          </w:p>
        </w:tc>
      </w:tr>
      <w:tr>
        <w:tc>
          <w:tcPr>
            <w:tcW w:type="dxa" w:w="1512"/>
            <w:shd w:fill="FFFFFF"/>
            <w:tcBorders>
              <w:top w:val="single" w:sz="3" w:color="D9E2EC"/>
              <w:left w:val="single" w:sz="3" w:color="D9E2EC"/>
              <w:bottom w:val="single" w:sz="3" w:color="D9E2EC"/>
              <w:right w:val="single" w:sz="3" w:color="D9E2EC"/>
            </w:tcBorders>
            <w:vAlign w:val="top"/>
            <w:tcMar>
              <w:top w:w="90" w:type="dxa"/>
              <w:start w:w="100" w:type="dxa"/>
              <w:bottom w:w="90" w:type="dxa"/>
              <w:end w:w="100" w:type="dxa"/>
            </w:tcMar>
          </w:tcPr>
          <w:p>
            <w:pPr>
              <w:spacing w:after="0" w:line="252" w:lineRule="auto"/>
            </w:pPr>
            <w:r/>
            <w:r>
              <w:rPr>
                <w:rFonts w:ascii="Aptos" w:hAnsi="Aptos"/>
                <w:b w:val="0"/>
                <w:color w:val="243B53"/>
                <w:sz w:val="15"/>
              </w:rPr>
              <w:t>Context load</w:t>
            </w:r>
          </w:p>
        </w:tc>
        <w:tc>
          <w:tcPr>
            <w:tcW w:type="dxa" w:w="4031"/>
            <w:shd w:fill="FFFFFF"/>
            <w:tcBorders>
              <w:top w:val="single" w:sz="3" w:color="D9E2EC"/>
              <w:left w:val="single" w:sz="3" w:color="D9E2EC"/>
              <w:bottom w:val="single" w:sz="3" w:color="D9E2EC"/>
              <w:right w:val="single" w:sz="3" w:color="D9E2EC"/>
            </w:tcBorders>
            <w:vAlign w:val="top"/>
            <w:tcMar>
              <w:top w:w="90" w:type="dxa"/>
              <w:start w:w="100" w:type="dxa"/>
              <w:bottom w:w="90" w:type="dxa"/>
              <w:end w:w="100" w:type="dxa"/>
            </w:tcMar>
          </w:tcPr>
          <w:p>
            <w:pPr>
              <w:spacing w:after="0" w:line="252" w:lineRule="auto"/>
            </w:pPr>
            <w:r>
              <w:t>Neo4j read of section/subsection content plus direct-section or chapter-fallback concept candidates</w:t>
            </w:r>
          </w:p>
        </w:tc>
        <w:tc>
          <w:tcPr>
            <w:tcW w:type="dxa" w:w="3816"/>
            <w:shd w:fill="FFFFFF"/>
            <w:tcBorders>
              <w:top w:val="single" w:sz="3" w:color="D9E2EC"/>
              <w:left w:val="single" w:sz="3" w:color="D9E2EC"/>
              <w:bottom w:val="single" w:sz="3" w:color="D9E2EC"/>
              <w:right w:val="single" w:sz="3" w:color="D9E2EC"/>
            </w:tcBorders>
            <w:vAlign w:val="top"/>
            <w:tcMar>
              <w:top w:w="90" w:type="dxa"/>
              <w:start w:w="100" w:type="dxa"/>
              <w:bottom w:w="90" w:type="dxa"/>
              <w:end w:w="100" w:type="dxa"/>
            </w:tcMar>
          </w:tcPr>
          <w:p>
            <w:pPr>
              <w:spacing w:after="0" w:line="252" w:lineRule="auto"/>
            </w:pPr>
            <w:r>
              <w:t>Missing section content returns 404; a subsection outside the section returns 400; zero valid concept candidates is allowed</w:t>
            </w:r>
          </w:p>
        </w:tc>
      </w:tr>
      <w:tr>
        <w:tc>
          <w:tcPr>
            <w:tcW w:type="dxa" w:w="1512"/>
            <w:shd w:fill="F4F7FA"/>
            <w:tcBorders>
              <w:top w:val="single" w:sz="3" w:color="D9E2EC"/>
              <w:left w:val="single" w:sz="3" w:color="D9E2EC"/>
              <w:bottom w:val="single" w:sz="3" w:color="D9E2EC"/>
              <w:right w:val="single" w:sz="3" w:color="D9E2EC"/>
            </w:tcBorders>
            <w:vAlign w:val="top"/>
            <w:tcMar>
              <w:top w:w="90" w:type="dxa"/>
              <w:start w:w="100" w:type="dxa"/>
              <w:bottom w:w="90" w:type="dxa"/>
              <w:end w:w="100" w:type="dxa"/>
            </w:tcMar>
          </w:tcPr>
          <w:p>
            <w:pPr>
              <w:spacing w:after="0" w:line="252" w:lineRule="auto"/>
            </w:pPr>
            <w:r/>
            <w:r>
              <w:rPr>
                <w:rFonts w:ascii="Aptos" w:hAnsi="Aptos"/>
                <w:b w:val="0"/>
                <w:color w:val="243B53"/>
                <w:sz w:val="15"/>
              </w:rPr>
              <w:t>LLM stage</w:t>
            </w:r>
          </w:p>
        </w:tc>
        <w:tc>
          <w:tcPr>
            <w:tcW w:type="dxa" w:w="4031"/>
            <w:shd w:fill="F4F7FA"/>
            <w:tcBorders>
              <w:top w:val="single" w:sz="3" w:color="D9E2EC"/>
              <w:left w:val="single" w:sz="3" w:color="D9E2EC"/>
              <w:bottom w:val="single" w:sz="3" w:color="D9E2EC"/>
              <w:right w:val="single" w:sz="3" w:color="D9E2EC"/>
            </w:tcBorders>
            <w:vAlign w:val="top"/>
            <w:tcMar>
              <w:top w:w="90" w:type="dxa"/>
              <w:start w:w="100" w:type="dxa"/>
              <w:bottom w:w="90" w:type="dxa"/>
              <w:end w:w="100" w:type="dxa"/>
            </w:tcMar>
          </w:tcPr>
          <w:p>
            <w:pPr>
              <w:spacing w:after="0" w:line="252" w:lineRule="auto"/>
            </w:pPr>
            <w:r/>
            <w:r>
              <w:rPr>
                <w:rFonts w:ascii="Aptos" w:hAnsi="Aptos"/>
                <w:b w:val="0"/>
                <w:color w:val="243B53"/>
                <w:sz w:val="15"/>
              </w:rPr>
              <w:t>OpenAI-compatible provider request and schema parsing</w:t>
            </w:r>
          </w:p>
        </w:tc>
        <w:tc>
          <w:tcPr>
            <w:tcW w:type="dxa" w:w="3816"/>
            <w:shd w:fill="F4F7FA"/>
            <w:tcBorders>
              <w:top w:val="single" w:sz="3" w:color="D9E2EC"/>
              <w:left w:val="single" w:sz="3" w:color="D9E2EC"/>
              <w:bottom w:val="single" w:sz="3" w:color="D9E2EC"/>
              <w:right w:val="single" w:sz="3" w:color="D9E2EC"/>
            </w:tcBorders>
            <w:vAlign w:val="top"/>
            <w:tcMar>
              <w:top w:w="90" w:type="dxa"/>
              <w:start w:w="100" w:type="dxa"/>
              <w:bottom w:w="90" w:type="dxa"/>
              <w:end w:w="100" w:type="dxa"/>
            </w:tcMar>
          </w:tcPr>
          <w:p>
            <w:pPr>
              <w:spacing w:after="0" w:line="252" w:lineRule="auto"/>
            </w:pPr>
            <w:r/>
            <w:r>
              <w:rPr>
                <w:rFonts w:ascii="Aptos" w:hAnsi="Aptos"/>
                <w:b w:val="0"/>
                <w:color w:val="243B53"/>
                <w:sz w:val="15"/>
              </w:rPr>
              <w:t>Configured retries; provider fallback only where the operation supplies fallback targets</w:t>
            </w:r>
          </w:p>
        </w:tc>
      </w:tr>
      <w:tr>
        <w:tc>
          <w:tcPr>
            <w:tcW w:type="dxa" w:w="1512"/>
            <w:shd w:fill="FFFFFF"/>
            <w:tcBorders>
              <w:top w:val="single" w:sz="3" w:color="D9E2EC"/>
              <w:left w:val="single" w:sz="3" w:color="D9E2EC"/>
              <w:bottom w:val="single" w:sz="3" w:color="D9E2EC"/>
              <w:right w:val="single" w:sz="3" w:color="D9E2EC"/>
            </w:tcBorders>
            <w:vAlign w:val="top"/>
            <w:tcMar>
              <w:top w:w="90" w:type="dxa"/>
              <w:start w:w="100" w:type="dxa"/>
              <w:bottom w:w="90" w:type="dxa"/>
              <w:end w:w="100" w:type="dxa"/>
            </w:tcMar>
          </w:tcPr>
          <w:p>
            <w:pPr>
              <w:spacing w:after="0" w:line="252" w:lineRule="auto"/>
            </w:pPr>
            <w:r/>
            <w:r>
              <w:rPr>
                <w:rFonts w:ascii="Aptos" w:hAnsi="Aptos"/>
                <w:b w:val="0"/>
                <w:color w:val="243B53"/>
                <w:sz w:val="15"/>
              </w:rPr>
              <w:t>Persistence</w:t>
            </w:r>
          </w:p>
        </w:tc>
        <w:tc>
          <w:tcPr>
            <w:tcW w:type="dxa" w:w="4031"/>
            <w:shd w:fill="FFFFFF"/>
            <w:tcBorders>
              <w:top w:val="single" w:sz="3" w:color="D9E2EC"/>
              <w:left w:val="single" w:sz="3" w:color="D9E2EC"/>
              <w:bottom w:val="single" w:sz="3" w:color="D9E2EC"/>
              <w:right w:val="single" w:sz="3" w:color="D9E2EC"/>
            </w:tcBorders>
            <w:vAlign w:val="top"/>
            <w:tcMar>
              <w:top w:w="90" w:type="dxa"/>
              <w:start w:w="100" w:type="dxa"/>
              <w:bottom w:w="90" w:type="dxa"/>
              <w:end w:w="100" w:type="dxa"/>
            </w:tcMar>
          </w:tcPr>
          <w:p>
            <w:pPr>
              <w:spacing w:after="0" w:line="252" w:lineRule="auto"/>
            </w:pPr>
            <w:r/>
            <w:r>
              <w:rPr>
                <w:rFonts w:ascii="Aptos" w:hAnsi="Aptos"/>
                <w:b w:val="0"/>
                <w:color w:val="243B53"/>
                <w:sz w:val="15"/>
              </w:rPr>
              <w:t>Neo4j writes for attempts, insights, conversations, embeddings, and clusters</w:t>
            </w:r>
          </w:p>
        </w:tc>
        <w:tc>
          <w:tcPr>
            <w:tcW w:type="dxa" w:w="3816"/>
            <w:shd w:fill="FFFFFF"/>
            <w:tcBorders>
              <w:top w:val="single" w:sz="3" w:color="D9E2EC"/>
              <w:left w:val="single" w:sz="3" w:color="D9E2EC"/>
              <w:bottom w:val="single" w:sz="3" w:color="D9E2EC"/>
              <w:right w:val="single" w:sz="3" w:color="D9E2EC"/>
            </w:tcBorders>
            <w:vAlign w:val="top"/>
            <w:tcMar>
              <w:top w:w="90" w:type="dxa"/>
              <w:start w:w="100" w:type="dxa"/>
              <w:bottom w:w="90" w:type="dxa"/>
              <w:end w:w="100" w:type="dxa"/>
            </w:tcMar>
          </w:tcPr>
          <w:p>
            <w:pPr>
              <w:spacing w:after="0" w:line="252" w:lineRule="auto"/>
            </w:pPr>
            <w:r/>
            <w:r>
              <w:rPr>
                <w:rFonts w:ascii="Aptos" w:hAnsi="Aptos"/>
                <w:b w:val="0"/>
                <w:color w:val="243B53"/>
                <w:sz w:val="15"/>
              </w:rPr>
              <w:t>Assessment persistence is designed to be non-fatal to learner-facing evaluation; failures are recorded in telemetry</w:t>
            </w:r>
          </w:p>
        </w:tc>
      </w:tr>
      <w:tr>
        <w:tc>
          <w:tcPr>
            <w:tcW w:type="dxa" w:w="1512"/>
            <w:shd w:fill="F4F7FA"/>
            <w:tcBorders>
              <w:top w:val="single" w:sz="3" w:color="D9E2EC"/>
              <w:left w:val="single" w:sz="3" w:color="D9E2EC"/>
              <w:bottom w:val="single" w:sz="3" w:color="D9E2EC"/>
              <w:right w:val="single" w:sz="3" w:color="D9E2EC"/>
            </w:tcBorders>
            <w:vAlign w:val="top"/>
            <w:tcMar>
              <w:top w:w="90" w:type="dxa"/>
              <w:start w:w="100" w:type="dxa"/>
              <w:bottom w:w="90" w:type="dxa"/>
              <w:end w:w="100" w:type="dxa"/>
            </w:tcMar>
          </w:tcPr>
          <w:p>
            <w:pPr>
              <w:spacing w:after="0" w:line="252" w:lineRule="auto"/>
            </w:pPr>
            <w:r/>
            <w:r>
              <w:rPr>
                <w:rFonts w:ascii="Aptos" w:hAnsi="Aptos"/>
                <w:b w:val="0"/>
                <w:color w:val="243B53"/>
                <w:sz w:val="15"/>
              </w:rPr>
              <w:t>Response</w:t>
            </w:r>
          </w:p>
        </w:tc>
        <w:tc>
          <w:tcPr>
            <w:tcW w:type="dxa" w:w="4031"/>
            <w:shd w:fill="F4F7FA"/>
            <w:tcBorders>
              <w:top w:val="single" w:sz="3" w:color="D9E2EC"/>
              <w:left w:val="single" w:sz="3" w:color="D9E2EC"/>
              <w:bottom w:val="single" w:sz="3" w:color="D9E2EC"/>
              <w:right w:val="single" w:sz="3" w:color="D9E2EC"/>
            </w:tcBorders>
            <w:vAlign w:val="top"/>
            <w:tcMar>
              <w:top w:w="90" w:type="dxa"/>
              <w:start w:w="100" w:type="dxa"/>
              <w:bottom w:w="90" w:type="dxa"/>
              <w:end w:w="100" w:type="dxa"/>
            </w:tcMar>
          </w:tcPr>
          <w:p>
            <w:pPr>
              <w:spacing w:after="0" w:line="252" w:lineRule="auto"/>
            </w:pPr>
            <w:r/>
            <w:r>
              <w:rPr>
                <w:rFonts w:ascii="Aptos" w:hAnsi="Aptos"/>
                <w:b w:val="0"/>
                <w:color w:val="243B53"/>
                <w:sz w:val="15"/>
              </w:rPr>
              <w:t>JSON payload plus cache and request headers where applicable</w:t>
            </w:r>
          </w:p>
        </w:tc>
        <w:tc>
          <w:tcPr>
            <w:tcW w:type="dxa" w:w="3816"/>
            <w:shd w:fill="F4F7FA"/>
            <w:tcBorders>
              <w:top w:val="single" w:sz="3" w:color="D9E2EC"/>
              <w:left w:val="single" w:sz="3" w:color="D9E2EC"/>
              <w:bottom w:val="single" w:sz="3" w:color="D9E2EC"/>
              <w:right w:val="single" w:sz="3" w:color="D9E2EC"/>
            </w:tcBorders>
            <w:vAlign w:val="top"/>
            <w:tcMar>
              <w:top w:w="90" w:type="dxa"/>
              <w:start w:w="100" w:type="dxa"/>
              <w:bottom w:w="90" w:type="dxa"/>
              <w:end w:w="100" w:type="dxa"/>
            </w:tcMar>
          </w:tcPr>
          <w:p>
            <w:pPr>
              <w:spacing w:after="0" w:line="252" w:lineRule="auto"/>
            </w:pPr>
            <w:r/>
            <w:r>
              <w:rPr>
                <w:rFonts w:ascii="Aptos" w:hAnsi="Aptos"/>
                <w:b w:val="0"/>
                <w:color w:val="243B53"/>
                <w:sz w:val="15"/>
              </w:rPr>
              <w:t>Completion event includes status and latency</w:t>
            </w:r>
          </w:p>
        </w:tc>
      </w:tr>
    </w:tbl>
    <w:p>
      <w:pPr>
        <w:spacing w:after="0"/>
      </w:pPr>
    </w:p>
    <w:p>
      <w:pPr>
        <w:pStyle w:val="Heading1"/>
      </w:pPr>
      <w:r>
        <w:t>3. Routing And API Surface</w:t>
      </w:r>
    </w:p>
    <w:p>
      <w:r>
        <w:t>The route registration source of truth is backend/app/main.py. Router modules group endpoints by domain. Most Neo4j identifiers use the :path converter. The section-concepts route deliberately uses /sections/{section_id}/concepts without :path so it cannot absorb the /sections/{id}/test/... namespace; section IDs contain colons but no slash.</w:t>
      </w:r>
    </w:p>
    <w:tbl>
      <w:tblPr>
        <w:tblW w:type="auto" w:w="0"/>
        <w:jc w:val="left"/>
        <w:tblLayout w:type="fixed"/>
        <w:tblLook w:firstColumn="1" w:firstRow="1" w:lastColumn="0" w:lastRow="0" w:noHBand="0" w:noVBand="1" w:val="04A0"/>
      </w:tblPr>
      <w:tblGrid>
        <w:gridCol w:w="3331"/>
        <w:gridCol w:w="3331"/>
        <w:gridCol w:w="3331"/>
      </w:tblGrid>
      <w:tr>
        <w:trPr>
          <w:tblHeader w:val="true"/>
        </w:trPr>
        <w:tc>
          <w:tcPr>
            <w:tcW w:type="dxa" w:w="1512"/>
            <w:shd w:fill="102A43"/>
            <w:tcBorders>
              <w:top w:val="single" w:sz="4" w:color="102A43"/>
              <w:left w:val="single" w:sz="4" w:color="102A43"/>
              <w:bottom w:val="single" w:sz="4" w:color="102A43"/>
              <w:right w:val="single" w:sz="4" w:color="102A43"/>
            </w:tcBorders>
            <w:vAlign w:val="top"/>
            <w:tcMar>
              <w:top w:w="90" w:type="dxa"/>
              <w:start w:w="100" w:type="dxa"/>
              <w:bottom w:w="90" w:type="dxa"/>
              <w:end w:w="100" w:type="dxa"/>
            </w:tcMar>
          </w:tcPr>
          <w:p>
            <w:pPr>
              <w:spacing w:after="0" w:line="252" w:lineRule="auto"/>
            </w:pPr>
            <w:r/>
            <w:r>
              <w:rPr>
                <w:rFonts w:ascii="Aptos" w:hAnsi="Aptos"/>
                <w:b/>
                <w:color w:val="FFFFFF"/>
                <w:sz w:val="14"/>
              </w:rPr>
              <w:t>DOMAIN</w:t>
            </w:r>
          </w:p>
        </w:tc>
        <w:tc>
          <w:tcPr>
            <w:tcW w:type="dxa" w:w="4320"/>
            <w:shd w:fill="102A43"/>
            <w:tcBorders>
              <w:top w:val="single" w:sz="4" w:color="102A43"/>
              <w:left w:val="single" w:sz="4" w:color="102A43"/>
              <w:bottom w:val="single" w:sz="4" w:color="102A43"/>
              <w:right w:val="single" w:sz="4" w:color="102A43"/>
            </w:tcBorders>
            <w:vAlign w:val="top"/>
            <w:tcMar>
              <w:top w:w="90" w:type="dxa"/>
              <w:start w:w="100" w:type="dxa"/>
              <w:bottom w:w="90" w:type="dxa"/>
              <w:end w:w="100" w:type="dxa"/>
            </w:tcMar>
          </w:tcPr>
          <w:p>
            <w:pPr>
              <w:spacing w:after="0" w:line="252" w:lineRule="auto"/>
            </w:pPr>
            <w:r/>
            <w:r>
              <w:rPr>
                <w:rFonts w:ascii="Aptos" w:hAnsi="Aptos"/>
                <w:b/>
                <w:color w:val="FFFFFF"/>
                <w:sz w:val="14"/>
              </w:rPr>
              <w:t>REPRESENTATIVE ROUTES</w:t>
            </w:r>
          </w:p>
        </w:tc>
        <w:tc>
          <w:tcPr>
            <w:tcW w:type="dxa" w:w="3528"/>
            <w:shd w:fill="102A43"/>
            <w:tcBorders>
              <w:top w:val="single" w:sz="4" w:color="102A43"/>
              <w:left w:val="single" w:sz="4" w:color="102A43"/>
              <w:bottom w:val="single" w:sz="4" w:color="102A43"/>
              <w:right w:val="single" w:sz="4" w:color="102A43"/>
            </w:tcBorders>
            <w:vAlign w:val="top"/>
            <w:tcMar>
              <w:top w:w="90" w:type="dxa"/>
              <w:start w:w="100" w:type="dxa"/>
              <w:bottom w:w="90" w:type="dxa"/>
              <w:end w:w="100" w:type="dxa"/>
            </w:tcMar>
          </w:tcPr>
          <w:p>
            <w:pPr>
              <w:spacing w:after="0" w:line="252" w:lineRule="auto"/>
            </w:pPr>
            <w:r/>
            <w:r>
              <w:rPr>
                <w:rFonts w:ascii="Aptos" w:hAnsi="Aptos"/>
                <w:b/>
                <w:color w:val="FFFFFF"/>
                <w:sz w:val="14"/>
              </w:rPr>
              <w:t>PURPOSE</w:t>
            </w:r>
          </w:p>
        </w:tc>
      </w:tr>
      <w:tr>
        <w:tc>
          <w:tcPr>
            <w:tcW w:type="dxa" w:w="1512"/>
            <w:shd w:fill="FFFFFF"/>
            <w:tcBorders>
              <w:top w:val="single" w:sz="3" w:color="D9E2EC"/>
              <w:left w:val="single" w:sz="3" w:color="D9E2EC"/>
              <w:bottom w:val="single" w:sz="3" w:color="D9E2EC"/>
              <w:right w:val="single" w:sz="3" w:color="D9E2EC"/>
            </w:tcBorders>
            <w:vAlign w:val="top"/>
            <w:tcMar>
              <w:top w:w="90" w:type="dxa"/>
              <w:start w:w="100" w:type="dxa"/>
              <w:bottom w:w="90" w:type="dxa"/>
              <w:end w:w="100" w:type="dxa"/>
            </w:tcMar>
          </w:tcPr>
          <w:p>
            <w:pPr>
              <w:spacing w:after="0" w:line="252" w:lineRule="auto"/>
            </w:pPr>
            <w:r/>
            <w:r>
              <w:rPr>
                <w:rFonts w:ascii="Aptos" w:hAnsi="Aptos"/>
                <w:b w:val="0"/>
                <w:color w:val="243B53"/>
                <w:sz w:val="15"/>
              </w:rPr>
              <w:t>Health</w:t>
            </w:r>
          </w:p>
        </w:tc>
        <w:tc>
          <w:tcPr>
            <w:tcW w:type="dxa" w:w="4320"/>
            <w:shd w:fill="FFFFFF"/>
            <w:tcBorders>
              <w:top w:val="single" w:sz="3" w:color="D9E2EC"/>
              <w:left w:val="single" w:sz="3" w:color="D9E2EC"/>
              <w:bottom w:val="single" w:sz="3" w:color="D9E2EC"/>
              <w:right w:val="single" w:sz="3" w:color="D9E2EC"/>
            </w:tcBorders>
            <w:vAlign w:val="top"/>
            <w:tcMar>
              <w:top w:w="90" w:type="dxa"/>
              <w:start w:w="100" w:type="dxa"/>
              <w:bottom w:w="90" w:type="dxa"/>
              <w:end w:w="100" w:type="dxa"/>
            </w:tcMar>
          </w:tcPr>
          <w:p>
            <w:pPr>
              <w:spacing w:after="0" w:line="252" w:lineRule="auto"/>
            </w:pPr>
            <w:r/>
            <w:r>
              <w:rPr>
                <w:rFonts w:ascii="Aptos" w:hAnsi="Aptos"/>
                <w:b w:val="0"/>
                <w:color w:val="243B53"/>
                <w:sz w:val="15"/>
              </w:rPr>
              <w:t>GET /health</w:t>
            </w:r>
          </w:p>
        </w:tc>
        <w:tc>
          <w:tcPr>
            <w:tcW w:type="dxa" w:w="3528"/>
            <w:shd w:fill="FFFFFF"/>
            <w:tcBorders>
              <w:top w:val="single" w:sz="3" w:color="D9E2EC"/>
              <w:left w:val="single" w:sz="3" w:color="D9E2EC"/>
              <w:bottom w:val="single" w:sz="3" w:color="D9E2EC"/>
              <w:right w:val="single" w:sz="3" w:color="D9E2EC"/>
            </w:tcBorders>
            <w:vAlign w:val="top"/>
            <w:tcMar>
              <w:top w:w="90" w:type="dxa"/>
              <w:start w:w="100" w:type="dxa"/>
              <w:bottom w:w="90" w:type="dxa"/>
              <w:end w:w="100" w:type="dxa"/>
            </w:tcMar>
          </w:tcPr>
          <w:p>
            <w:pPr>
              <w:spacing w:after="0" w:line="252" w:lineRule="auto"/>
            </w:pPr>
            <w:r/>
            <w:r>
              <w:rPr>
                <w:rFonts w:ascii="Aptos" w:hAnsi="Aptos"/>
                <w:b w:val="0"/>
                <w:color w:val="243B53"/>
                <w:sz w:val="15"/>
              </w:rPr>
              <w:t>Fly health check and basic liveness</w:t>
            </w:r>
          </w:p>
        </w:tc>
      </w:tr>
      <w:tr>
        <w:tc>
          <w:tcPr>
            <w:tcW w:type="dxa" w:w="1512"/>
            <w:shd w:fill="F4F7FA"/>
            <w:tcBorders>
              <w:top w:val="single" w:sz="3" w:color="D9E2EC"/>
              <w:left w:val="single" w:sz="3" w:color="D9E2EC"/>
              <w:bottom w:val="single" w:sz="3" w:color="D9E2EC"/>
              <w:right w:val="single" w:sz="3" w:color="D9E2EC"/>
            </w:tcBorders>
            <w:vAlign w:val="top"/>
            <w:tcMar>
              <w:top w:w="90" w:type="dxa"/>
              <w:start w:w="100" w:type="dxa"/>
              <w:bottom w:w="90" w:type="dxa"/>
              <w:end w:w="100" w:type="dxa"/>
            </w:tcMar>
          </w:tcPr>
          <w:p>
            <w:pPr>
              <w:spacing w:after="0" w:line="252" w:lineRule="auto"/>
            </w:pPr>
            <w:r/>
            <w:r>
              <w:rPr>
                <w:rFonts w:ascii="Aptos" w:hAnsi="Aptos"/>
                <w:b w:val="0"/>
                <w:color w:val="243B53"/>
                <w:sz w:val="15"/>
              </w:rPr>
              <w:t>Auth</w:t>
            </w:r>
          </w:p>
        </w:tc>
        <w:tc>
          <w:tcPr>
            <w:tcW w:type="dxa" w:w="4320"/>
            <w:shd w:fill="F4F7FA"/>
            <w:tcBorders>
              <w:top w:val="single" w:sz="3" w:color="D9E2EC"/>
              <w:left w:val="single" w:sz="3" w:color="D9E2EC"/>
              <w:bottom w:val="single" w:sz="3" w:color="D9E2EC"/>
              <w:right w:val="single" w:sz="3" w:color="D9E2EC"/>
            </w:tcBorders>
            <w:vAlign w:val="top"/>
            <w:tcMar>
              <w:top w:w="90" w:type="dxa"/>
              <w:start w:w="100" w:type="dxa"/>
              <w:bottom w:w="90" w:type="dxa"/>
              <w:end w:w="100" w:type="dxa"/>
            </w:tcMar>
          </w:tcPr>
          <w:p>
            <w:pPr>
              <w:spacing w:after="0" w:line="252" w:lineRule="auto"/>
            </w:pPr>
            <w:r/>
            <w:r>
              <w:rPr>
                <w:rFonts w:ascii="Aptos" w:hAnsi="Aptos"/>
                <w:b w:val="0"/>
                <w:color w:val="243B53"/>
                <w:sz w:val="15"/>
              </w:rPr>
              <w:t>GET /auth/me; DELETE /auth/me</w:t>
            </w:r>
          </w:p>
        </w:tc>
        <w:tc>
          <w:tcPr>
            <w:tcW w:type="dxa" w:w="3528"/>
            <w:shd w:fill="F4F7FA"/>
            <w:tcBorders>
              <w:top w:val="single" w:sz="3" w:color="D9E2EC"/>
              <w:left w:val="single" w:sz="3" w:color="D9E2EC"/>
              <w:bottom w:val="single" w:sz="3" w:color="D9E2EC"/>
              <w:right w:val="single" w:sz="3" w:color="D9E2EC"/>
            </w:tcBorders>
            <w:vAlign w:val="top"/>
            <w:tcMar>
              <w:top w:w="90" w:type="dxa"/>
              <w:start w:w="100" w:type="dxa"/>
              <w:bottom w:w="90" w:type="dxa"/>
              <w:end w:w="100" w:type="dxa"/>
            </w:tcMar>
          </w:tcPr>
          <w:p>
            <w:pPr>
              <w:spacing w:after="0" w:line="252" w:lineRule="auto"/>
            </w:pPr>
            <w:r/>
            <w:r>
              <w:rPr>
                <w:rFonts w:ascii="Aptos" w:hAnsi="Aptos"/>
                <w:b w:val="0"/>
                <w:color w:val="243B53"/>
                <w:sz w:val="15"/>
              </w:rPr>
              <w:t>Current Firebase identity and profile deletion</w:t>
            </w:r>
          </w:p>
        </w:tc>
      </w:tr>
      <w:tr>
        <w:tc>
          <w:tcPr>
            <w:tcW w:type="dxa" w:w="1512"/>
            <w:shd w:fill="FFFFFF"/>
            <w:tcBorders>
              <w:top w:val="single" w:sz="3" w:color="D9E2EC"/>
              <w:left w:val="single" w:sz="3" w:color="D9E2EC"/>
              <w:bottom w:val="single" w:sz="3" w:color="D9E2EC"/>
              <w:right w:val="single" w:sz="3" w:color="D9E2EC"/>
            </w:tcBorders>
            <w:vAlign w:val="top"/>
            <w:tcMar>
              <w:top w:w="90" w:type="dxa"/>
              <w:start w:w="100" w:type="dxa"/>
              <w:bottom w:w="90" w:type="dxa"/>
              <w:end w:w="100" w:type="dxa"/>
            </w:tcMar>
          </w:tcPr>
          <w:p>
            <w:pPr>
              <w:spacing w:after="0" w:line="252" w:lineRule="auto"/>
            </w:pPr>
            <w:r/>
            <w:r>
              <w:rPr>
                <w:rFonts w:ascii="Aptos" w:hAnsi="Aptos"/>
                <w:b w:val="0"/>
                <w:color w:val="243B53"/>
                <w:sz w:val="15"/>
              </w:rPr>
              <w:t>Curriculum</w:t>
            </w:r>
          </w:p>
        </w:tc>
        <w:tc>
          <w:tcPr>
            <w:tcW w:type="dxa" w:w="4320"/>
            <w:shd w:fill="FFFFFF"/>
            <w:tcBorders>
              <w:top w:val="single" w:sz="3" w:color="D9E2EC"/>
              <w:left w:val="single" w:sz="3" w:color="D9E2EC"/>
              <w:bottom w:val="single" w:sz="3" w:color="D9E2EC"/>
              <w:right w:val="single" w:sz="3" w:color="D9E2EC"/>
            </w:tcBorders>
            <w:vAlign w:val="top"/>
            <w:tcMar>
              <w:top w:w="90" w:type="dxa"/>
              <w:start w:w="100" w:type="dxa"/>
              <w:bottom w:w="90" w:type="dxa"/>
              <w:end w:w="100" w:type="dxa"/>
            </w:tcMar>
          </w:tcPr>
          <w:p>
            <w:pPr>
              <w:spacing w:after="0" w:line="252" w:lineRule="auto"/>
            </w:pPr>
            <w:r/>
            <w:r>
              <w:rPr>
                <w:rFonts w:ascii="Aptos" w:hAnsi="Aptos"/>
                <w:b w:val="0"/>
                <w:color w:val="243B53"/>
                <w:sz w:val="15"/>
              </w:rPr>
              <w:t>GET /api/grades; /grades/{grade}/subjects; /chapters/{id}/graph</w:t>
            </w:r>
          </w:p>
        </w:tc>
        <w:tc>
          <w:tcPr>
            <w:tcW w:type="dxa" w:w="3528"/>
            <w:shd w:fill="FFFFFF"/>
            <w:tcBorders>
              <w:top w:val="single" w:sz="3" w:color="D9E2EC"/>
              <w:left w:val="single" w:sz="3" w:color="D9E2EC"/>
              <w:bottom w:val="single" w:sz="3" w:color="D9E2EC"/>
              <w:right w:val="single" w:sz="3" w:color="D9E2EC"/>
            </w:tcBorders>
            <w:vAlign w:val="top"/>
            <w:tcMar>
              <w:top w:w="90" w:type="dxa"/>
              <w:start w:w="100" w:type="dxa"/>
              <w:bottom w:w="90" w:type="dxa"/>
              <w:end w:w="100" w:type="dxa"/>
            </w:tcMar>
          </w:tcPr>
          <w:p>
            <w:pPr>
              <w:spacing w:after="0" w:line="252" w:lineRule="auto"/>
            </w:pPr>
            <w:r/>
            <w:r>
              <w:rPr>
                <w:rFonts w:ascii="Aptos" w:hAnsi="Aptos"/>
                <w:b w:val="0"/>
                <w:color w:val="243B53"/>
                <w:sz w:val="15"/>
              </w:rPr>
              <w:t>Public textbook structure and graph reads</w:t>
            </w:r>
          </w:p>
        </w:tc>
      </w:tr>
      <w:tr>
        <w:tc>
          <w:tcPr>
            <w:tcW w:type="dxa" w:w="1512"/>
            <w:shd w:fill="F4F7FA"/>
            <w:tcBorders>
              <w:top w:val="single" w:sz="3" w:color="D9E2EC"/>
              <w:left w:val="single" w:sz="3" w:color="D9E2EC"/>
              <w:bottom w:val="single" w:sz="3" w:color="D9E2EC"/>
              <w:right w:val="single" w:sz="3" w:color="D9E2EC"/>
            </w:tcBorders>
            <w:vAlign w:val="top"/>
            <w:tcMar>
              <w:top w:w="90" w:type="dxa"/>
              <w:start w:w="100" w:type="dxa"/>
              <w:bottom w:w="90" w:type="dxa"/>
              <w:end w:w="100" w:type="dxa"/>
            </w:tcMar>
          </w:tcPr>
          <w:p>
            <w:pPr>
              <w:spacing w:after="0" w:line="252" w:lineRule="auto"/>
            </w:pPr>
            <w:r/>
            <w:r>
              <w:rPr>
                <w:rFonts w:ascii="Aptos" w:hAnsi="Aptos"/>
                <w:b w:val="0"/>
                <w:color w:val="243B53"/>
                <w:sz w:val="15"/>
              </w:rPr>
              <w:t>Lineage</w:t>
            </w:r>
          </w:p>
        </w:tc>
        <w:tc>
          <w:tcPr>
            <w:tcW w:type="dxa" w:w="4320"/>
            <w:shd w:fill="F4F7FA"/>
            <w:tcBorders>
              <w:top w:val="single" w:sz="3" w:color="D9E2EC"/>
              <w:left w:val="single" w:sz="3" w:color="D9E2EC"/>
              <w:bottom w:val="single" w:sz="3" w:color="D9E2EC"/>
              <w:right w:val="single" w:sz="3" w:color="D9E2EC"/>
            </w:tcBorders>
            <w:vAlign w:val="top"/>
            <w:tcMar>
              <w:top w:w="90" w:type="dxa"/>
              <w:start w:w="100" w:type="dxa"/>
              <w:bottom w:w="90" w:type="dxa"/>
              <w:end w:w="100" w:type="dxa"/>
            </w:tcMar>
          </w:tcPr>
          <w:p>
            <w:pPr>
              <w:spacing w:after="0" w:line="252" w:lineRule="auto"/>
            </w:pPr>
            <w:r/>
            <w:r>
              <w:rPr>
                <w:rFonts w:ascii="Aptos" w:hAnsi="Aptos"/>
                <w:b w:val="0"/>
                <w:color w:val="243B53"/>
                <w:sz w:val="15"/>
              </w:rPr>
              <w:t>GET /api/concepts/{concept_id}/lineage</w:t>
            </w:r>
          </w:p>
        </w:tc>
        <w:tc>
          <w:tcPr>
            <w:tcW w:type="dxa" w:w="3528"/>
            <w:shd w:fill="F4F7FA"/>
            <w:tcBorders>
              <w:top w:val="single" w:sz="3" w:color="D9E2EC"/>
              <w:left w:val="single" w:sz="3" w:color="D9E2EC"/>
              <w:bottom w:val="single" w:sz="3" w:color="D9E2EC"/>
              <w:right w:val="single" w:sz="3" w:color="D9E2EC"/>
            </w:tcBorders>
            <w:vAlign w:val="top"/>
            <w:tcMar>
              <w:top w:w="90" w:type="dxa"/>
              <w:start w:w="100" w:type="dxa"/>
              <w:bottom w:w="90" w:type="dxa"/>
              <w:end w:w="100" w:type="dxa"/>
            </w:tcMar>
          </w:tcPr>
          <w:p>
            <w:pPr>
              <w:spacing w:after="0" w:line="252" w:lineRule="auto"/>
            </w:pPr>
            <w:r/>
            <w:r>
              <w:rPr>
                <w:rFonts w:ascii="Aptos" w:hAnsi="Aptos"/>
                <w:b w:val="0"/>
                <w:color w:val="243B53"/>
                <w:sz w:val="15"/>
              </w:rPr>
              <w:t>Concept -&gt; grade -&gt; subject -&gt; chapter lineage, capped for performance</w:t>
            </w:r>
          </w:p>
        </w:tc>
      </w:tr>
      <w:tr>
        <w:tc>
          <w:tcPr>
            <w:tcW w:type="dxa" w:w="1512"/>
            <w:shd w:fill="FFFFFF"/>
            <w:tcBorders>
              <w:top w:val="single" w:sz="3" w:color="D9E2EC"/>
              <w:left w:val="single" w:sz="3" w:color="D9E2EC"/>
              <w:bottom w:val="single" w:sz="3" w:color="D9E2EC"/>
              <w:right w:val="single" w:sz="3" w:color="D9E2EC"/>
            </w:tcBorders>
            <w:vAlign w:val="top"/>
            <w:tcMar>
              <w:top w:w="90" w:type="dxa"/>
              <w:start w:w="100" w:type="dxa"/>
              <w:bottom w:w="90" w:type="dxa"/>
              <w:end w:w="100" w:type="dxa"/>
            </w:tcMar>
          </w:tcPr>
          <w:p>
            <w:pPr>
              <w:spacing w:after="0" w:line="252" w:lineRule="auto"/>
            </w:pPr>
            <w:r/>
            <w:r>
              <w:rPr>
                <w:rFonts w:ascii="Aptos" w:hAnsi="Aptos"/>
                <w:b w:val="0"/>
                <w:color w:val="243B53"/>
                <w:sz w:val="15"/>
              </w:rPr>
              <w:t>Student insights</w:t>
            </w:r>
          </w:p>
        </w:tc>
        <w:tc>
          <w:tcPr>
            <w:tcW w:type="dxa" w:w="4320"/>
            <w:shd w:fill="FFFFFF"/>
            <w:tcBorders>
              <w:top w:val="single" w:sz="3" w:color="D9E2EC"/>
              <w:left w:val="single" w:sz="3" w:color="D9E2EC"/>
              <w:bottom w:val="single" w:sz="3" w:color="D9E2EC"/>
              <w:right w:val="single" w:sz="3" w:color="D9E2EC"/>
            </w:tcBorders>
            <w:vAlign w:val="top"/>
            <w:tcMar>
              <w:top w:w="90" w:type="dxa"/>
              <w:start w:w="100" w:type="dxa"/>
              <w:bottom w:w="90" w:type="dxa"/>
              <w:end w:w="100" w:type="dxa"/>
            </w:tcMar>
          </w:tcPr>
          <w:p>
            <w:pPr>
              <w:spacing w:after="0" w:line="252" w:lineRule="auto"/>
            </w:pPr>
            <w:r/>
            <w:r>
              <w:rPr>
                <w:rFonts w:ascii="Aptos" w:hAnsi="Aptos"/>
                <w:b w:val="0"/>
                <w:color w:val="243B53"/>
                <w:sz w:val="15"/>
              </w:rPr>
              <w:t>GET /api/students/me/insights; /search; /concept/{id}</w:t>
            </w:r>
          </w:p>
        </w:tc>
        <w:tc>
          <w:tcPr>
            <w:tcW w:type="dxa" w:w="3528"/>
            <w:shd w:fill="FFFFFF"/>
            <w:tcBorders>
              <w:top w:val="single" w:sz="3" w:color="D9E2EC"/>
              <w:left w:val="single" w:sz="3" w:color="D9E2EC"/>
              <w:bottom w:val="single" w:sz="3" w:color="D9E2EC"/>
              <w:right w:val="single" w:sz="3" w:color="D9E2EC"/>
            </w:tcBorders>
            <w:vAlign w:val="top"/>
            <w:tcMar>
              <w:top w:w="90" w:type="dxa"/>
              <w:start w:w="100" w:type="dxa"/>
              <w:bottom w:w="90" w:type="dxa"/>
              <w:end w:w="100" w:type="dxa"/>
            </w:tcMar>
          </w:tcPr>
          <w:p>
            <w:pPr>
              <w:spacing w:after="0" w:line="252" w:lineRule="auto"/>
            </w:pPr>
            <w:r/>
            <w:r>
              <w:rPr>
                <w:rFonts w:ascii="Aptos" w:hAnsi="Aptos"/>
                <w:b w:val="0"/>
                <w:color w:val="243B53"/>
                <w:sz w:val="15"/>
              </w:rPr>
              <w:t>Active student insight retrieval</w:t>
            </w:r>
          </w:p>
        </w:tc>
      </w:tr>
      <w:tr>
        <w:tc>
          <w:tcPr>
            <w:tcW w:type="dxa" w:w="1512"/>
            <w:shd w:fill="F4F7FA"/>
            <w:tcBorders>
              <w:top w:val="single" w:sz="3" w:color="D9E2EC"/>
              <w:left w:val="single" w:sz="3" w:color="D9E2EC"/>
              <w:bottom w:val="single" w:sz="3" w:color="D9E2EC"/>
              <w:right w:val="single" w:sz="3" w:color="D9E2EC"/>
            </w:tcBorders>
            <w:vAlign w:val="top"/>
            <w:tcMar>
              <w:top w:w="90" w:type="dxa"/>
              <w:start w:w="100" w:type="dxa"/>
              <w:bottom w:w="90" w:type="dxa"/>
              <w:end w:w="100" w:type="dxa"/>
            </w:tcMar>
          </w:tcPr>
          <w:p>
            <w:pPr>
              <w:spacing w:after="0" w:line="252" w:lineRule="auto"/>
            </w:pPr>
            <w:r/>
            <w:r>
              <w:rPr>
                <w:rFonts w:ascii="Aptos" w:hAnsi="Aptos"/>
                <w:b w:val="0"/>
                <w:color w:val="243B53"/>
                <w:sz w:val="15"/>
              </w:rPr>
              <w:t>Insight actions</w:t>
            </w:r>
          </w:p>
        </w:tc>
        <w:tc>
          <w:tcPr>
            <w:tcW w:type="dxa" w:w="4320"/>
            <w:shd w:fill="F4F7FA"/>
            <w:tcBorders>
              <w:top w:val="single" w:sz="3" w:color="D9E2EC"/>
              <w:left w:val="single" w:sz="3" w:color="D9E2EC"/>
              <w:bottom w:val="single" w:sz="3" w:color="D9E2EC"/>
              <w:right w:val="single" w:sz="3" w:color="D9E2EC"/>
            </w:tcBorders>
            <w:vAlign w:val="top"/>
            <w:tcMar>
              <w:top w:w="90" w:type="dxa"/>
              <w:start w:w="100" w:type="dxa"/>
              <w:bottom w:w="90" w:type="dxa"/>
              <w:end w:w="100" w:type="dxa"/>
            </w:tcMar>
          </w:tcPr>
          <w:p>
            <w:pPr>
              <w:spacing w:after="0" w:line="252" w:lineRule="auto"/>
            </w:pPr>
            <w:r/>
            <w:r>
              <w:rPr>
                <w:rFonts w:ascii="Aptos" w:hAnsi="Aptos"/>
                <w:b w:val="0"/>
                <w:color w:val="243B53"/>
                <w:sz w:val="15"/>
              </w:rPr>
              <w:t>POST /api/students/me/insights/{id}/explain; /test/mcq; /test/mcq/evaluate</w:t>
            </w:r>
          </w:p>
        </w:tc>
        <w:tc>
          <w:tcPr>
            <w:tcW w:type="dxa" w:w="3528"/>
            <w:shd w:fill="F4F7FA"/>
            <w:tcBorders>
              <w:top w:val="single" w:sz="3" w:color="D9E2EC"/>
              <w:left w:val="single" w:sz="3" w:color="D9E2EC"/>
              <w:bottom w:val="single" w:sz="3" w:color="D9E2EC"/>
              <w:right w:val="single" w:sz="3" w:color="D9E2EC"/>
            </w:tcBorders>
            <w:vAlign w:val="top"/>
            <w:tcMar>
              <w:top w:w="90" w:type="dxa"/>
              <w:start w:w="100" w:type="dxa"/>
              <w:bottom w:w="90" w:type="dxa"/>
              <w:end w:w="100" w:type="dxa"/>
            </w:tcMar>
          </w:tcPr>
          <w:p>
            <w:pPr>
              <w:spacing w:after="0" w:line="252" w:lineRule="auto"/>
            </w:pPr>
            <w:r>
              <w:t>Remediation and insight-specific testing</w:t>
            </w:r>
          </w:p>
        </w:tc>
      </w:tr>
      <w:tr>
        <w:tc>
          <w:tcPr>
            <w:tcW w:type="dxa" w:w="1512"/>
            <w:shd w:fill="FFFFFF"/>
            <w:tcBorders>
              <w:top w:val="single" w:sz="3" w:color="D9E2EC"/>
              <w:left w:val="single" w:sz="3" w:color="D9E2EC"/>
              <w:bottom w:val="single" w:sz="3" w:color="D9E2EC"/>
              <w:right w:val="single" w:sz="3" w:color="D9E2EC"/>
            </w:tcBorders>
            <w:vAlign w:val="top"/>
            <w:tcMar>
              <w:top w:w="90" w:type="dxa"/>
              <w:start w:w="100" w:type="dxa"/>
              <w:bottom w:w="90" w:type="dxa"/>
              <w:end w:w="100" w:type="dxa"/>
            </w:tcMar>
          </w:tcPr>
          <w:p>
            <w:pPr>
              <w:spacing w:after="0" w:line="252" w:lineRule="auto"/>
            </w:pPr>
            <w:r/>
            <w:r>
              <w:rPr>
                <w:rFonts w:ascii="Aptos" w:hAnsi="Aptos"/>
                <w:b w:val="0"/>
                <w:color w:val="243B53"/>
                <w:sz w:val="15"/>
              </w:rPr>
              <w:t>Assessment</w:t>
            </w:r>
          </w:p>
        </w:tc>
        <w:tc>
          <w:tcPr>
            <w:tcW w:type="dxa" w:w="4320"/>
            <w:shd w:fill="FFFFFF"/>
            <w:tcBorders>
              <w:top w:val="single" w:sz="3" w:color="D9E2EC"/>
              <w:left w:val="single" w:sz="3" w:color="D9E2EC"/>
              <w:bottom w:val="single" w:sz="3" w:color="D9E2EC"/>
              <w:right w:val="single" w:sz="3" w:color="D9E2EC"/>
            </w:tcBorders>
            <w:vAlign w:val="top"/>
            <w:tcMar>
              <w:top w:w="90" w:type="dxa"/>
              <w:start w:w="100" w:type="dxa"/>
              <w:bottom w:w="90" w:type="dxa"/>
              <w:end w:w="100" w:type="dxa"/>
            </w:tcMar>
          </w:tcPr>
          <w:p>
            <w:pPr>
              <w:spacing w:after="0" w:line="252" w:lineRule="auto"/>
            </w:pPr>
            <w:r/>
            <w:r>
              <w:rPr>
                <w:rFonts w:ascii="Aptos" w:hAnsi="Aptos"/>
                <w:b w:val="0"/>
                <w:color w:val="243B53"/>
                <w:sz w:val="15"/>
              </w:rPr>
              <w:t>GET /api/sections/{id}/test/question; /test/mcq; POST .../evaluate</w:t>
            </w:r>
          </w:p>
        </w:tc>
        <w:tc>
          <w:tcPr>
            <w:tcW w:type="dxa" w:w="3528"/>
            <w:shd w:fill="FFFFFF"/>
            <w:tcBorders>
              <w:top w:val="single" w:sz="3" w:color="D9E2EC"/>
              <w:left w:val="single" w:sz="3" w:color="D9E2EC"/>
              <w:bottom w:val="single" w:sz="3" w:color="D9E2EC"/>
              <w:right w:val="single" w:sz="3" w:color="D9E2EC"/>
            </w:tcBorders>
            <w:vAlign w:val="top"/>
            <w:tcMar>
              <w:top w:w="90" w:type="dxa"/>
              <w:start w:w="100" w:type="dxa"/>
              <w:bottom w:w="90" w:type="dxa"/>
              <w:end w:w="100" w:type="dxa"/>
            </w:tcMar>
          </w:tcPr>
          <w:p>
            <w:pPr>
              <w:spacing w:after="0" w:line="252" w:lineRule="auto"/>
            </w:pPr>
            <w:r>
              <w:t>Target-subsection question/MCQ generation; personalized evaluation with validated insight scope</w:t>
            </w:r>
          </w:p>
        </w:tc>
      </w:tr>
      <w:tr>
        <w:tc>
          <w:tcPr>
            <w:tcW w:type="dxa" w:w="1512"/>
            <w:shd w:fill="F4F7FA"/>
            <w:tcBorders>
              <w:top w:val="single" w:sz="3" w:color="D9E2EC"/>
              <w:left w:val="single" w:sz="3" w:color="D9E2EC"/>
              <w:bottom w:val="single" w:sz="3" w:color="D9E2EC"/>
              <w:right w:val="single" w:sz="3" w:color="D9E2EC"/>
            </w:tcBorders>
            <w:vAlign w:val="top"/>
            <w:tcMar>
              <w:top w:w="90" w:type="dxa"/>
              <w:start w:w="100" w:type="dxa"/>
              <w:bottom w:w="90" w:type="dxa"/>
              <w:end w:w="100" w:type="dxa"/>
            </w:tcMar>
          </w:tcPr>
          <w:p>
            <w:pPr>
              <w:spacing w:after="0" w:line="252" w:lineRule="auto"/>
            </w:pPr>
            <w:r/>
            <w:r>
              <w:rPr>
                <w:rFonts w:ascii="Aptos" w:hAnsi="Aptos"/>
                <w:b w:val="0"/>
                <w:color w:val="243B53"/>
                <w:sz w:val="15"/>
              </w:rPr>
              <w:t>Exercises</w:t>
            </w:r>
          </w:p>
        </w:tc>
        <w:tc>
          <w:tcPr>
            <w:tcW w:type="dxa" w:w="4320"/>
            <w:shd w:fill="F4F7FA"/>
            <w:tcBorders>
              <w:top w:val="single" w:sz="3" w:color="D9E2EC"/>
              <w:left w:val="single" w:sz="3" w:color="D9E2EC"/>
              <w:bottom w:val="single" w:sz="3" w:color="D9E2EC"/>
              <w:right w:val="single" w:sz="3" w:color="D9E2EC"/>
            </w:tcBorders>
            <w:vAlign w:val="top"/>
            <w:tcMar>
              <w:top w:w="90" w:type="dxa"/>
              <w:start w:w="100" w:type="dxa"/>
              <w:bottom w:w="90" w:type="dxa"/>
              <w:end w:w="100" w:type="dxa"/>
            </w:tcMar>
          </w:tcPr>
          <w:p>
            <w:pPr>
              <w:spacing w:after="0" w:line="252" w:lineRule="auto"/>
            </w:pPr>
            <w:r/>
            <w:r>
              <w:rPr>
                <w:rFonts w:ascii="Aptos" w:hAnsi="Aptos"/>
                <w:b w:val="0"/>
                <w:color w:val="243B53"/>
                <w:sz w:val="15"/>
              </w:rPr>
              <w:t>POST /api/sections/{id}/test/exercises/evaluate</w:t>
            </w:r>
          </w:p>
        </w:tc>
        <w:tc>
          <w:tcPr>
            <w:tcW w:type="dxa" w:w="3528"/>
            <w:shd w:fill="F4F7FA"/>
            <w:tcBorders>
              <w:top w:val="single" w:sz="3" w:color="D9E2EC"/>
              <w:left w:val="single" w:sz="3" w:color="D9E2EC"/>
              <w:bottom w:val="single" w:sz="3" w:color="D9E2EC"/>
              <w:right w:val="single" w:sz="3" w:color="D9E2EC"/>
            </w:tcBorders>
            <w:vAlign w:val="top"/>
            <w:tcMar>
              <w:top w:w="90" w:type="dxa"/>
              <w:start w:w="100" w:type="dxa"/>
              <w:bottom w:w="90" w:type="dxa"/>
              <w:end w:w="100" w:type="dxa"/>
            </w:tcMar>
          </w:tcPr>
          <w:p>
            <w:pPr>
              <w:spacing w:after="0" w:line="252" w:lineRule="auto"/>
            </w:pPr>
            <w:r/>
            <w:r>
              <w:rPr>
                <w:rFonts w:ascii="Aptos" w:hAnsi="Aptos"/>
                <w:b w:val="0"/>
                <w:color w:val="243B53"/>
                <w:sz w:val="15"/>
              </w:rPr>
              <w:t>Image or text exercise evaluation and assessment persistence</w:t>
            </w:r>
          </w:p>
        </w:tc>
      </w:tr>
      <w:tr>
        <w:tc>
          <w:tcPr>
            <w:tcW w:type="dxa" w:w="1512"/>
            <w:shd w:fill="FFFFFF"/>
            <w:tcBorders>
              <w:top w:val="single" w:sz="3" w:color="D9E2EC"/>
              <w:left w:val="single" w:sz="3" w:color="D9E2EC"/>
              <w:bottom w:val="single" w:sz="3" w:color="D9E2EC"/>
              <w:right w:val="single" w:sz="3" w:color="D9E2EC"/>
            </w:tcBorders>
            <w:vAlign w:val="top"/>
            <w:tcMar>
              <w:top w:w="90" w:type="dxa"/>
              <w:start w:w="100" w:type="dxa"/>
              <w:bottom w:w="90" w:type="dxa"/>
              <w:end w:w="100" w:type="dxa"/>
            </w:tcMar>
          </w:tcPr>
          <w:p>
            <w:pPr>
              <w:spacing w:after="0" w:line="252" w:lineRule="auto"/>
            </w:pPr>
            <w:r/>
            <w:r>
              <w:rPr>
                <w:rFonts w:ascii="Aptos" w:hAnsi="Aptos"/>
                <w:b w:val="0"/>
                <w:color w:val="243B53"/>
                <w:sz w:val="15"/>
              </w:rPr>
              <w:t>Section tutor</w:t>
            </w:r>
          </w:p>
        </w:tc>
        <w:tc>
          <w:tcPr>
            <w:tcW w:type="dxa" w:w="4320"/>
            <w:shd w:fill="FFFFFF"/>
            <w:tcBorders>
              <w:top w:val="single" w:sz="3" w:color="D9E2EC"/>
              <w:left w:val="single" w:sz="3" w:color="D9E2EC"/>
              <w:bottom w:val="single" w:sz="3" w:color="D9E2EC"/>
              <w:right w:val="single" w:sz="3" w:color="D9E2EC"/>
            </w:tcBorders>
            <w:vAlign w:val="top"/>
            <w:tcMar>
              <w:top w:w="90" w:type="dxa"/>
              <w:start w:w="100" w:type="dxa"/>
              <w:bottom w:w="90" w:type="dxa"/>
              <w:end w:w="100" w:type="dxa"/>
            </w:tcMar>
          </w:tcPr>
          <w:p>
            <w:pPr>
              <w:spacing w:after="0" w:line="252" w:lineRule="auto"/>
            </w:pPr>
            <w:r/>
            <w:r>
              <w:rPr>
                <w:rFonts w:ascii="Aptos" w:hAnsi="Aptos"/>
                <w:b w:val="0"/>
                <w:color w:val="243B53"/>
                <w:sz w:val="15"/>
              </w:rPr>
              <w:t>POST /api/sections/{id}/tutor/chat</w:t>
            </w:r>
          </w:p>
        </w:tc>
        <w:tc>
          <w:tcPr>
            <w:tcW w:type="dxa" w:w="3528"/>
            <w:shd w:fill="FFFFFF"/>
            <w:tcBorders>
              <w:top w:val="single" w:sz="3" w:color="D9E2EC"/>
              <w:left w:val="single" w:sz="3" w:color="D9E2EC"/>
              <w:bottom w:val="single" w:sz="3" w:color="D9E2EC"/>
              <w:right w:val="single" w:sz="3" w:color="D9E2EC"/>
            </w:tcBorders>
            <w:vAlign w:val="top"/>
            <w:tcMar>
              <w:top w:w="90" w:type="dxa"/>
              <w:start w:w="100" w:type="dxa"/>
              <w:bottom w:w="90" w:type="dxa"/>
              <w:end w:w="100" w:type="dxa"/>
            </w:tcMar>
          </w:tcPr>
          <w:p>
            <w:pPr>
              <w:spacing w:after="0" w:line="252" w:lineRule="auto"/>
            </w:pPr>
            <w:r/>
            <w:r>
              <w:rPr>
                <w:rFonts w:ascii="Aptos" w:hAnsi="Aptos"/>
                <w:b w:val="0"/>
                <w:color w:val="243B53"/>
                <w:sz w:val="15"/>
              </w:rPr>
              <w:t>Subsection/section-context tutor</w:t>
            </w:r>
          </w:p>
        </w:tc>
      </w:tr>
      <w:tr>
        <w:tc>
          <w:tcPr>
            <w:tcW w:type="dxa" w:w="1512"/>
            <w:shd w:fill="F4F7FA"/>
            <w:tcBorders>
              <w:top w:val="single" w:sz="3" w:color="D9E2EC"/>
              <w:left w:val="single" w:sz="3" w:color="D9E2EC"/>
              <w:bottom w:val="single" w:sz="3" w:color="D9E2EC"/>
              <w:right w:val="single" w:sz="3" w:color="D9E2EC"/>
            </w:tcBorders>
            <w:vAlign w:val="top"/>
            <w:tcMar>
              <w:top w:w="90" w:type="dxa"/>
              <w:start w:w="100" w:type="dxa"/>
              <w:bottom w:w="90" w:type="dxa"/>
              <w:end w:w="100" w:type="dxa"/>
            </w:tcMar>
          </w:tcPr>
          <w:p>
            <w:pPr>
              <w:spacing w:after="0" w:line="252" w:lineRule="auto"/>
            </w:pPr>
            <w:r/>
            <w:r>
              <w:rPr>
                <w:rFonts w:ascii="Aptos" w:hAnsi="Aptos"/>
                <w:b w:val="0"/>
                <w:color w:val="243B53"/>
                <w:sz w:val="15"/>
              </w:rPr>
              <w:t>Global tutor</w:t>
            </w:r>
          </w:p>
        </w:tc>
        <w:tc>
          <w:tcPr>
            <w:tcW w:type="dxa" w:w="4320"/>
            <w:shd w:fill="F4F7FA"/>
            <w:tcBorders>
              <w:top w:val="single" w:sz="3" w:color="D9E2EC"/>
              <w:left w:val="single" w:sz="3" w:color="D9E2EC"/>
              <w:bottom w:val="single" w:sz="3" w:color="D9E2EC"/>
              <w:right w:val="single" w:sz="3" w:color="D9E2EC"/>
            </w:tcBorders>
            <w:vAlign w:val="top"/>
            <w:tcMar>
              <w:top w:w="90" w:type="dxa"/>
              <w:start w:w="100" w:type="dxa"/>
              <w:bottom w:w="90" w:type="dxa"/>
              <w:end w:w="100" w:type="dxa"/>
            </w:tcMar>
          </w:tcPr>
          <w:p>
            <w:pPr>
              <w:spacing w:after="0" w:line="252" w:lineRule="auto"/>
            </w:pPr>
            <w:r/>
            <w:r>
              <w:rPr>
                <w:rFonts w:ascii="Aptos" w:hAnsi="Aptos"/>
                <w:b w:val="0"/>
                <w:color w:val="243B53"/>
                <w:sz w:val="15"/>
              </w:rPr>
              <w:t>POST /api/tutor/chat; GET /api/tutor/sessions</w:t>
            </w:r>
          </w:p>
        </w:tc>
        <w:tc>
          <w:tcPr>
            <w:tcW w:type="dxa" w:w="3528"/>
            <w:shd w:fill="F4F7FA"/>
            <w:tcBorders>
              <w:top w:val="single" w:sz="3" w:color="D9E2EC"/>
              <w:left w:val="single" w:sz="3" w:color="D9E2EC"/>
              <w:bottom w:val="single" w:sz="3" w:color="D9E2EC"/>
              <w:right w:val="single" w:sz="3" w:color="D9E2EC"/>
            </w:tcBorders>
            <w:vAlign w:val="top"/>
            <w:tcMar>
              <w:top w:w="90" w:type="dxa"/>
              <w:start w:w="100" w:type="dxa"/>
              <w:bottom w:w="90" w:type="dxa"/>
              <w:end w:w="100" w:type="dxa"/>
            </w:tcMar>
          </w:tcPr>
          <w:p>
            <w:pPr>
              <w:spacing w:after="0" w:line="252" w:lineRule="auto"/>
            </w:pPr>
            <w:r/>
            <w:r>
              <w:rPr>
                <w:rFonts w:ascii="Aptos" w:hAnsi="Aptos"/>
                <w:b w:val="0"/>
                <w:color w:val="243B53"/>
                <w:sz w:val="15"/>
              </w:rPr>
              <w:t>Textbook-agnostic tutor with active insight retrieval</w:t>
            </w:r>
          </w:p>
        </w:tc>
      </w:tr>
      <w:tr>
        <w:tc>
          <w:tcPr>
            <w:tcW w:type="dxa" w:w="1512"/>
            <w:shd w:fill="FFFFFF"/>
            <w:tcBorders>
              <w:top w:val="single" w:sz="3" w:color="D9E2EC"/>
              <w:left w:val="single" w:sz="3" w:color="D9E2EC"/>
              <w:bottom w:val="single" w:sz="3" w:color="D9E2EC"/>
              <w:right w:val="single" w:sz="3" w:color="D9E2EC"/>
            </w:tcBorders>
            <w:vAlign w:val="top"/>
            <w:tcMar>
              <w:top w:w="90" w:type="dxa"/>
              <w:start w:w="100" w:type="dxa"/>
              <w:bottom w:w="90" w:type="dxa"/>
              <w:end w:w="100" w:type="dxa"/>
            </w:tcMar>
          </w:tcPr>
          <w:p>
            <w:pPr>
              <w:spacing w:after="0" w:line="252" w:lineRule="auto"/>
            </w:pPr>
            <w:r/>
            <w:r>
              <w:rPr>
                <w:rFonts w:ascii="Aptos" w:hAnsi="Aptos"/>
                <w:b w:val="0"/>
                <w:color w:val="243B53"/>
                <w:sz w:val="15"/>
              </w:rPr>
              <w:t>Institutes</w:t>
            </w:r>
          </w:p>
        </w:tc>
        <w:tc>
          <w:tcPr>
            <w:tcW w:type="dxa" w:w="4320"/>
            <w:shd w:fill="FFFFFF"/>
            <w:tcBorders>
              <w:top w:val="single" w:sz="3" w:color="D9E2EC"/>
              <w:left w:val="single" w:sz="3" w:color="D9E2EC"/>
              <w:bottom w:val="single" w:sz="3" w:color="D9E2EC"/>
              <w:right w:val="single" w:sz="3" w:color="D9E2EC"/>
            </w:tcBorders>
            <w:vAlign w:val="top"/>
            <w:tcMar>
              <w:top w:w="90" w:type="dxa"/>
              <w:start w:w="100" w:type="dxa"/>
              <w:bottom w:w="90" w:type="dxa"/>
              <w:end w:w="100" w:type="dxa"/>
            </w:tcMar>
          </w:tcPr>
          <w:p>
            <w:pPr>
              <w:spacing w:after="0" w:line="252" w:lineRule="auto"/>
            </w:pPr>
            <w:r/>
            <w:r>
              <w:rPr>
                <w:rFonts w:ascii="Aptos" w:hAnsi="Aptos"/>
                <w:b w:val="0"/>
                <w:color w:val="243B53"/>
                <w:sz w:val="15"/>
              </w:rPr>
              <w:t>GET /api/institutes; PATCH /api/students/me/institute</w:t>
            </w:r>
          </w:p>
        </w:tc>
        <w:tc>
          <w:tcPr>
            <w:tcW w:type="dxa" w:w="3528"/>
            <w:shd w:fill="FFFFFF"/>
            <w:tcBorders>
              <w:top w:val="single" w:sz="3" w:color="D9E2EC"/>
              <w:left w:val="single" w:sz="3" w:color="D9E2EC"/>
              <w:bottom w:val="single" w:sz="3" w:color="D9E2EC"/>
              <w:right w:val="single" w:sz="3" w:color="D9E2EC"/>
            </w:tcBorders>
            <w:vAlign w:val="top"/>
            <w:tcMar>
              <w:top w:w="90" w:type="dxa"/>
              <w:start w:w="100" w:type="dxa"/>
              <w:bottom w:w="90" w:type="dxa"/>
              <w:end w:w="100" w:type="dxa"/>
            </w:tcMar>
          </w:tcPr>
          <w:p>
            <w:pPr>
              <w:spacing w:after="0" w:line="252" w:lineRule="auto"/>
            </w:pPr>
            <w:r/>
            <w:r>
              <w:rPr>
                <w:rFonts w:ascii="Aptos" w:hAnsi="Aptos"/>
                <w:b w:val="0"/>
                <w:color w:val="243B53"/>
                <w:sz w:val="15"/>
              </w:rPr>
              <w:t>Institute association and profile context</w:t>
            </w:r>
          </w:p>
        </w:tc>
      </w:tr>
      <w:tr>
        <w:tc>
          <w:tcPr>
            <w:tcW w:type="dxa" w:w="1512"/>
            <w:shd w:fill="F4F7FA"/>
            <w:tcBorders>
              <w:top w:val="single" w:sz="3" w:color="D9E2EC"/>
              <w:left w:val="single" w:sz="3" w:color="D9E2EC"/>
              <w:bottom w:val="single" w:sz="3" w:color="D9E2EC"/>
              <w:right w:val="single" w:sz="3" w:color="D9E2EC"/>
            </w:tcBorders>
            <w:vAlign w:val="top"/>
            <w:tcMar>
              <w:top w:w="90" w:type="dxa"/>
              <w:start w:w="100" w:type="dxa"/>
              <w:bottom w:w="90" w:type="dxa"/>
              <w:end w:w="100" w:type="dxa"/>
            </w:tcMar>
          </w:tcPr>
          <w:p>
            <w:pPr>
              <w:spacing w:after="0" w:line="252" w:lineRule="auto"/>
            </w:pPr>
            <w:r/>
            <w:r>
              <w:rPr>
                <w:rFonts w:ascii="Aptos" w:hAnsi="Aptos"/>
                <w:b w:val="0"/>
                <w:color w:val="243B53"/>
                <w:sz w:val="15"/>
              </w:rPr>
              <w:t>Teacher applications</w:t>
            </w:r>
          </w:p>
        </w:tc>
        <w:tc>
          <w:tcPr>
            <w:tcW w:type="dxa" w:w="4320"/>
            <w:shd w:fill="F4F7FA"/>
            <w:tcBorders>
              <w:top w:val="single" w:sz="3" w:color="D9E2EC"/>
              <w:left w:val="single" w:sz="3" w:color="D9E2EC"/>
              <w:bottom w:val="single" w:sz="3" w:color="D9E2EC"/>
              <w:right w:val="single" w:sz="3" w:color="D9E2EC"/>
            </w:tcBorders>
            <w:vAlign w:val="top"/>
            <w:tcMar>
              <w:top w:w="90" w:type="dxa"/>
              <w:start w:w="100" w:type="dxa"/>
              <w:bottom w:w="90" w:type="dxa"/>
              <w:end w:w="100" w:type="dxa"/>
            </w:tcMar>
          </w:tcPr>
          <w:p>
            <w:pPr>
              <w:spacing w:after="0" w:line="252" w:lineRule="auto"/>
            </w:pPr>
            <w:r/>
            <w:r>
              <w:rPr>
                <w:rFonts w:ascii="Aptos" w:hAnsi="Aptos"/>
                <w:b w:val="0"/>
                <w:color w:val="243B53"/>
                <w:sz w:val="15"/>
              </w:rPr>
              <w:t>POST /api/teachers/apply; admin review routes</w:t>
            </w:r>
          </w:p>
        </w:tc>
        <w:tc>
          <w:tcPr>
            <w:tcW w:type="dxa" w:w="3528"/>
            <w:shd w:fill="F4F7FA"/>
            <w:tcBorders>
              <w:top w:val="single" w:sz="3" w:color="D9E2EC"/>
              <w:left w:val="single" w:sz="3" w:color="D9E2EC"/>
              <w:bottom w:val="single" w:sz="3" w:color="D9E2EC"/>
              <w:right w:val="single" w:sz="3" w:color="D9E2EC"/>
            </w:tcBorders>
            <w:vAlign w:val="top"/>
            <w:tcMar>
              <w:top w:w="90" w:type="dxa"/>
              <w:start w:w="100" w:type="dxa"/>
              <w:bottom w:w="90" w:type="dxa"/>
              <w:end w:w="100" w:type="dxa"/>
            </w:tcMar>
          </w:tcPr>
          <w:p>
            <w:pPr>
              <w:spacing w:after="0" w:line="252" w:lineRule="auto"/>
            </w:pPr>
            <w:r/>
            <w:r>
              <w:rPr>
                <w:rFonts w:ascii="Aptos" w:hAnsi="Aptos"/>
                <w:b w:val="0"/>
                <w:color w:val="243B53"/>
                <w:sz w:val="15"/>
              </w:rPr>
              <w:t>Teacher access request and approval workflow</w:t>
            </w:r>
          </w:p>
        </w:tc>
      </w:tr>
      <w:tr>
        <w:tc>
          <w:tcPr>
            <w:tcW w:type="dxa" w:w="1512"/>
            <w:shd w:fill="FFFFFF"/>
            <w:tcBorders>
              <w:top w:val="single" w:sz="3" w:color="D9E2EC"/>
              <w:left w:val="single" w:sz="3" w:color="D9E2EC"/>
              <w:bottom w:val="single" w:sz="3" w:color="D9E2EC"/>
              <w:right w:val="single" w:sz="3" w:color="D9E2EC"/>
            </w:tcBorders>
            <w:vAlign w:val="top"/>
            <w:tcMar>
              <w:top w:w="90" w:type="dxa"/>
              <w:start w:w="100" w:type="dxa"/>
              <w:bottom w:w="90" w:type="dxa"/>
              <w:end w:w="100" w:type="dxa"/>
            </w:tcMar>
          </w:tcPr>
          <w:p>
            <w:pPr>
              <w:spacing w:after="0" w:line="252" w:lineRule="auto"/>
            </w:pPr>
            <w:r/>
            <w:r>
              <w:rPr>
                <w:rFonts w:ascii="Aptos" w:hAnsi="Aptos"/>
                <w:b w:val="0"/>
                <w:color w:val="243B53"/>
                <w:sz w:val="15"/>
              </w:rPr>
              <w:t>Teacher dashboard</w:t>
            </w:r>
          </w:p>
        </w:tc>
        <w:tc>
          <w:tcPr>
            <w:tcW w:type="dxa" w:w="4320"/>
            <w:shd w:fill="FFFFFF"/>
            <w:tcBorders>
              <w:top w:val="single" w:sz="3" w:color="D9E2EC"/>
              <w:left w:val="single" w:sz="3" w:color="D9E2EC"/>
              <w:bottom w:val="single" w:sz="3" w:color="D9E2EC"/>
              <w:right w:val="single" w:sz="3" w:color="D9E2EC"/>
            </w:tcBorders>
            <w:vAlign w:val="top"/>
            <w:tcMar>
              <w:top w:w="90" w:type="dxa"/>
              <w:start w:w="100" w:type="dxa"/>
              <w:bottom w:w="90" w:type="dxa"/>
              <w:end w:w="100" w:type="dxa"/>
            </w:tcMar>
          </w:tcPr>
          <w:p>
            <w:pPr>
              <w:spacing w:after="0" w:line="252" w:lineRule="auto"/>
            </w:pPr>
            <w:r/>
            <w:r>
              <w:rPr>
                <w:rFonts w:ascii="Aptos" w:hAnsi="Aptos"/>
                <w:b w:val="0"/>
                <w:color w:val="243B53"/>
                <w:sz w:val="15"/>
              </w:rPr>
              <w:t>GET /api/teachers/me/dashboard/{overview,students,clusters}</w:t>
            </w:r>
          </w:p>
        </w:tc>
        <w:tc>
          <w:tcPr>
            <w:tcW w:type="dxa" w:w="3528"/>
            <w:shd w:fill="FFFFFF"/>
            <w:tcBorders>
              <w:top w:val="single" w:sz="3" w:color="D9E2EC"/>
              <w:left w:val="single" w:sz="3" w:color="D9E2EC"/>
              <w:bottom w:val="single" w:sz="3" w:color="D9E2EC"/>
              <w:right w:val="single" w:sz="3" w:color="D9E2EC"/>
            </w:tcBorders>
            <w:vAlign w:val="top"/>
            <w:tcMar>
              <w:top w:w="90" w:type="dxa"/>
              <w:start w:w="100" w:type="dxa"/>
              <w:bottom w:w="90" w:type="dxa"/>
              <w:end w:w="100" w:type="dxa"/>
            </w:tcMar>
          </w:tcPr>
          <w:p>
            <w:pPr>
              <w:spacing w:after="0" w:line="252" w:lineRule="auto"/>
            </w:pPr>
            <w:r/>
            <w:r>
              <w:rPr>
                <w:rFonts w:ascii="Aptos" w:hAnsi="Aptos"/>
                <w:b w:val="0"/>
                <w:color w:val="243B53"/>
                <w:sz w:val="15"/>
              </w:rPr>
              <w:t>Institute-scoped analytics and cluster reads</w:t>
            </w:r>
          </w:p>
        </w:tc>
      </w:tr>
      <w:tr>
        <w:tc>
          <w:tcPr>
            <w:tcW w:type="dxa" w:w="1512"/>
            <w:shd w:fill="F4F7FA"/>
            <w:tcBorders>
              <w:top w:val="single" w:sz="3" w:color="D9E2EC"/>
              <w:left w:val="single" w:sz="3" w:color="D9E2EC"/>
              <w:bottom w:val="single" w:sz="3" w:color="D9E2EC"/>
              <w:right w:val="single" w:sz="3" w:color="D9E2EC"/>
            </w:tcBorders>
            <w:vAlign w:val="top"/>
            <w:tcMar>
              <w:top w:w="90" w:type="dxa"/>
              <w:start w:w="100" w:type="dxa"/>
              <w:bottom w:w="90" w:type="dxa"/>
              <w:end w:w="100" w:type="dxa"/>
            </w:tcMar>
          </w:tcPr>
          <w:p>
            <w:pPr>
              <w:spacing w:after="0" w:line="252" w:lineRule="auto"/>
            </w:pPr>
            <w:r/>
            <w:r>
              <w:rPr>
                <w:rFonts w:ascii="Aptos" w:hAnsi="Aptos"/>
                <w:b w:val="0"/>
                <w:color w:val="243B53"/>
                <w:sz w:val="15"/>
              </w:rPr>
              <w:t>Admin</w:t>
            </w:r>
          </w:p>
        </w:tc>
        <w:tc>
          <w:tcPr>
            <w:tcW w:type="dxa" w:w="4320"/>
            <w:shd w:fill="F4F7FA"/>
            <w:tcBorders>
              <w:top w:val="single" w:sz="3" w:color="D9E2EC"/>
              <w:left w:val="single" w:sz="3" w:color="D9E2EC"/>
              <w:bottom w:val="single" w:sz="3" w:color="D9E2EC"/>
              <w:right w:val="single" w:sz="3" w:color="D9E2EC"/>
            </w:tcBorders>
            <w:vAlign w:val="top"/>
            <w:tcMar>
              <w:top w:w="90" w:type="dxa"/>
              <w:start w:w="100" w:type="dxa"/>
              <w:bottom w:w="90" w:type="dxa"/>
              <w:end w:w="100" w:type="dxa"/>
            </w:tcMar>
          </w:tcPr>
          <w:p>
            <w:pPr>
              <w:spacing w:after="0" w:line="252" w:lineRule="auto"/>
            </w:pPr>
            <w:r/>
            <w:r>
              <w:rPr>
                <w:rFonts w:ascii="Aptos" w:hAnsi="Aptos"/>
                <w:b w:val="0"/>
                <w:color w:val="243B53"/>
                <w:sz w:val="15"/>
              </w:rPr>
              <w:t>POST /api/admin/institutes; users/claims; rebuild-clusters</w:t>
            </w:r>
          </w:p>
        </w:tc>
        <w:tc>
          <w:tcPr>
            <w:tcW w:type="dxa" w:w="3528"/>
            <w:shd w:fill="F4F7FA"/>
            <w:tcBorders>
              <w:top w:val="single" w:sz="3" w:color="D9E2EC"/>
              <w:left w:val="single" w:sz="3" w:color="D9E2EC"/>
              <w:bottom w:val="single" w:sz="3" w:color="D9E2EC"/>
              <w:right w:val="single" w:sz="3" w:color="D9E2EC"/>
            </w:tcBorders>
            <w:vAlign w:val="top"/>
            <w:tcMar>
              <w:top w:w="90" w:type="dxa"/>
              <w:start w:w="100" w:type="dxa"/>
              <w:bottom w:w="90" w:type="dxa"/>
              <w:end w:w="100" w:type="dxa"/>
            </w:tcMar>
          </w:tcPr>
          <w:p>
            <w:pPr>
              <w:spacing w:after="0" w:line="252" w:lineRule="auto"/>
            </w:pPr>
            <w:r/>
            <w:r>
              <w:rPr>
                <w:rFonts w:ascii="Aptos" w:hAnsi="Aptos"/>
                <w:b w:val="0"/>
                <w:color w:val="243B53"/>
                <w:sz w:val="15"/>
              </w:rPr>
              <w:t>Institute, Firebase claim, and cluster administration</w:t>
            </w:r>
          </w:p>
        </w:tc>
      </w:tr>
    </w:tbl>
    <w:p>
      <w:pPr>
        <w:spacing w:after="0"/>
      </w:pPr>
    </w:p>
    <w:p>
      <w:pPr>
        <w:pStyle w:val="Heading2"/>
      </w:pPr>
      <w:r>
        <w:t>Public and personalized boundaries</w:t>
      </w:r>
    </w:p>
    <w:p>
      <w:pPr>
        <w:pStyle w:val="ListBullet"/>
      </w:pPr>
      <w:r>
        <w:rPr>
          <w:b/>
        </w:rPr>
        <w:t xml:space="preserve">Public curriculum reads: </w:t>
      </w:r>
      <w:r>
        <w:t>grades, subjects, chapters, sections, graph structure, concept lineage, exercises, and non-personalized content are readable without student identity.</w:t>
      </w:r>
    </w:p>
    <w:p>
      <w:pPr>
        <w:pStyle w:val="ListBullet"/>
      </w:pPr>
      <w:r>
        <w:rPr>
          <w:b/>
        </w:rPr>
        <w:t xml:space="preserve">Student-scoped reads/writes: </w:t>
      </w:r>
      <w:r>
        <w:t>student insights, tutor sessions, test evaluation, exercise evaluation, institute/profile changes, and assessment attempts require the current student identity.</w:t>
      </w:r>
    </w:p>
    <w:p>
      <w:pPr>
        <w:pStyle w:val="ListBullet"/>
      </w:pPr>
      <w:r>
        <w:rPr>
          <w:b/>
        </w:rPr>
        <w:t xml:space="preserve">Teacher-scoped reads: </w:t>
      </w:r>
      <w:r>
        <w:t>teacher dashboard routes require role=teacher and an institute_id Firebase claim; every analytics query is constrained to the claim institute.</w:t>
      </w:r>
    </w:p>
    <w:p>
      <w:pPr>
        <w:pStyle w:val="ListBullet"/>
      </w:pPr>
      <w:r>
        <w:rPr>
          <w:b/>
        </w:rPr>
        <w:t xml:space="preserve">Admin-scoped writes: </w:t>
      </w:r>
      <w:r>
        <w:t>institute administration, role claims, teacher application decisions, and cluster rebuild triggers require role=admin or role=superadmin.</w:t>
      </w:r>
    </w:p>
    <w:p>
      <w:pPr>
        <w:pStyle w:val="Heading1"/>
      </w:pPr>
      <w:r>
        <w:t>4. Authentication, Authorization, And Tenant Isolation</w:t>
      </w:r>
    </w:p>
    <w:p>
      <w:r>
        <w:t>backend/app/auth.py is the authentication boundary. Firebase Admin verifies bearer ID tokens. The token claims, not a user-provided request field, determine identity and role. Domain dependencies then map the verified token to a student, teacher, or admin context.</w:t>
      </w:r>
    </w:p>
    <w:tbl>
      <w:tblPr>
        <w:tblW w:type="auto" w:w="0"/>
        <w:jc w:val="left"/>
        <w:tblLayout w:type="fixed"/>
        <w:tblLook w:firstColumn="1" w:firstRow="1" w:lastColumn="0" w:lastRow="0" w:noHBand="0" w:noVBand="1" w:val="04A0"/>
      </w:tblPr>
      <w:tblGrid>
        <w:gridCol w:w="3331"/>
        <w:gridCol w:w="3331"/>
        <w:gridCol w:w="3331"/>
      </w:tblGrid>
      <w:tr>
        <w:trPr>
          <w:tblHeader w:val="true"/>
        </w:trPr>
        <w:tc>
          <w:tcPr>
            <w:tcW w:type="dxa" w:w="2232"/>
            <w:shd w:fill="102A43"/>
            <w:tcBorders>
              <w:top w:val="single" w:sz="4" w:color="102A43"/>
              <w:left w:val="single" w:sz="4" w:color="102A43"/>
              <w:bottom w:val="single" w:sz="4" w:color="102A43"/>
              <w:right w:val="single" w:sz="4" w:color="102A43"/>
            </w:tcBorders>
            <w:vAlign w:val="top"/>
            <w:tcMar>
              <w:top w:w="90" w:type="dxa"/>
              <w:start w:w="100" w:type="dxa"/>
              <w:bottom w:w="90" w:type="dxa"/>
              <w:end w:w="100" w:type="dxa"/>
            </w:tcMar>
          </w:tcPr>
          <w:p>
            <w:pPr>
              <w:spacing w:after="0" w:line="252" w:lineRule="auto"/>
            </w:pPr>
            <w:r/>
            <w:r>
              <w:rPr>
                <w:rFonts w:ascii="Aptos" w:hAnsi="Aptos"/>
                <w:b/>
                <w:color w:val="FFFFFF"/>
                <w:sz w:val="14"/>
              </w:rPr>
              <w:t>DEPENDENCY</w:t>
            </w:r>
          </w:p>
        </w:tc>
        <w:tc>
          <w:tcPr>
            <w:tcW w:type="dxa" w:w="3096"/>
            <w:shd w:fill="102A43"/>
            <w:tcBorders>
              <w:top w:val="single" w:sz="4" w:color="102A43"/>
              <w:left w:val="single" w:sz="4" w:color="102A43"/>
              <w:bottom w:val="single" w:sz="4" w:color="102A43"/>
              <w:right w:val="single" w:sz="4" w:color="102A43"/>
            </w:tcBorders>
            <w:vAlign w:val="top"/>
            <w:tcMar>
              <w:top w:w="90" w:type="dxa"/>
              <w:start w:w="100" w:type="dxa"/>
              <w:bottom w:w="90" w:type="dxa"/>
              <w:end w:w="100" w:type="dxa"/>
            </w:tcMar>
          </w:tcPr>
          <w:p>
            <w:pPr>
              <w:spacing w:after="0" w:line="252" w:lineRule="auto"/>
            </w:pPr>
            <w:r/>
            <w:r>
              <w:rPr>
                <w:rFonts w:ascii="Aptos" w:hAnsi="Aptos"/>
                <w:b/>
                <w:color w:val="FFFFFF"/>
                <w:sz w:val="14"/>
              </w:rPr>
              <w:t>REQUIRED CLAIMS</w:t>
            </w:r>
          </w:p>
        </w:tc>
        <w:tc>
          <w:tcPr>
            <w:tcW w:type="dxa" w:w="4031"/>
            <w:shd w:fill="102A43"/>
            <w:tcBorders>
              <w:top w:val="single" w:sz="4" w:color="102A43"/>
              <w:left w:val="single" w:sz="4" w:color="102A43"/>
              <w:bottom w:val="single" w:sz="4" w:color="102A43"/>
              <w:right w:val="single" w:sz="4" w:color="102A43"/>
            </w:tcBorders>
            <w:vAlign w:val="top"/>
            <w:tcMar>
              <w:top w:w="90" w:type="dxa"/>
              <w:start w:w="100" w:type="dxa"/>
              <w:bottom w:w="90" w:type="dxa"/>
              <w:end w:w="100" w:type="dxa"/>
            </w:tcMar>
          </w:tcPr>
          <w:p>
            <w:pPr>
              <w:spacing w:after="0" w:line="252" w:lineRule="auto"/>
            </w:pPr>
            <w:r/>
            <w:r>
              <w:rPr>
                <w:rFonts w:ascii="Aptos" w:hAnsi="Aptos"/>
                <w:b/>
                <w:color w:val="FFFFFF"/>
                <w:sz w:val="14"/>
              </w:rPr>
              <w:t>SIDE EFFECTS / SCOPE</w:t>
            </w:r>
          </w:p>
        </w:tc>
      </w:tr>
      <w:tr>
        <w:tc>
          <w:tcPr>
            <w:tcW w:type="dxa" w:w="2232"/>
            <w:shd w:fill="FFFFFF"/>
            <w:tcBorders>
              <w:top w:val="single" w:sz="3" w:color="D9E2EC"/>
              <w:left w:val="single" w:sz="3" w:color="D9E2EC"/>
              <w:bottom w:val="single" w:sz="3" w:color="D9E2EC"/>
              <w:right w:val="single" w:sz="3" w:color="D9E2EC"/>
            </w:tcBorders>
            <w:vAlign w:val="top"/>
            <w:tcMar>
              <w:top w:w="90" w:type="dxa"/>
              <w:start w:w="100" w:type="dxa"/>
              <w:bottom w:w="90" w:type="dxa"/>
              <w:end w:w="100" w:type="dxa"/>
            </w:tcMar>
          </w:tcPr>
          <w:p>
            <w:pPr>
              <w:spacing w:after="0" w:line="252" w:lineRule="auto"/>
            </w:pPr>
            <w:r/>
            <w:r>
              <w:rPr>
                <w:rFonts w:ascii="Aptos" w:hAnsi="Aptos"/>
                <w:b w:val="0"/>
                <w:color w:val="243B53"/>
                <w:sz w:val="15"/>
              </w:rPr>
              <w:t>get_current_user</w:t>
            </w:r>
          </w:p>
        </w:tc>
        <w:tc>
          <w:tcPr>
            <w:tcW w:type="dxa" w:w="3096"/>
            <w:shd w:fill="FFFFFF"/>
            <w:tcBorders>
              <w:top w:val="single" w:sz="3" w:color="D9E2EC"/>
              <w:left w:val="single" w:sz="3" w:color="D9E2EC"/>
              <w:bottom w:val="single" w:sz="3" w:color="D9E2EC"/>
              <w:right w:val="single" w:sz="3" w:color="D9E2EC"/>
            </w:tcBorders>
            <w:vAlign w:val="top"/>
            <w:tcMar>
              <w:top w:w="90" w:type="dxa"/>
              <w:start w:w="100" w:type="dxa"/>
              <w:bottom w:w="90" w:type="dxa"/>
              <w:end w:w="100" w:type="dxa"/>
            </w:tcMar>
          </w:tcPr>
          <w:p>
            <w:pPr>
              <w:spacing w:after="0" w:line="252" w:lineRule="auto"/>
            </w:pPr>
            <w:r/>
            <w:r>
              <w:rPr>
                <w:rFonts w:ascii="Aptos" w:hAnsi="Aptos"/>
                <w:b w:val="0"/>
                <w:color w:val="243B53"/>
                <w:sz w:val="15"/>
              </w:rPr>
              <w:t>Valid token; role missing, empty, or student</w:t>
            </w:r>
          </w:p>
        </w:tc>
        <w:tc>
          <w:tcPr>
            <w:tcW w:type="dxa" w:w="4031"/>
            <w:shd w:fill="FFFFFF"/>
            <w:tcBorders>
              <w:top w:val="single" w:sz="3" w:color="D9E2EC"/>
              <w:left w:val="single" w:sz="3" w:color="D9E2EC"/>
              <w:bottom w:val="single" w:sz="3" w:color="D9E2EC"/>
              <w:right w:val="single" w:sz="3" w:color="D9E2EC"/>
            </w:tcBorders>
            <w:vAlign w:val="top"/>
            <w:tcMar>
              <w:top w:w="90" w:type="dxa"/>
              <w:start w:w="100" w:type="dxa"/>
              <w:bottom w:w="90" w:type="dxa"/>
              <w:end w:w="100" w:type="dxa"/>
            </w:tcMar>
          </w:tcPr>
          <w:p>
            <w:pPr>
              <w:spacing w:after="0" w:line="252" w:lineRule="auto"/>
            </w:pPr>
            <w:r/>
            <w:r>
              <w:rPr>
                <w:rFonts w:ascii="Aptos" w:hAnsi="Aptos"/>
                <w:b w:val="0"/>
                <w:color w:val="243B53"/>
                <w:sz w:val="15"/>
              </w:rPr>
              <w:t>Ensures Student node with id student:{uid}; returns student identity</w:t>
            </w:r>
          </w:p>
        </w:tc>
      </w:tr>
      <w:tr>
        <w:tc>
          <w:tcPr>
            <w:tcW w:type="dxa" w:w="2232"/>
            <w:shd w:fill="F4F7FA"/>
            <w:tcBorders>
              <w:top w:val="single" w:sz="3" w:color="D9E2EC"/>
              <w:left w:val="single" w:sz="3" w:color="D9E2EC"/>
              <w:bottom w:val="single" w:sz="3" w:color="D9E2EC"/>
              <w:right w:val="single" w:sz="3" w:color="D9E2EC"/>
            </w:tcBorders>
            <w:vAlign w:val="top"/>
            <w:tcMar>
              <w:top w:w="90" w:type="dxa"/>
              <w:start w:w="100" w:type="dxa"/>
              <w:bottom w:w="90" w:type="dxa"/>
              <w:end w:w="100" w:type="dxa"/>
            </w:tcMar>
          </w:tcPr>
          <w:p>
            <w:pPr>
              <w:spacing w:after="0" w:line="252" w:lineRule="auto"/>
            </w:pPr>
            <w:r/>
            <w:r>
              <w:rPr>
                <w:rFonts w:ascii="Aptos" w:hAnsi="Aptos"/>
                <w:b w:val="0"/>
                <w:color w:val="243B53"/>
                <w:sz w:val="15"/>
              </w:rPr>
              <w:t>get_authenticated_user</w:t>
            </w:r>
          </w:p>
        </w:tc>
        <w:tc>
          <w:tcPr>
            <w:tcW w:type="dxa" w:w="3096"/>
            <w:shd w:fill="F4F7FA"/>
            <w:tcBorders>
              <w:top w:val="single" w:sz="3" w:color="D9E2EC"/>
              <w:left w:val="single" w:sz="3" w:color="D9E2EC"/>
              <w:bottom w:val="single" w:sz="3" w:color="D9E2EC"/>
              <w:right w:val="single" w:sz="3" w:color="D9E2EC"/>
            </w:tcBorders>
            <w:vAlign w:val="top"/>
            <w:tcMar>
              <w:top w:w="90" w:type="dxa"/>
              <w:start w:w="100" w:type="dxa"/>
              <w:bottom w:w="90" w:type="dxa"/>
              <w:end w:w="100" w:type="dxa"/>
            </w:tcMar>
          </w:tcPr>
          <w:p>
            <w:pPr>
              <w:spacing w:after="0" w:line="252" w:lineRule="auto"/>
            </w:pPr>
            <w:r/>
            <w:r>
              <w:rPr>
                <w:rFonts w:ascii="Aptos" w:hAnsi="Aptos"/>
                <w:b w:val="0"/>
                <w:color w:val="243B53"/>
                <w:sz w:val="15"/>
              </w:rPr>
              <w:t>Valid token</w:t>
            </w:r>
          </w:p>
        </w:tc>
        <w:tc>
          <w:tcPr>
            <w:tcW w:type="dxa" w:w="4031"/>
            <w:shd w:fill="F4F7FA"/>
            <w:tcBorders>
              <w:top w:val="single" w:sz="3" w:color="D9E2EC"/>
              <w:left w:val="single" w:sz="3" w:color="D9E2EC"/>
              <w:bottom w:val="single" w:sz="3" w:color="D9E2EC"/>
              <w:right w:val="single" w:sz="3" w:color="D9E2EC"/>
            </w:tcBorders>
            <w:vAlign w:val="top"/>
            <w:tcMar>
              <w:top w:w="90" w:type="dxa"/>
              <w:start w:w="100" w:type="dxa"/>
              <w:bottom w:w="90" w:type="dxa"/>
              <w:end w:w="100" w:type="dxa"/>
            </w:tcMar>
          </w:tcPr>
          <w:p>
            <w:pPr>
              <w:spacing w:after="0" w:line="252" w:lineRule="auto"/>
            </w:pPr>
            <w:r/>
            <w:r>
              <w:rPr>
                <w:rFonts w:ascii="Aptos" w:hAnsi="Aptos"/>
                <w:b w:val="0"/>
                <w:color w:val="243B53"/>
                <w:sz w:val="15"/>
              </w:rPr>
              <w:t>Role-neutral identity for flows that must not create student side effects</w:t>
            </w:r>
          </w:p>
        </w:tc>
      </w:tr>
      <w:tr>
        <w:tc>
          <w:tcPr>
            <w:tcW w:type="dxa" w:w="2232"/>
            <w:shd w:fill="FFFFFF"/>
            <w:tcBorders>
              <w:top w:val="single" w:sz="3" w:color="D9E2EC"/>
              <w:left w:val="single" w:sz="3" w:color="D9E2EC"/>
              <w:bottom w:val="single" w:sz="3" w:color="D9E2EC"/>
              <w:right w:val="single" w:sz="3" w:color="D9E2EC"/>
            </w:tcBorders>
            <w:vAlign w:val="top"/>
            <w:tcMar>
              <w:top w:w="90" w:type="dxa"/>
              <w:start w:w="100" w:type="dxa"/>
              <w:bottom w:w="90" w:type="dxa"/>
              <w:end w:w="100" w:type="dxa"/>
            </w:tcMar>
          </w:tcPr>
          <w:p>
            <w:pPr>
              <w:spacing w:after="0" w:line="252" w:lineRule="auto"/>
            </w:pPr>
            <w:r/>
            <w:r>
              <w:rPr>
                <w:rFonts w:ascii="Aptos" w:hAnsi="Aptos"/>
                <w:b w:val="0"/>
                <w:color w:val="243B53"/>
                <w:sz w:val="15"/>
              </w:rPr>
              <w:t>get_optional_user</w:t>
            </w:r>
          </w:p>
        </w:tc>
        <w:tc>
          <w:tcPr>
            <w:tcW w:type="dxa" w:w="3096"/>
            <w:shd w:fill="FFFFFF"/>
            <w:tcBorders>
              <w:top w:val="single" w:sz="3" w:color="D9E2EC"/>
              <w:left w:val="single" w:sz="3" w:color="D9E2EC"/>
              <w:bottom w:val="single" w:sz="3" w:color="D9E2EC"/>
              <w:right w:val="single" w:sz="3" w:color="D9E2EC"/>
            </w:tcBorders>
            <w:vAlign w:val="top"/>
            <w:tcMar>
              <w:top w:w="90" w:type="dxa"/>
              <w:start w:w="100" w:type="dxa"/>
              <w:bottom w:w="90" w:type="dxa"/>
              <w:end w:w="100" w:type="dxa"/>
            </w:tcMar>
          </w:tcPr>
          <w:p>
            <w:pPr>
              <w:spacing w:after="0" w:line="252" w:lineRule="auto"/>
            </w:pPr>
            <w:r/>
            <w:r>
              <w:rPr>
                <w:rFonts w:ascii="Aptos" w:hAnsi="Aptos"/>
                <w:b w:val="0"/>
                <w:color w:val="243B53"/>
                <w:sz w:val="15"/>
              </w:rPr>
              <w:t>No token allowed; valid student token optional</w:t>
            </w:r>
          </w:p>
        </w:tc>
        <w:tc>
          <w:tcPr>
            <w:tcW w:type="dxa" w:w="4031"/>
            <w:shd w:fill="FFFFFF"/>
            <w:tcBorders>
              <w:top w:val="single" w:sz="3" w:color="D9E2EC"/>
              <w:left w:val="single" w:sz="3" w:color="D9E2EC"/>
              <w:bottom w:val="single" w:sz="3" w:color="D9E2EC"/>
              <w:right w:val="single" w:sz="3" w:color="D9E2EC"/>
            </w:tcBorders>
            <w:vAlign w:val="top"/>
            <w:tcMar>
              <w:top w:w="90" w:type="dxa"/>
              <w:start w:w="100" w:type="dxa"/>
              <w:bottom w:w="90" w:type="dxa"/>
              <w:end w:w="100" w:type="dxa"/>
            </w:tcMar>
          </w:tcPr>
          <w:p>
            <w:pPr>
              <w:spacing w:after="0" w:line="252" w:lineRule="auto"/>
            </w:pPr>
            <w:r/>
            <w:r>
              <w:rPr>
                <w:rFonts w:ascii="Aptos" w:hAnsi="Aptos"/>
                <w:b w:val="0"/>
                <w:color w:val="243B53"/>
                <w:sz w:val="15"/>
              </w:rPr>
              <w:t>Anonymous is supported; elevated role is not silently treated as a student</w:t>
            </w:r>
          </w:p>
        </w:tc>
      </w:tr>
      <w:tr>
        <w:tc>
          <w:tcPr>
            <w:tcW w:type="dxa" w:w="2232"/>
            <w:shd w:fill="F4F7FA"/>
            <w:tcBorders>
              <w:top w:val="single" w:sz="3" w:color="D9E2EC"/>
              <w:left w:val="single" w:sz="3" w:color="D9E2EC"/>
              <w:bottom w:val="single" w:sz="3" w:color="D9E2EC"/>
              <w:right w:val="single" w:sz="3" w:color="D9E2EC"/>
            </w:tcBorders>
            <w:vAlign w:val="top"/>
            <w:tcMar>
              <w:top w:w="90" w:type="dxa"/>
              <w:start w:w="100" w:type="dxa"/>
              <w:bottom w:w="90" w:type="dxa"/>
              <w:end w:w="100" w:type="dxa"/>
            </w:tcMar>
          </w:tcPr>
          <w:p>
            <w:pPr>
              <w:spacing w:after="0" w:line="252" w:lineRule="auto"/>
            </w:pPr>
            <w:r/>
            <w:r>
              <w:rPr>
                <w:rFonts w:ascii="Aptos" w:hAnsi="Aptos"/>
                <w:b w:val="0"/>
                <w:color w:val="243B53"/>
                <w:sz w:val="15"/>
              </w:rPr>
              <w:t>get_current_teacher</w:t>
            </w:r>
          </w:p>
        </w:tc>
        <w:tc>
          <w:tcPr>
            <w:tcW w:type="dxa" w:w="3096"/>
            <w:shd w:fill="F4F7FA"/>
            <w:tcBorders>
              <w:top w:val="single" w:sz="3" w:color="D9E2EC"/>
              <w:left w:val="single" w:sz="3" w:color="D9E2EC"/>
              <w:bottom w:val="single" w:sz="3" w:color="D9E2EC"/>
              <w:right w:val="single" w:sz="3" w:color="D9E2EC"/>
            </w:tcBorders>
            <w:vAlign w:val="top"/>
            <w:tcMar>
              <w:top w:w="90" w:type="dxa"/>
              <w:start w:w="100" w:type="dxa"/>
              <w:bottom w:w="90" w:type="dxa"/>
              <w:end w:w="100" w:type="dxa"/>
            </w:tcMar>
          </w:tcPr>
          <w:p>
            <w:pPr>
              <w:spacing w:after="0" w:line="252" w:lineRule="auto"/>
            </w:pPr>
            <w:r/>
            <w:r>
              <w:rPr>
                <w:rFonts w:ascii="Aptos" w:hAnsi="Aptos"/>
                <w:b w:val="0"/>
                <w:color w:val="243B53"/>
                <w:sz w:val="15"/>
              </w:rPr>
              <w:t>role=teacher and institute_id</w:t>
            </w:r>
          </w:p>
        </w:tc>
        <w:tc>
          <w:tcPr>
            <w:tcW w:type="dxa" w:w="4031"/>
            <w:shd w:fill="F4F7FA"/>
            <w:tcBorders>
              <w:top w:val="single" w:sz="3" w:color="D9E2EC"/>
              <w:left w:val="single" w:sz="3" w:color="D9E2EC"/>
              <w:bottom w:val="single" w:sz="3" w:color="D9E2EC"/>
              <w:right w:val="single" w:sz="3" w:color="D9E2EC"/>
            </w:tcBorders>
            <w:vAlign w:val="top"/>
            <w:tcMar>
              <w:top w:w="90" w:type="dxa"/>
              <w:start w:w="100" w:type="dxa"/>
              <w:bottom w:w="90" w:type="dxa"/>
              <w:end w:w="100" w:type="dxa"/>
            </w:tcMar>
          </w:tcPr>
          <w:p>
            <w:pPr>
              <w:spacing w:after="0" w:line="252" w:lineRule="auto"/>
            </w:pPr>
            <w:r/>
            <w:r>
              <w:rPr>
                <w:rFonts w:ascii="Aptos" w:hAnsi="Aptos"/>
                <w:b w:val="0"/>
                <w:color w:val="243B53"/>
                <w:sz w:val="15"/>
              </w:rPr>
              <w:t>Ensures Teacher audit node; returns teacher_id and institute_id</w:t>
            </w:r>
          </w:p>
        </w:tc>
      </w:tr>
      <w:tr>
        <w:tc>
          <w:tcPr>
            <w:tcW w:type="dxa" w:w="2232"/>
            <w:shd w:fill="FFFFFF"/>
            <w:tcBorders>
              <w:top w:val="single" w:sz="3" w:color="D9E2EC"/>
              <w:left w:val="single" w:sz="3" w:color="D9E2EC"/>
              <w:bottom w:val="single" w:sz="3" w:color="D9E2EC"/>
              <w:right w:val="single" w:sz="3" w:color="D9E2EC"/>
            </w:tcBorders>
            <w:vAlign w:val="top"/>
            <w:tcMar>
              <w:top w:w="90" w:type="dxa"/>
              <w:start w:w="100" w:type="dxa"/>
              <w:bottom w:w="90" w:type="dxa"/>
              <w:end w:w="100" w:type="dxa"/>
            </w:tcMar>
          </w:tcPr>
          <w:p>
            <w:pPr>
              <w:spacing w:after="0" w:line="252" w:lineRule="auto"/>
            </w:pPr>
            <w:r/>
            <w:r>
              <w:rPr>
                <w:rFonts w:ascii="Aptos" w:hAnsi="Aptos"/>
                <w:b w:val="0"/>
                <w:color w:val="243B53"/>
                <w:sz w:val="15"/>
              </w:rPr>
              <w:t>get_current_admin</w:t>
            </w:r>
          </w:p>
        </w:tc>
        <w:tc>
          <w:tcPr>
            <w:tcW w:type="dxa" w:w="3096"/>
            <w:shd w:fill="FFFFFF"/>
            <w:tcBorders>
              <w:top w:val="single" w:sz="3" w:color="D9E2EC"/>
              <w:left w:val="single" w:sz="3" w:color="D9E2EC"/>
              <w:bottom w:val="single" w:sz="3" w:color="D9E2EC"/>
              <w:right w:val="single" w:sz="3" w:color="D9E2EC"/>
            </w:tcBorders>
            <w:vAlign w:val="top"/>
            <w:tcMar>
              <w:top w:w="90" w:type="dxa"/>
              <w:start w:w="100" w:type="dxa"/>
              <w:bottom w:w="90" w:type="dxa"/>
              <w:end w:w="100" w:type="dxa"/>
            </w:tcMar>
          </w:tcPr>
          <w:p>
            <w:pPr>
              <w:spacing w:after="0" w:line="252" w:lineRule="auto"/>
            </w:pPr>
            <w:r/>
            <w:r>
              <w:rPr>
                <w:rFonts w:ascii="Aptos" w:hAnsi="Aptos"/>
                <w:b w:val="0"/>
                <w:color w:val="243B53"/>
                <w:sz w:val="15"/>
              </w:rPr>
              <w:t>role=admin or superadmin</w:t>
            </w:r>
          </w:p>
        </w:tc>
        <w:tc>
          <w:tcPr>
            <w:tcW w:type="dxa" w:w="4031"/>
            <w:shd w:fill="FFFFFF"/>
            <w:tcBorders>
              <w:top w:val="single" w:sz="3" w:color="D9E2EC"/>
              <w:left w:val="single" w:sz="3" w:color="D9E2EC"/>
              <w:bottom w:val="single" w:sz="3" w:color="D9E2EC"/>
              <w:right w:val="single" w:sz="3" w:color="D9E2EC"/>
            </w:tcBorders>
            <w:vAlign w:val="top"/>
            <w:tcMar>
              <w:top w:w="90" w:type="dxa"/>
              <w:start w:w="100" w:type="dxa"/>
              <w:bottom w:w="90" w:type="dxa"/>
              <w:end w:w="100" w:type="dxa"/>
            </w:tcMar>
          </w:tcPr>
          <w:p>
            <w:pPr>
              <w:spacing w:after="0" w:line="252" w:lineRule="auto"/>
            </w:pPr>
            <w:r/>
            <w:r>
              <w:rPr>
                <w:rFonts w:ascii="Aptos" w:hAnsi="Aptos"/>
                <w:b w:val="0"/>
                <w:color w:val="243B53"/>
                <w:sz w:val="15"/>
              </w:rPr>
              <w:t>Returns admin identity for administrative actions</w:t>
            </w:r>
          </w:p>
        </w:tc>
      </w:tr>
    </w:tbl>
    <w:p>
      <w:pPr>
        <w:spacing w:after="0"/>
      </w:pPr>
    </w:p>
    <w:p>
      <w:pPr>
        <w:pStyle w:val="ListBullet"/>
      </w:pPr>
      <w:r>
        <w:t>Student identity is normalized as student:{firebase_uid}; teacher identity as teacher:{firebase_uid}.</w:t>
      </w:r>
    </w:p>
    <w:p>
      <w:pPr>
        <w:pStyle w:val="ListBullet"/>
      </w:pPr>
      <w:r>
        <w:t>Teacher analytics never trusts institute_id from query parameters or request bodies; it uses the verified claim.</w:t>
      </w:r>
    </w:p>
    <w:p>
      <w:pPr>
        <w:pStyle w:val="ListBullet"/>
      </w:pPr>
      <w:r>
        <w:t>Student detail routes verify that the target Student node belongs to the teacher's institute before returning data.</w:t>
      </w:r>
    </w:p>
    <w:p>
      <w:pPr>
        <w:pStyle w:val="ListBullet"/>
      </w:pPr>
      <w:r>
        <w:t>The backend does not treat an admin claim as a teacher claim. A dual-role account needs an explicit role policy; the current teacher dependency expects role=teacher.</w:t>
      </w:r>
    </w:p>
    <w:tbl>
      <w:tblPr>
        <w:tblW w:type="auto" w:w="0"/>
        <w:jc w:val="left"/>
        <w:tblLayout w:type="fixed"/>
        <w:tblLook w:firstColumn="1" w:firstRow="1" w:lastColumn="0" w:lastRow="0" w:noHBand="0" w:noVBand="1" w:val="04A0"/>
      </w:tblPr>
      <w:tblGrid>
        <w:gridCol w:w="9994"/>
      </w:tblGrid>
      <w:tr>
        <w:trPr>
          <w:tblHeader w:val="true"/>
        </w:trPr>
        <w:tc>
          <w:tcPr>
            <w:tcW w:type="dxa" w:w="9994"/>
            <w:shd w:fill="EAF2FF"/>
            <w:tcBorders>
              <w:top w:val="single" w:sz="7" w:color="82B7E8"/>
              <w:left w:val="single" w:sz="7" w:color="82B7E8"/>
              <w:bottom w:val="single" w:sz="7" w:color="82B7E8"/>
              <w:right w:val="single" w:sz="7" w:color="82B7E8"/>
            </w:tcBorders>
            <w:tcMar>
              <w:top w:w="120" w:type="dxa"/>
              <w:start w:w="140" w:type="dxa"/>
              <w:bottom w:w="120" w:type="dxa"/>
              <w:end w:w="140" w:type="dxa"/>
            </w:tcMar>
          </w:tcPr>
          <w:p>
            <w:pPr>
              <w:spacing w:after="40"/>
            </w:pPr>
            <w:r>
              <w:rPr>
                <w:b/>
                <w:color w:val="243B53"/>
                <w:sz w:val="17"/>
              </w:rPr>
              <w:t>Operational requirement</w:t>
            </w:r>
          </w:p>
          <w:p>
            <w:pPr>
              <w:spacing w:after="0"/>
            </w:pPr>
            <w:r>
              <w:rPr>
                <w:sz w:val="16"/>
              </w:rPr>
              <w:t>Firebase custom claims must be refreshed in the client after an admin changes a role. The old ID token continues to carry the old claims until refresh or reauthentication.</w:t>
            </w:r>
          </w:p>
        </w:tc>
      </w:tr>
    </w:tbl>
    <w:p>
      <w:pPr>
        <w:pStyle w:val="Heading1"/>
      </w:pPr>
      <w:r>
        <w:t>5. Neo4j Data Model And Persistence</w:t>
      </w:r>
    </w:p>
    <w:p>
      <w:r>
        <w:t>Neo4j is the system of record for curriculum structure and learner state. backend/app/database.py creates one shared driver with 30-second connection and acquisition timeouts, a 30-second transaction retry window, one-hour connection lifetime, keep-alive, and a pool size of 50.</w:t>
      </w:r>
    </w:p>
    <w:p>
      <w:pPr>
        <w:pStyle w:val="Heading2"/>
      </w:pPr>
      <w:r>
        <w:t>Core curriculum nodes and relationships</w:t>
      </w:r>
    </w:p>
    <w:p>
      <w:pPr>
        <w:pStyle w:val="ListBullet"/>
      </w:pPr>
      <w:r>
        <w:t>Grade -&gt; Subject -&gt; Textbook -&gt; Chapter -&gt; Section -&gt; Subsection is the primary navigation hierarchy.</w:t>
      </w:r>
    </w:p>
    <w:p>
      <w:pPr>
        <w:pStyle w:val="ListBullet"/>
      </w:pPr>
      <w:r>
        <w:t>Sections connect to Concept nodes through REQUIRES. Assessment first uses concepts directly required by the active section; if none exist, it collects concepts required by sections in the same chapter as evaluation-only fallback candidates.</w:t>
      </w:r>
    </w:p>
    <w:p>
      <w:pPr>
        <w:pStyle w:val="ListBullet"/>
      </w:pPr>
      <w:r>
        <w:t>Exercises belong to sections and may be associated with concepts where the curriculum data provides that linkage.</w:t>
      </w:r>
    </w:p>
    <w:p>
      <w:pPr>
        <w:pStyle w:val="Heading2"/>
      </w:pPr>
      <w:r>
        <w:t>Learner-state nodes and relationships</w:t>
      </w:r>
    </w:p>
    <w:tbl>
      <w:tblPr>
        <w:tblW w:type="auto" w:w="0"/>
        <w:jc w:val="left"/>
        <w:tblLayout w:type="fixed"/>
        <w:tblLook w:firstColumn="1" w:firstRow="1" w:lastColumn="0" w:lastRow="0" w:noHBand="0" w:noVBand="1" w:val="04A0"/>
      </w:tblPr>
      <w:tblGrid>
        <w:gridCol w:w="3331"/>
        <w:gridCol w:w="3331"/>
        <w:gridCol w:w="3331"/>
      </w:tblGrid>
      <w:tr>
        <w:trPr>
          <w:tblHeader w:val="true"/>
        </w:trPr>
        <w:tc>
          <w:tcPr>
            <w:tcW w:type="dxa" w:w="1944"/>
            <w:shd w:fill="102A43"/>
            <w:tcBorders>
              <w:top w:val="single" w:sz="4" w:color="102A43"/>
              <w:left w:val="single" w:sz="4" w:color="102A43"/>
              <w:bottom w:val="single" w:sz="4" w:color="102A43"/>
              <w:right w:val="single" w:sz="4" w:color="102A43"/>
            </w:tcBorders>
            <w:vAlign w:val="top"/>
            <w:tcMar>
              <w:top w:w="90" w:type="dxa"/>
              <w:start w:w="100" w:type="dxa"/>
              <w:bottom w:w="90" w:type="dxa"/>
              <w:end w:w="100" w:type="dxa"/>
            </w:tcMar>
          </w:tcPr>
          <w:p>
            <w:pPr>
              <w:spacing w:after="0" w:line="252" w:lineRule="auto"/>
            </w:pPr>
            <w:r/>
            <w:r>
              <w:rPr>
                <w:rFonts w:ascii="Aptos" w:hAnsi="Aptos"/>
                <w:b/>
                <w:color w:val="FFFFFF"/>
                <w:sz w:val="14"/>
              </w:rPr>
              <w:t>ENTITY</w:t>
            </w:r>
          </w:p>
        </w:tc>
        <w:tc>
          <w:tcPr>
            <w:tcW w:type="dxa" w:w="3384"/>
            <w:shd w:fill="102A43"/>
            <w:tcBorders>
              <w:top w:val="single" w:sz="4" w:color="102A43"/>
              <w:left w:val="single" w:sz="4" w:color="102A43"/>
              <w:bottom w:val="single" w:sz="4" w:color="102A43"/>
              <w:right w:val="single" w:sz="4" w:color="102A43"/>
            </w:tcBorders>
            <w:vAlign w:val="top"/>
            <w:tcMar>
              <w:top w:w="90" w:type="dxa"/>
              <w:start w:w="100" w:type="dxa"/>
              <w:bottom w:w="90" w:type="dxa"/>
              <w:end w:w="100" w:type="dxa"/>
            </w:tcMar>
          </w:tcPr>
          <w:p>
            <w:pPr>
              <w:spacing w:after="0" w:line="252" w:lineRule="auto"/>
            </w:pPr>
            <w:r/>
            <w:r>
              <w:rPr>
                <w:rFonts w:ascii="Aptos" w:hAnsi="Aptos"/>
                <w:b/>
                <w:color w:val="FFFFFF"/>
                <w:sz w:val="14"/>
              </w:rPr>
              <w:t>KEY FIELDS</w:t>
            </w:r>
          </w:p>
        </w:tc>
        <w:tc>
          <w:tcPr>
            <w:tcW w:type="dxa" w:w="4031"/>
            <w:shd w:fill="102A43"/>
            <w:tcBorders>
              <w:top w:val="single" w:sz="4" w:color="102A43"/>
              <w:left w:val="single" w:sz="4" w:color="102A43"/>
              <w:bottom w:val="single" w:sz="4" w:color="102A43"/>
              <w:right w:val="single" w:sz="4" w:color="102A43"/>
            </w:tcBorders>
            <w:vAlign w:val="top"/>
            <w:tcMar>
              <w:top w:w="90" w:type="dxa"/>
              <w:start w:w="100" w:type="dxa"/>
              <w:bottom w:w="90" w:type="dxa"/>
              <w:end w:w="100" w:type="dxa"/>
            </w:tcMar>
          </w:tcPr>
          <w:p>
            <w:pPr>
              <w:spacing w:after="0" w:line="252" w:lineRule="auto"/>
            </w:pPr>
            <w:r/>
            <w:r>
              <w:rPr>
                <w:rFonts w:ascii="Aptos" w:hAnsi="Aptos"/>
                <w:b/>
                <w:color w:val="FFFFFF"/>
                <w:sz w:val="14"/>
              </w:rPr>
              <w:t>RELATIONSHIPS / USE</w:t>
            </w:r>
          </w:p>
        </w:tc>
      </w:tr>
      <w:tr>
        <w:tc>
          <w:tcPr>
            <w:tcW w:type="dxa" w:w="1944"/>
            <w:shd w:fill="FFFFFF"/>
            <w:tcBorders>
              <w:top w:val="single" w:sz="3" w:color="D9E2EC"/>
              <w:left w:val="single" w:sz="3" w:color="D9E2EC"/>
              <w:bottom w:val="single" w:sz="3" w:color="D9E2EC"/>
              <w:right w:val="single" w:sz="3" w:color="D9E2EC"/>
            </w:tcBorders>
            <w:vAlign w:val="top"/>
            <w:tcMar>
              <w:top w:w="90" w:type="dxa"/>
              <w:start w:w="100" w:type="dxa"/>
              <w:bottom w:w="90" w:type="dxa"/>
              <w:end w:w="100" w:type="dxa"/>
            </w:tcMar>
          </w:tcPr>
          <w:p>
            <w:pPr>
              <w:spacing w:after="0" w:line="252" w:lineRule="auto"/>
            </w:pPr>
            <w:r/>
            <w:r>
              <w:rPr>
                <w:rFonts w:ascii="Aptos" w:hAnsi="Aptos"/>
                <w:b w:val="0"/>
                <w:color w:val="243B53"/>
                <w:sz w:val="15"/>
              </w:rPr>
              <w:t>Student</w:t>
            </w:r>
          </w:p>
        </w:tc>
        <w:tc>
          <w:tcPr>
            <w:tcW w:type="dxa" w:w="3384"/>
            <w:shd w:fill="FFFFFF"/>
            <w:tcBorders>
              <w:top w:val="single" w:sz="3" w:color="D9E2EC"/>
              <w:left w:val="single" w:sz="3" w:color="D9E2EC"/>
              <w:bottom w:val="single" w:sz="3" w:color="D9E2EC"/>
              <w:right w:val="single" w:sz="3" w:color="D9E2EC"/>
            </w:tcBorders>
            <w:vAlign w:val="top"/>
            <w:tcMar>
              <w:top w:w="90" w:type="dxa"/>
              <w:start w:w="100" w:type="dxa"/>
              <w:bottom w:w="90" w:type="dxa"/>
              <w:end w:w="100" w:type="dxa"/>
            </w:tcMar>
          </w:tcPr>
          <w:p>
            <w:pPr>
              <w:spacing w:after="0" w:line="252" w:lineRule="auto"/>
            </w:pPr>
            <w:r/>
            <w:r>
              <w:rPr>
                <w:rFonts w:ascii="Aptos" w:hAnsi="Aptos"/>
                <w:b w:val="0"/>
                <w:color w:val="243B53"/>
                <w:sz w:val="15"/>
              </w:rPr>
              <w:t>id, uid, name, email, role, grade, institute_id</w:t>
            </w:r>
          </w:p>
        </w:tc>
        <w:tc>
          <w:tcPr>
            <w:tcW w:type="dxa" w:w="4031"/>
            <w:shd w:fill="FFFFFF"/>
            <w:tcBorders>
              <w:top w:val="single" w:sz="3" w:color="D9E2EC"/>
              <w:left w:val="single" w:sz="3" w:color="D9E2EC"/>
              <w:bottom w:val="single" w:sz="3" w:color="D9E2EC"/>
              <w:right w:val="single" w:sz="3" w:color="D9E2EC"/>
            </w:tcBorders>
            <w:vAlign w:val="top"/>
            <w:tcMar>
              <w:top w:w="90" w:type="dxa"/>
              <w:start w:w="100" w:type="dxa"/>
              <w:bottom w:w="90" w:type="dxa"/>
              <w:end w:w="100" w:type="dxa"/>
            </w:tcMar>
          </w:tcPr>
          <w:p>
            <w:pPr>
              <w:spacing w:after="0" w:line="252" w:lineRule="auto"/>
            </w:pPr>
            <w:r/>
            <w:r>
              <w:rPr>
                <w:rFonts w:ascii="Aptos" w:hAnsi="Aptos"/>
                <w:b w:val="0"/>
                <w:color w:val="243B53"/>
                <w:sz w:val="15"/>
              </w:rPr>
              <w:t>ENROLLED_IN Institute; SUBMITTED AssessmentAttempt; owns Insight and tutor sessions</w:t>
            </w:r>
          </w:p>
        </w:tc>
      </w:tr>
      <w:tr>
        <w:tc>
          <w:tcPr>
            <w:tcW w:type="dxa" w:w="1944"/>
            <w:shd w:fill="F4F7FA"/>
            <w:tcBorders>
              <w:top w:val="single" w:sz="3" w:color="D9E2EC"/>
              <w:left w:val="single" w:sz="3" w:color="D9E2EC"/>
              <w:bottom w:val="single" w:sz="3" w:color="D9E2EC"/>
              <w:right w:val="single" w:sz="3" w:color="D9E2EC"/>
            </w:tcBorders>
            <w:vAlign w:val="top"/>
            <w:tcMar>
              <w:top w:w="90" w:type="dxa"/>
              <w:start w:w="100" w:type="dxa"/>
              <w:bottom w:w="90" w:type="dxa"/>
              <w:end w:w="100" w:type="dxa"/>
            </w:tcMar>
          </w:tcPr>
          <w:p>
            <w:pPr>
              <w:spacing w:after="0" w:line="252" w:lineRule="auto"/>
            </w:pPr>
            <w:r/>
            <w:r>
              <w:rPr>
                <w:rFonts w:ascii="Aptos" w:hAnsi="Aptos"/>
                <w:b w:val="0"/>
                <w:color w:val="243B53"/>
                <w:sz w:val="15"/>
              </w:rPr>
              <w:t>Insight</w:t>
            </w:r>
          </w:p>
        </w:tc>
        <w:tc>
          <w:tcPr>
            <w:tcW w:type="dxa" w:w="3384"/>
            <w:shd w:fill="F4F7FA"/>
            <w:tcBorders>
              <w:top w:val="single" w:sz="3" w:color="D9E2EC"/>
              <w:left w:val="single" w:sz="3" w:color="D9E2EC"/>
              <w:bottom w:val="single" w:sz="3" w:color="D9E2EC"/>
              <w:right w:val="single" w:sz="3" w:color="D9E2EC"/>
            </w:tcBorders>
            <w:vAlign w:val="top"/>
            <w:tcMar>
              <w:top w:w="90" w:type="dxa"/>
              <w:start w:w="100" w:type="dxa"/>
              <w:bottom w:w="90" w:type="dxa"/>
              <w:end w:w="100" w:type="dxa"/>
            </w:tcMar>
          </w:tcPr>
          <w:p>
            <w:pPr>
              <w:spacing w:after="0" w:line="252" w:lineRule="auto"/>
            </w:pPr>
            <w:r/>
            <w:r>
              <w:rPr>
                <w:rFonts w:ascii="Aptos" w:hAnsi="Aptos"/>
                <w:b w:val="0"/>
                <w:color w:val="243B53"/>
                <w:sz w:val="15"/>
              </w:rPr>
              <w:t>id, type, category, content, is_active, embedding, created_at</w:t>
            </w:r>
          </w:p>
        </w:tc>
        <w:tc>
          <w:tcPr>
            <w:tcW w:type="dxa" w:w="4031"/>
            <w:shd w:fill="F4F7FA"/>
            <w:tcBorders>
              <w:top w:val="single" w:sz="3" w:color="D9E2EC"/>
              <w:left w:val="single" w:sz="3" w:color="D9E2EC"/>
              <w:bottom w:val="single" w:sz="3" w:color="D9E2EC"/>
              <w:right w:val="single" w:sz="3" w:color="D9E2EC"/>
            </w:tcBorders>
            <w:vAlign w:val="top"/>
            <w:tcMar>
              <w:top w:w="90" w:type="dxa"/>
              <w:start w:w="100" w:type="dxa"/>
              <w:bottom w:w="90" w:type="dxa"/>
              <w:end w:w="100" w:type="dxa"/>
            </w:tcMar>
          </w:tcPr>
          <w:p>
            <w:pPr>
              <w:spacing w:after="0" w:line="252" w:lineRule="auto"/>
            </w:pPr>
            <w:r/>
            <w:r>
              <w:rPr>
                <w:rFonts w:ascii="Aptos" w:hAnsi="Aptos"/>
                <w:b w:val="0"/>
                <w:color w:val="243B53"/>
                <w:sz w:val="15"/>
              </w:rPr>
              <w:t>ABOUT_CONCEPT, ABOUT_SOURCE, ABOUT_SUBSECTION; SUPERSEDES prior insight</w:t>
            </w:r>
          </w:p>
        </w:tc>
      </w:tr>
      <w:tr>
        <w:tc>
          <w:tcPr>
            <w:tcW w:type="dxa" w:w="1944"/>
            <w:shd w:fill="FFFFFF"/>
            <w:tcBorders>
              <w:top w:val="single" w:sz="3" w:color="D9E2EC"/>
              <w:left w:val="single" w:sz="3" w:color="D9E2EC"/>
              <w:bottom w:val="single" w:sz="3" w:color="D9E2EC"/>
              <w:right w:val="single" w:sz="3" w:color="D9E2EC"/>
            </w:tcBorders>
            <w:vAlign w:val="top"/>
            <w:tcMar>
              <w:top w:w="90" w:type="dxa"/>
              <w:start w:w="100" w:type="dxa"/>
              <w:bottom w:w="90" w:type="dxa"/>
              <w:end w:w="100" w:type="dxa"/>
            </w:tcMar>
          </w:tcPr>
          <w:p>
            <w:pPr>
              <w:spacing w:after="0" w:line="252" w:lineRule="auto"/>
            </w:pPr>
            <w:r/>
            <w:r>
              <w:rPr>
                <w:rFonts w:ascii="Aptos" w:hAnsi="Aptos"/>
                <w:b w:val="0"/>
                <w:color w:val="243B53"/>
                <w:sz w:val="15"/>
              </w:rPr>
              <w:t>AssessmentAttempt</w:t>
            </w:r>
          </w:p>
        </w:tc>
        <w:tc>
          <w:tcPr>
            <w:tcW w:type="dxa" w:w="3384"/>
            <w:shd w:fill="FFFFFF"/>
            <w:tcBorders>
              <w:top w:val="single" w:sz="3" w:color="D9E2EC"/>
              <w:left w:val="single" w:sz="3" w:color="D9E2EC"/>
              <w:bottom w:val="single" w:sz="3" w:color="D9E2EC"/>
              <w:right w:val="single" w:sz="3" w:color="D9E2EC"/>
            </w:tcBorders>
            <w:vAlign w:val="top"/>
            <w:tcMar>
              <w:top w:w="90" w:type="dxa"/>
              <w:start w:w="100" w:type="dxa"/>
              <w:bottom w:w="90" w:type="dxa"/>
              <w:end w:w="100" w:type="dxa"/>
            </w:tcMar>
          </w:tcPr>
          <w:p>
            <w:pPr>
              <w:spacing w:after="0" w:line="252" w:lineRule="auto"/>
            </w:pPr>
            <w:r/>
            <w:r>
              <w:rPr>
                <w:rFonts w:ascii="Aptos" w:hAnsi="Aptos"/>
                <w:b w:val="0"/>
                <w:color w:val="243B53"/>
                <w:sz w:val="15"/>
              </w:rPr>
              <w:t>id, mode, answer metadata, status, scores, timestamps</w:t>
            </w:r>
          </w:p>
        </w:tc>
        <w:tc>
          <w:tcPr>
            <w:tcW w:type="dxa" w:w="4031"/>
            <w:shd w:fill="FFFFFF"/>
            <w:tcBorders>
              <w:top w:val="single" w:sz="3" w:color="D9E2EC"/>
              <w:left w:val="single" w:sz="3" w:color="D9E2EC"/>
              <w:bottom w:val="single" w:sz="3" w:color="D9E2EC"/>
              <w:right w:val="single" w:sz="3" w:color="D9E2EC"/>
            </w:tcBorders>
            <w:vAlign w:val="top"/>
            <w:tcMar>
              <w:top w:w="90" w:type="dxa"/>
              <w:start w:w="100" w:type="dxa"/>
              <w:bottom w:w="90" w:type="dxa"/>
              <w:end w:w="100" w:type="dxa"/>
            </w:tcMar>
          </w:tcPr>
          <w:p>
            <w:pPr>
              <w:spacing w:after="0" w:line="252" w:lineRule="auto"/>
            </w:pPr>
            <w:r/>
            <w:r>
              <w:rPr>
                <w:rFonts w:ascii="Aptos" w:hAnsi="Aptos"/>
                <w:b w:val="0"/>
                <w:color w:val="243B53"/>
                <w:sz w:val="15"/>
              </w:rPr>
              <w:t>SUBMITTED by Student; ABOUT_SECTION/SUBSECTION/EXERCISE; ASSESSED Concept</w:t>
            </w:r>
          </w:p>
        </w:tc>
      </w:tr>
      <w:tr>
        <w:tc>
          <w:tcPr>
            <w:tcW w:type="dxa" w:w="1944"/>
            <w:shd w:fill="F4F7FA"/>
            <w:tcBorders>
              <w:top w:val="single" w:sz="3" w:color="D9E2EC"/>
              <w:left w:val="single" w:sz="3" w:color="D9E2EC"/>
              <w:bottom w:val="single" w:sz="3" w:color="D9E2EC"/>
              <w:right w:val="single" w:sz="3" w:color="D9E2EC"/>
            </w:tcBorders>
            <w:vAlign w:val="top"/>
            <w:tcMar>
              <w:top w:w="90" w:type="dxa"/>
              <w:start w:w="100" w:type="dxa"/>
              <w:bottom w:w="90" w:type="dxa"/>
              <w:end w:w="100" w:type="dxa"/>
            </w:tcMar>
          </w:tcPr>
          <w:p>
            <w:pPr>
              <w:spacing w:after="0" w:line="252" w:lineRule="auto"/>
            </w:pPr>
            <w:r/>
            <w:r>
              <w:rPr>
                <w:rFonts w:ascii="Aptos" w:hAnsi="Aptos"/>
                <w:b w:val="0"/>
                <w:color w:val="243B53"/>
                <w:sz w:val="15"/>
              </w:rPr>
              <w:t>TutorConversation / Message</w:t>
            </w:r>
          </w:p>
        </w:tc>
        <w:tc>
          <w:tcPr>
            <w:tcW w:type="dxa" w:w="3384"/>
            <w:shd w:fill="F4F7FA"/>
            <w:tcBorders>
              <w:top w:val="single" w:sz="3" w:color="D9E2EC"/>
              <w:left w:val="single" w:sz="3" w:color="D9E2EC"/>
              <w:bottom w:val="single" w:sz="3" w:color="D9E2EC"/>
              <w:right w:val="single" w:sz="3" w:color="D9E2EC"/>
            </w:tcBorders>
            <w:vAlign w:val="top"/>
            <w:tcMar>
              <w:top w:w="90" w:type="dxa"/>
              <w:start w:w="100" w:type="dxa"/>
              <w:bottom w:w="90" w:type="dxa"/>
              <w:end w:w="100" w:type="dxa"/>
            </w:tcMar>
          </w:tcPr>
          <w:p>
            <w:pPr>
              <w:spacing w:after="0" w:line="252" w:lineRule="auto"/>
            </w:pPr>
            <w:r/>
            <w:r>
              <w:rPr>
                <w:rFonts w:ascii="Aptos" w:hAnsi="Aptos"/>
                <w:b w:val="0"/>
                <w:color w:val="243B53"/>
                <w:sz w:val="15"/>
              </w:rPr>
              <w:t>session, role, content, timestamps</w:t>
            </w:r>
          </w:p>
        </w:tc>
        <w:tc>
          <w:tcPr>
            <w:tcW w:type="dxa" w:w="4031"/>
            <w:shd w:fill="F4F7FA"/>
            <w:tcBorders>
              <w:top w:val="single" w:sz="3" w:color="D9E2EC"/>
              <w:left w:val="single" w:sz="3" w:color="D9E2EC"/>
              <w:bottom w:val="single" w:sz="3" w:color="D9E2EC"/>
              <w:right w:val="single" w:sz="3" w:color="D9E2EC"/>
            </w:tcBorders>
            <w:vAlign w:val="top"/>
            <w:tcMar>
              <w:top w:w="90" w:type="dxa"/>
              <w:start w:w="100" w:type="dxa"/>
              <w:bottom w:w="90" w:type="dxa"/>
              <w:end w:w="100" w:type="dxa"/>
            </w:tcMar>
          </w:tcPr>
          <w:p>
            <w:pPr>
              <w:spacing w:after="0" w:line="252" w:lineRule="auto"/>
            </w:pPr>
            <w:r/>
            <w:r>
              <w:rPr>
                <w:rFonts w:ascii="Aptos" w:hAnsi="Aptos"/>
                <w:b w:val="0"/>
                <w:color w:val="243B53"/>
                <w:sz w:val="15"/>
              </w:rPr>
              <w:t>Student-owned conversation history; loaded into LangGraph state</w:t>
            </w:r>
          </w:p>
        </w:tc>
      </w:tr>
      <w:tr>
        <w:tc>
          <w:tcPr>
            <w:tcW w:type="dxa" w:w="1944"/>
            <w:shd w:fill="FFFFFF"/>
            <w:tcBorders>
              <w:top w:val="single" w:sz="3" w:color="D9E2EC"/>
              <w:left w:val="single" w:sz="3" w:color="D9E2EC"/>
              <w:bottom w:val="single" w:sz="3" w:color="D9E2EC"/>
              <w:right w:val="single" w:sz="3" w:color="D9E2EC"/>
            </w:tcBorders>
            <w:vAlign w:val="top"/>
            <w:tcMar>
              <w:top w:w="90" w:type="dxa"/>
              <w:start w:w="100" w:type="dxa"/>
              <w:bottom w:w="90" w:type="dxa"/>
              <w:end w:w="100" w:type="dxa"/>
            </w:tcMar>
          </w:tcPr>
          <w:p>
            <w:pPr>
              <w:spacing w:after="0" w:line="252" w:lineRule="auto"/>
            </w:pPr>
            <w:r/>
            <w:r>
              <w:rPr>
                <w:rFonts w:ascii="Aptos" w:hAnsi="Aptos"/>
                <w:b w:val="0"/>
                <w:color w:val="243B53"/>
                <w:sz w:val="15"/>
              </w:rPr>
              <w:t>StudentClusterSnapshot</w:t>
            </w:r>
          </w:p>
        </w:tc>
        <w:tc>
          <w:tcPr>
            <w:tcW w:type="dxa" w:w="3384"/>
            <w:shd w:fill="FFFFFF"/>
            <w:tcBorders>
              <w:top w:val="single" w:sz="3" w:color="D9E2EC"/>
              <w:left w:val="single" w:sz="3" w:color="D9E2EC"/>
              <w:bottom w:val="single" w:sz="3" w:color="D9E2EC"/>
              <w:right w:val="single" w:sz="3" w:color="D9E2EC"/>
            </w:tcBorders>
            <w:vAlign w:val="top"/>
            <w:tcMar>
              <w:top w:w="90" w:type="dxa"/>
              <w:start w:w="100" w:type="dxa"/>
              <w:bottom w:w="90" w:type="dxa"/>
              <w:end w:w="100" w:type="dxa"/>
            </w:tcMar>
          </w:tcPr>
          <w:p>
            <w:pPr>
              <w:spacing w:after="0" w:line="252" w:lineRule="auto"/>
            </w:pPr>
            <w:r/>
            <w:r>
              <w:rPr>
                <w:rFonts w:ascii="Aptos" w:hAnsi="Aptos"/>
                <w:b w:val="0"/>
                <w:color w:val="243B53"/>
                <w:sz w:val="15"/>
              </w:rPr>
              <w:t>id, institute_id, run_at, algorithm, quality_json</w:t>
            </w:r>
          </w:p>
        </w:tc>
        <w:tc>
          <w:tcPr>
            <w:tcW w:type="dxa" w:w="4031"/>
            <w:shd w:fill="FFFFFF"/>
            <w:tcBorders>
              <w:top w:val="single" w:sz="3" w:color="D9E2EC"/>
              <w:left w:val="single" w:sz="3" w:color="D9E2EC"/>
              <w:bottom w:val="single" w:sz="3" w:color="D9E2EC"/>
              <w:right w:val="single" w:sz="3" w:color="D9E2EC"/>
            </w:tcBorders>
            <w:vAlign w:val="top"/>
            <w:tcMar>
              <w:top w:w="90" w:type="dxa"/>
              <w:start w:w="100" w:type="dxa"/>
              <w:bottom w:w="90" w:type="dxa"/>
              <w:end w:w="100" w:type="dxa"/>
            </w:tcMar>
          </w:tcPr>
          <w:p>
            <w:pPr>
              <w:spacing w:after="0" w:line="252" w:lineRule="auto"/>
            </w:pPr>
            <w:r/>
            <w:r>
              <w:rPr>
                <w:rFonts w:ascii="Aptos" w:hAnsi="Aptos"/>
                <w:b w:val="0"/>
                <w:color w:val="243B53"/>
                <w:sz w:val="15"/>
              </w:rPr>
              <w:t>Contains StudentCluster nodes; historical snapshots retained</w:t>
            </w:r>
          </w:p>
        </w:tc>
      </w:tr>
      <w:tr>
        <w:tc>
          <w:tcPr>
            <w:tcW w:type="dxa" w:w="1944"/>
            <w:shd w:fill="F4F7FA"/>
            <w:tcBorders>
              <w:top w:val="single" w:sz="3" w:color="D9E2EC"/>
              <w:left w:val="single" w:sz="3" w:color="D9E2EC"/>
              <w:bottom w:val="single" w:sz="3" w:color="D9E2EC"/>
              <w:right w:val="single" w:sz="3" w:color="D9E2EC"/>
            </w:tcBorders>
            <w:vAlign w:val="top"/>
            <w:tcMar>
              <w:top w:w="90" w:type="dxa"/>
              <w:start w:w="100" w:type="dxa"/>
              <w:bottom w:w="90" w:type="dxa"/>
              <w:end w:w="100" w:type="dxa"/>
            </w:tcMar>
          </w:tcPr>
          <w:p>
            <w:pPr>
              <w:spacing w:after="0" w:line="252" w:lineRule="auto"/>
            </w:pPr>
            <w:r/>
            <w:r>
              <w:rPr>
                <w:rFonts w:ascii="Aptos" w:hAnsi="Aptos"/>
                <w:b w:val="0"/>
                <w:color w:val="243B53"/>
                <w:sz w:val="15"/>
              </w:rPr>
              <w:t>StudentCluster</w:t>
            </w:r>
          </w:p>
        </w:tc>
        <w:tc>
          <w:tcPr>
            <w:tcW w:type="dxa" w:w="3384"/>
            <w:shd w:fill="F4F7FA"/>
            <w:tcBorders>
              <w:top w:val="single" w:sz="3" w:color="D9E2EC"/>
              <w:left w:val="single" w:sz="3" w:color="D9E2EC"/>
              <w:bottom w:val="single" w:sz="3" w:color="D9E2EC"/>
              <w:right w:val="single" w:sz="3" w:color="D9E2EC"/>
            </w:tcBorders>
            <w:vAlign w:val="top"/>
            <w:tcMar>
              <w:top w:w="90" w:type="dxa"/>
              <w:start w:w="100" w:type="dxa"/>
              <w:bottom w:w="90" w:type="dxa"/>
              <w:end w:w="100" w:type="dxa"/>
            </w:tcMar>
          </w:tcPr>
          <w:p>
            <w:pPr>
              <w:spacing w:after="0" w:line="252" w:lineRule="auto"/>
            </w:pPr>
            <w:r/>
            <w:r>
              <w:rPr>
                <w:rFonts w:ascii="Aptos" w:hAnsi="Aptos"/>
                <w:b w:val="0"/>
                <w:color w:val="243B53"/>
                <w:sz w:val="15"/>
              </w:rPr>
              <w:t>id, label, size, risk metadata, explanations</w:t>
            </w:r>
          </w:p>
        </w:tc>
        <w:tc>
          <w:tcPr>
            <w:tcW w:type="dxa" w:w="4031"/>
            <w:shd w:fill="F4F7FA"/>
            <w:tcBorders>
              <w:top w:val="single" w:sz="3" w:color="D9E2EC"/>
              <w:left w:val="single" w:sz="3" w:color="D9E2EC"/>
              <w:bottom w:val="single" w:sz="3" w:color="D9E2EC"/>
              <w:right w:val="single" w:sz="3" w:color="D9E2EC"/>
            </w:tcBorders>
            <w:vAlign w:val="top"/>
            <w:tcMar>
              <w:top w:w="90" w:type="dxa"/>
              <w:start w:w="100" w:type="dxa"/>
              <w:bottom w:w="90" w:type="dxa"/>
              <w:end w:w="100" w:type="dxa"/>
            </w:tcMar>
          </w:tcPr>
          <w:p>
            <w:pPr>
              <w:spacing w:after="0" w:line="252" w:lineRule="auto"/>
            </w:pPr>
            <w:r/>
            <w:r>
              <w:rPr>
                <w:rFonts w:ascii="Aptos" w:hAnsi="Aptos"/>
                <w:b w:val="0"/>
                <w:color w:val="243B53"/>
                <w:sz w:val="15"/>
              </w:rPr>
              <w:t>IN_SNAPSHOT; Student -[:IN_CLUSTER]-&gt; cluster with confidence/distance</w:t>
            </w:r>
          </w:p>
        </w:tc>
      </w:tr>
    </w:tbl>
    <w:p>
      <w:pPr>
        <w:spacing w:after="0"/>
      </w:pPr>
    </w:p>
    <w:p>
      <w:pPr>
        <w:pStyle w:val="Heading2"/>
      </w:pPr>
      <w:r>
        <w:t>Persistence patterns</w:t>
      </w:r>
    </w:p>
    <w:p>
      <w:pPr>
        <w:pStyle w:val="ListBullet"/>
      </w:pPr>
      <w:r>
        <w:t>Read queries use session.execute_read; write queries use session.execute_write, allowing the Neo4j driver to apply transaction retries.</w:t>
      </w:r>
    </w:p>
    <w:p>
      <w:pPr>
        <w:pStyle w:val="ListBullet"/>
      </w:pPr>
      <w:r>
        <w:t>Insight writes create a new evidence record and connect it to the relevant source/concept/subsection. Reconciliation then changes active state and creates lineage metadata rather than deleting history.</w:t>
      </w:r>
    </w:p>
    <w:p>
      <w:pPr>
        <w:pStyle w:val="ListBullet"/>
      </w:pPr>
      <w:r>
        <w:t>Assessment attempts are privacy-conscious: image answers persist count and SHA-256 hashes rather than raw image bytes; text is not stored for image-mode answers.</w:t>
      </w:r>
    </w:p>
    <w:p>
      <w:pPr>
        <w:pStyle w:val="ListBullet"/>
      </w:pPr>
      <w:r>
        <w:t>Assessment persistence is queued/attempted outside the critical learner response path. A persistence failure is observable and should not make a successful model evaluation look like a model failure.</w:t>
      </w:r>
    </w:p>
    <w:p>
      <w:pPr>
        <w:pStyle w:val="Heading1"/>
      </w:pPr>
      <w:r>
        <w:t>6. Insight Lifecycle And Reconciliation</w:t>
      </w:r>
    </w:p>
    <w:p>
      <w:r>
        <w:t>Insights are student-specific evidence attached to curriculum concepts and sources. The active state is a query projection over historical evidence, not a replacement for historical records. The written-answer and MCQ flows are: resolve target subsection -&gt; evaluate against subsection content -&gt; select valid concept candidates -&gt; validate structured evidence -&gt; insight creation -&gt; reconciliation -&gt; embedding -&gt; persistence.</w:t>
      </w:r>
    </w:p>
    <w:p>
      <w:pPr>
        <w:spacing w:after="40"/>
      </w:pPr>
      <w:r>
        <w:rPr>
          <w:b/>
          <w:color w:val="627D98"/>
          <w:sz w:val="16"/>
        </w:rPr>
        <w:t>Insight pipeline</w:t>
      </w:r>
    </w:p>
    <w:tbl>
      <w:tblPr>
        <w:tblW w:type="auto" w:w="0"/>
        <w:jc w:val="left"/>
        <w:tblLayout w:type="fixed"/>
        <w:tblLook w:firstColumn="1" w:firstRow="1" w:lastColumn="0" w:lastRow="0" w:noHBand="0" w:noVBand="1" w:val="04A0"/>
      </w:tblPr>
      <w:tblGrid>
        <w:gridCol w:w="9994"/>
      </w:tblGrid>
      <w:tr>
        <w:trPr>
          <w:tblHeader w:val="true"/>
        </w:trPr>
        <w:tc>
          <w:tcPr>
            <w:tcW w:type="dxa" w:w="9994"/>
            <w:shd w:fill="F0F4F8"/>
            <w:tcBorders>
              <w:top w:val="single" w:sz="4" w:color="D9E2EC"/>
              <w:left w:val="single" w:sz="4" w:color="D9E2EC"/>
              <w:bottom w:val="single" w:sz="4" w:color="D9E2EC"/>
              <w:right w:val="single" w:sz="4" w:color="D9E2EC"/>
            </w:tcBorders>
            <w:tcMar>
              <w:top w:w="110" w:type="dxa"/>
              <w:start w:w="130" w:type="dxa"/>
              <w:bottom w:w="110" w:type="dxa"/>
              <w:end w:w="130" w:type="dxa"/>
            </w:tcMar>
          </w:tcPr>
          <w:p>
            <w:pPr>
              <w:spacing w:after="0" w:line="240" w:lineRule="auto"/>
            </w:pPr>
            <w:r>
              <w:t>Student answer</w:t>
              <w:br/>
              <w:t xml:space="preserve">  -&gt; resolve and validate the requested subsection inside the section</w:t>
              <w:br/>
              <w:t xml:space="preserve">  -&gt; evaluate against target subsection content; full section is reference context only</w:t>
              <w:br/>
              <w:t xml:space="preserve">  -&gt; use direct section concepts, or chapter concepts when the section has none</w:t>
              <w:br/>
              <w:t xml:space="preserve">  -&gt; reject insight IDs outside the resolved candidate set</w:t>
              <w:br/>
              <w:t xml:space="preserve">  -&gt; attach accepted evidence to the target subsection/source and concept</w:t>
              <w:br/>
              <w:t xml:space="preserve">  -&gt; reconcile against active insight(s) for the same student + source/concept key</w:t>
              <w:br/>
              <w:t xml:space="preserve">  -&gt; preserve history, embed the active insight, and retrieve it later for teaching/tutor context</w:t>
            </w:r>
          </w:p>
        </w:tc>
      </w:tr>
    </w:tbl>
    <w:p>
      <w:pPr>
        <w:pStyle w:val="Heading2"/>
      </w:pPr>
      <w:r>
        <w:t>Evidence categories</w:t>
      </w:r>
    </w:p>
    <w:tbl>
      <w:tblPr>
        <w:tblW w:type="auto" w:w="0"/>
        <w:jc w:val="left"/>
        <w:tblLayout w:type="fixed"/>
        <w:tblLook w:firstColumn="1" w:firstRow="1" w:lastColumn="0" w:lastRow="0" w:noHBand="0" w:noVBand="1" w:val="04A0"/>
      </w:tblPr>
      <w:tblGrid>
        <w:gridCol w:w="3331"/>
        <w:gridCol w:w="3331"/>
        <w:gridCol w:w="3331"/>
      </w:tblGrid>
      <w:tr>
        <w:trPr>
          <w:tblHeader w:val="true"/>
        </w:trPr>
        <w:tc>
          <w:tcPr>
            <w:tcW w:type="dxa" w:w="2088"/>
            <w:shd w:fill="102A43"/>
            <w:tcBorders>
              <w:top w:val="single" w:sz="4" w:color="102A43"/>
              <w:left w:val="single" w:sz="4" w:color="102A43"/>
              <w:bottom w:val="single" w:sz="4" w:color="102A43"/>
              <w:right w:val="single" w:sz="4" w:color="102A43"/>
            </w:tcBorders>
            <w:vAlign w:val="top"/>
            <w:tcMar>
              <w:top w:w="90" w:type="dxa"/>
              <w:start w:w="100" w:type="dxa"/>
              <w:bottom w:w="90" w:type="dxa"/>
              <w:end w:w="100" w:type="dxa"/>
            </w:tcMar>
          </w:tcPr>
          <w:p>
            <w:pPr>
              <w:spacing w:after="0" w:line="252" w:lineRule="auto"/>
            </w:pPr>
            <w:r/>
            <w:r>
              <w:rPr>
                <w:rFonts w:ascii="Aptos" w:hAnsi="Aptos"/>
                <w:b/>
                <w:color w:val="FFFFFF"/>
                <w:sz w:val="14"/>
              </w:rPr>
              <w:t>TYPE</w:t>
            </w:r>
          </w:p>
        </w:tc>
        <w:tc>
          <w:tcPr>
            <w:tcW w:type="dxa" w:w="4464"/>
            <w:shd w:fill="102A43"/>
            <w:tcBorders>
              <w:top w:val="single" w:sz="4" w:color="102A43"/>
              <w:left w:val="single" w:sz="4" w:color="102A43"/>
              <w:bottom w:val="single" w:sz="4" w:color="102A43"/>
              <w:right w:val="single" w:sz="4" w:color="102A43"/>
            </w:tcBorders>
            <w:vAlign w:val="top"/>
            <w:tcMar>
              <w:top w:w="90" w:type="dxa"/>
              <w:start w:w="100" w:type="dxa"/>
              <w:bottom w:w="90" w:type="dxa"/>
              <w:end w:w="100" w:type="dxa"/>
            </w:tcMar>
          </w:tcPr>
          <w:p>
            <w:pPr>
              <w:spacing w:after="0" w:line="252" w:lineRule="auto"/>
            </w:pPr>
            <w:r/>
            <w:r>
              <w:rPr>
                <w:rFonts w:ascii="Aptos" w:hAnsi="Aptos"/>
                <w:b/>
                <w:color w:val="FFFFFF"/>
                <w:sz w:val="14"/>
              </w:rPr>
              <w:t>MEANING</w:t>
            </w:r>
          </w:p>
        </w:tc>
        <w:tc>
          <w:tcPr>
            <w:tcW w:type="dxa" w:w="2808"/>
            <w:shd w:fill="102A43"/>
            <w:tcBorders>
              <w:top w:val="single" w:sz="4" w:color="102A43"/>
              <w:left w:val="single" w:sz="4" w:color="102A43"/>
              <w:bottom w:val="single" w:sz="4" w:color="102A43"/>
              <w:right w:val="single" w:sz="4" w:color="102A43"/>
            </w:tcBorders>
            <w:vAlign w:val="top"/>
            <w:tcMar>
              <w:top w:w="90" w:type="dxa"/>
              <w:start w:w="100" w:type="dxa"/>
              <w:bottom w:w="90" w:type="dxa"/>
              <w:end w:w="100" w:type="dxa"/>
            </w:tcMar>
          </w:tcPr>
          <w:p>
            <w:pPr>
              <w:spacing w:after="0" w:line="252" w:lineRule="auto"/>
            </w:pPr>
            <w:r/>
            <w:r>
              <w:rPr>
                <w:rFonts w:ascii="Aptos" w:hAnsi="Aptos"/>
                <w:b/>
                <w:color w:val="FFFFFF"/>
                <w:sz w:val="14"/>
              </w:rPr>
              <w:t>TYPICAL DOWNSTREAM EFFECT</w:t>
            </w:r>
          </w:p>
        </w:tc>
      </w:tr>
      <w:tr>
        <w:tc>
          <w:tcPr>
            <w:tcW w:type="dxa" w:w="2088"/>
            <w:shd w:fill="FFFFFF"/>
            <w:tcBorders>
              <w:top w:val="single" w:sz="3" w:color="D9E2EC"/>
              <w:left w:val="single" w:sz="3" w:color="D9E2EC"/>
              <w:bottom w:val="single" w:sz="3" w:color="D9E2EC"/>
              <w:right w:val="single" w:sz="3" w:color="D9E2EC"/>
            </w:tcBorders>
            <w:vAlign w:val="top"/>
            <w:tcMar>
              <w:top w:w="90" w:type="dxa"/>
              <w:start w:w="100" w:type="dxa"/>
              <w:bottom w:w="90" w:type="dxa"/>
              <w:end w:w="100" w:type="dxa"/>
            </w:tcMar>
          </w:tcPr>
          <w:p>
            <w:pPr>
              <w:spacing w:after="0" w:line="252" w:lineRule="auto"/>
            </w:pPr>
            <w:r/>
            <w:r>
              <w:rPr>
                <w:rFonts w:ascii="Aptos" w:hAnsi="Aptos"/>
                <w:b w:val="0"/>
                <w:color w:val="243B53"/>
                <w:sz w:val="15"/>
              </w:rPr>
              <w:t>MISCONCEPTION</w:t>
            </w:r>
          </w:p>
        </w:tc>
        <w:tc>
          <w:tcPr>
            <w:tcW w:type="dxa" w:w="4464"/>
            <w:shd w:fill="FFFFFF"/>
            <w:tcBorders>
              <w:top w:val="single" w:sz="3" w:color="D9E2EC"/>
              <w:left w:val="single" w:sz="3" w:color="D9E2EC"/>
              <w:bottom w:val="single" w:sz="3" w:color="D9E2EC"/>
              <w:right w:val="single" w:sz="3" w:color="D9E2EC"/>
            </w:tcBorders>
            <w:vAlign w:val="top"/>
            <w:tcMar>
              <w:top w:w="90" w:type="dxa"/>
              <w:start w:w="100" w:type="dxa"/>
              <w:bottom w:w="90" w:type="dxa"/>
              <w:end w:w="100" w:type="dxa"/>
            </w:tcMar>
          </w:tcPr>
          <w:p>
            <w:pPr>
              <w:spacing w:after="0" w:line="252" w:lineRule="auto"/>
            </w:pPr>
            <w:r/>
            <w:r>
              <w:rPr>
                <w:rFonts w:ascii="Aptos" w:hAnsi="Aptos"/>
                <w:b w:val="0"/>
                <w:color w:val="243B53"/>
                <w:sz w:val="15"/>
              </w:rPr>
              <w:t>Evidence of an incorrect or conflicting mental model</w:t>
            </w:r>
          </w:p>
        </w:tc>
        <w:tc>
          <w:tcPr>
            <w:tcW w:type="dxa" w:w="2808"/>
            <w:shd w:fill="FFFFFF"/>
            <w:tcBorders>
              <w:top w:val="single" w:sz="3" w:color="D9E2EC"/>
              <w:left w:val="single" w:sz="3" w:color="D9E2EC"/>
              <w:bottom w:val="single" w:sz="3" w:color="D9E2EC"/>
              <w:right w:val="single" w:sz="3" w:color="D9E2EC"/>
            </w:tcBorders>
            <w:vAlign w:val="top"/>
            <w:tcMar>
              <w:top w:w="90" w:type="dxa"/>
              <w:start w:w="100" w:type="dxa"/>
              <w:bottom w:w="90" w:type="dxa"/>
              <w:end w:w="100" w:type="dxa"/>
            </w:tcMar>
          </w:tcPr>
          <w:p>
            <w:pPr>
              <w:spacing w:after="0" w:line="252" w:lineRule="auto"/>
            </w:pPr>
            <w:r/>
            <w:r>
              <w:rPr>
                <w:rFonts w:ascii="Aptos" w:hAnsi="Aptos"/>
                <w:b w:val="0"/>
                <w:color w:val="243B53"/>
                <w:sz w:val="15"/>
              </w:rPr>
              <w:t>Prioritize contrastive explanation, diagnostic testing, and risk score +5</w:t>
            </w:r>
          </w:p>
        </w:tc>
      </w:tr>
      <w:tr>
        <w:tc>
          <w:tcPr>
            <w:tcW w:type="dxa" w:w="2088"/>
            <w:shd w:fill="F4F7FA"/>
            <w:tcBorders>
              <w:top w:val="single" w:sz="3" w:color="D9E2EC"/>
              <w:left w:val="single" w:sz="3" w:color="D9E2EC"/>
              <w:bottom w:val="single" w:sz="3" w:color="D9E2EC"/>
              <w:right w:val="single" w:sz="3" w:color="D9E2EC"/>
            </w:tcBorders>
            <w:vAlign w:val="top"/>
            <w:tcMar>
              <w:top w:w="90" w:type="dxa"/>
              <w:start w:w="100" w:type="dxa"/>
              <w:bottom w:w="90" w:type="dxa"/>
              <w:end w:w="100" w:type="dxa"/>
            </w:tcMar>
          </w:tcPr>
          <w:p>
            <w:pPr>
              <w:spacing w:after="0" w:line="252" w:lineRule="auto"/>
            </w:pPr>
            <w:r/>
            <w:r>
              <w:rPr>
                <w:rFonts w:ascii="Aptos" w:hAnsi="Aptos"/>
                <w:b w:val="0"/>
                <w:color w:val="243B53"/>
                <w:sz w:val="15"/>
              </w:rPr>
              <w:t>PARTIAL_UNDERSTANDING</w:t>
            </w:r>
          </w:p>
        </w:tc>
        <w:tc>
          <w:tcPr>
            <w:tcW w:type="dxa" w:w="4464"/>
            <w:shd w:fill="F4F7FA"/>
            <w:tcBorders>
              <w:top w:val="single" w:sz="3" w:color="D9E2EC"/>
              <w:left w:val="single" w:sz="3" w:color="D9E2EC"/>
              <w:bottom w:val="single" w:sz="3" w:color="D9E2EC"/>
              <w:right w:val="single" w:sz="3" w:color="D9E2EC"/>
            </w:tcBorders>
            <w:vAlign w:val="top"/>
            <w:tcMar>
              <w:top w:w="90" w:type="dxa"/>
              <w:start w:w="100" w:type="dxa"/>
              <w:bottom w:w="90" w:type="dxa"/>
              <w:end w:w="100" w:type="dxa"/>
            </w:tcMar>
          </w:tcPr>
          <w:p>
            <w:pPr>
              <w:spacing w:after="0" w:line="252" w:lineRule="auto"/>
            </w:pPr>
            <w:r/>
            <w:r>
              <w:rPr>
                <w:rFonts w:ascii="Aptos" w:hAnsi="Aptos"/>
                <w:b w:val="0"/>
                <w:color w:val="243B53"/>
                <w:sz w:val="15"/>
              </w:rPr>
              <w:t>Correct fragments with an unresolved conceptual gap</w:t>
            </w:r>
          </w:p>
        </w:tc>
        <w:tc>
          <w:tcPr>
            <w:tcW w:type="dxa" w:w="2808"/>
            <w:shd w:fill="F4F7FA"/>
            <w:tcBorders>
              <w:top w:val="single" w:sz="3" w:color="D9E2EC"/>
              <w:left w:val="single" w:sz="3" w:color="D9E2EC"/>
              <w:bottom w:val="single" w:sz="3" w:color="D9E2EC"/>
              <w:right w:val="single" w:sz="3" w:color="D9E2EC"/>
            </w:tcBorders>
            <w:vAlign w:val="top"/>
            <w:tcMar>
              <w:top w:w="90" w:type="dxa"/>
              <w:start w:w="100" w:type="dxa"/>
              <w:bottom w:w="90" w:type="dxa"/>
              <w:end w:w="100" w:type="dxa"/>
            </w:tcMar>
          </w:tcPr>
          <w:p>
            <w:pPr>
              <w:spacing w:after="0" w:line="252" w:lineRule="auto"/>
            </w:pPr>
            <w:r/>
            <w:r>
              <w:rPr>
                <w:rFonts w:ascii="Aptos" w:hAnsi="Aptos"/>
                <w:b w:val="0"/>
                <w:color w:val="243B53"/>
                <w:sz w:val="15"/>
              </w:rPr>
              <w:t>Targeted example/prerequisite review and risk score +2</w:t>
            </w:r>
          </w:p>
        </w:tc>
      </w:tr>
      <w:tr>
        <w:tc>
          <w:tcPr>
            <w:tcW w:type="dxa" w:w="2088"/>
            <w:shd w:fill="FFFFFF"/>
            <w:tcBorders>
              <w:top w:val="single" w:sz="3" w:color="D9E2EC"/>
              <w:left w:val="single" w:sz="3" w:color="D9E2EC"/>
              <w:bottom w:val="single" w:sz="3" w:color="D9E2EC"/>
              <w:right w:val="single" w:sz="3" w:color="D9E2EC"/>
            </w:tcBorders>
            <w:vAlign w:val="top"/>
            <w:tcMar>
              <w:top w:w="90" w:type="dxa"/>
              <w:start w:w="100" w:type="dxa"/>
              <w:bottom w:w="90" w:type="dxa"/>
              <w:end w:w="100" w:type="dxa"/>
            </w:tcMar>
          </w:tcPr>
          <w:p>
            <w:pPr>
              <w:spacing w:after="0" w:line="252" w:lineRule="auto"/>
            </w:pPr>
            <w:r/>
            <w:r>
              <w:rPr>
                <w:rFonts w:ascii="Aptos" w:hAnsi="Aptos"/>
                <w:b w:val="0"/>
                <w:color w:val="243B53"/>
                <w:sz w:val="15"/>
              </w:rPr>
              <w:t>COMPETENCY</w:t>
            </w:r>
          </w:p>
        </w:tc>
        <w:tc>
          <w:tcPr>
            <w:tcW w:type="dxa" w:w="4464"/>
            <w:shd w:fill="FFFFFF"/>
            <w:tcBorders>
              <w:top w:val="single" w:sz="3" w:color="D9E2EC"/>
              <w:left w:val="single" w:sz="3" w:color="D9E2EC"/>
              <w:bottom w:val="single" w:sz="3" w:color="D9E2EC"/>
              <w:right w:val="single" w:sz="3" w:color="D9E2EC"/>
            </w:tcBorders>
            <w:vAlign w:val="top"/>
            <w:tcMar>
              <w:top w:w="90" w:type="dxa"/>
              <w:start w:w="100" w:type="dxa"/>
              <w:bottom w:w="90" w:type="dxa"/>
              <w:end w:w="100" w:type="dxa"/>
            </w:tcMar>
          </w:tcPr>
          <w:p>
            <w:pPr>
              <w:spacing w:after="0" w:line="252" w:lineRule="auto"/>
            </w:pPr>
            <w:r/>
            <w:r>
              <w:rPr>
                <w:rFonts w:ascii="Aptos" w:hAnsi="Aptos"/>
                <w:b w:val="0"/>
                <w:color w:val="243B53"/>
                <w:sz w:val="15"/>
              </w:rPr>
              <w:t>Evidence of reliable understanding or application</w:t>
            </w:r>
          </w:p>
        </w:tc>
        <w:tc>
          <w:tcPr>
            <w:tcW w:type="dxa" w:w="2808"/>
            <w:shd w:fill="FFFFFF"/>
            <w:tcBorders>
              <w:top w:val="single" w:sz="3" w:color="D9E2EC"/>
              <w:left w:val="single" w:sz="3" w:color="D9E2EC"/>
              <w:bottom w:val="single" w:sz="3" w:color="D9E2EC"/>
              <w:right w:val="single" w:sz="3" w:color="D9E2EC"/>
            </w:tcBorders>
            <w:vAlign w:val="top"/>
            <w:tcMar>
              <w:top w:w="90" w:type="dxa"/>
              <w:start w:w="100" w:type="dxa"/>
              <w:bottom w:w="90" w:type="dxa"/>
              <w:end w:w="100" w:type="dxa"/>
            </w:tcMar>
          </w:tcPr>
          <w:p>
            <w:pPr>
              <w:spacing w:after="0" w:line="252" w:lineRule="auto"/>
            </w:pPr>
            <w:r/>
            <w:r>
              <w:rPr>
                <w:rFonts w:ascii="Aptos" w:hAnsi="Aptos"/>
                <w:b w:val="0"/>
                <w:color w:val="243B53"/>
                <w:sz w:val="15"/>
              </w:rPr>
              <w:t>Reduce risk score by 2 and allow advancement/deepening</w:t>
            </w:r>
          </w:p>
        </w:tc>
      </w:tr>
      <w:tr>
        <w:tc>
          <w:tcPr>
            <w:tcW w:type="dxa" w:w="2088"/>
            <w:shd w:fill="F4F7FA"/>
            <w:tcBorders>
              <w:top w:val="single" w:sz="3" w:color="D9E2EC"/>
              <w:left w:val="single" w:sz="3" w:color="D9E2EC"/>
              <w:bottom w:val="single" w:sz="3" w:color="D9E2EC"/>
              <w:right w:val="single" w:sz="3" w:color="D9E2EC"/>
            </w:tcBorders>
            <w:vAlign w:val="top"/>
            <w:tcMar>
              <w:top w:w="90" w:type="dxa"/>
              <w:start w:w="100" w:type="dxa"/>
              <w:bottom w:w="90" w:type="dxa"/>
              <w:end w:w="100" w:type="dxa"/>
            </w:tcMar>
          </w:tcPr>
          <w:p>
            <w:pPr>
              <w:spacing w:after="0" w:line="252" w:lineRule="auto"/>
            </w:pPr>
            <w:r/>
            <w:r>
              <w:rPr>
                <w:rFonts w:ascii="Aptos" w:hAnsi="Aptos"/>
                <w:b w:val="0"/>
                <w:color w:val="243B53"/>
                <w:sz w:val="15"/>
              </w:rPr>
              <w:t>TAUGHT</w:t>
            </w:r>
          </w:p>
        </w:tc>
        <w:tc>
          <w:tcPr>
            <w:tcW w:type="dxa" w:w="4464"/>
            <w:shd w:fill="F4F7FA"/>
            <w:tcBorders>
              <w:top w:val="single" w:sz="3" w:color="D9E2EC"/>
              <w:left w:val="single" w:sz="3" w:color="D9E2EC"/>
              <w:bottom w:val="single" w:sz="3" w:color="D9E2EC"/>
              <w:right w:val="single" w:sz="3" w:color="D9E2EC"/>
            </w:tcBorders>
            <w:vAlign w:val="top"/>
            <w:tcMar>
              <w:top w:w="90" w:type="dxa"/>
              <w:start w:w="100" w:type="dxa"/>
              <w:bottom w:w="90" w:type="dxa"/>
              <w:end w:w="100" w:type="dxa"/>
            </w:tcMar>
          </w:tcPr>
          <w:p>
            <w:pPr>
              <w:spacing w:after="0" w:line="252" w:lineRule="auto"/>
            </w:pPr>
            <w:r/>
            <w:r>
              <w:rPr>
                <w:rFonts w:ascii="Aptos" w:hAnsi="Aptos"/>
                <w:b w:val="0"/>
                <w:color w:val="243B53"/>
                <w:sz w:val="15"/>
              </w:rPr>
              <w:t>Supported type for instructional evidence</w:t>
            </w:r>
          </w:p>
        </w:tc>
        <w:tc>
          <w:tcPr>
            <w:tcW w:type="dxa" w:w="2808"/>
            <w:shd w:fill="F4F7FA"/>
            <w:tcBorders>
              <w:top w:val="single" w:sz="3" w:color="D9E2EC"/>
              <w:left w:val="single" w:sz="3" w:color="D9E2EC"/>
              <w:bottom w:val="single" w:sz="3" w:color="D9E2EC"/>
              <w:right w:val="single" w:sz="3" w:color="D9E2EC"/>
            </w:tcBorders>
            <w:vAlign w:val="top"/>
            <w:tcMar>
              <w:top w:w="90" w:type="dxa"/>
              <w:start w:w="100" w:type="dxa"/>
              <w:bottom w:w="90" w:type="dxa"/>
              <w:end w:w="100" w:type="dxa"/>
            </w:tcMar>
          </w:tcPr>
          <w:p>
            <w:pPr>
              <w:spacing w:after="0" w:line="252" w:lineRule="auto"/>
            </w:pPr>
            <w:r/>
            <w:r>
              <w:rPr>
                <w:rFonts w:ascii="Aptos" w:hAnsi="Aptos"/>
                <w:b w:val="0"/>
                <w:color w:val="243B53"/>
                <w:sz w:val="15"/>
              </w:rPr>
              <w:t>Type exists in the model; active runtime routes do not currently create it</w:t>
            </w:r>
          </w:p>
        </w:tc>
      </w:tr>
    </w:tbl>
    <w:p>
      <w:pPr>
        <w:spacing w:after="0"/>
      </w:pPr>
    </w:p>
    <w:p>
      <w:pPr>
        <w:pStyle w:val="Heading2"/>
      </w:pPr>
      <w:r>
        <w:t>Reconciliation semantics</w:t>
      </w:r>
    </w:p>
    <w:p>
      <w:pPr>
        <w:pStyle w:val="ListBullet"/>
      </w:pPr>
      <w:r>
        <w:rPr>
          <w:b/>
        </w:rPr>
        <w:t xml:space="preserve">Merge: </w:t>
      </w:r>
      <w:r>
        <w:t>when new evidence is about the same underlying concept/source, the system can preserve the older true evidence and produce a coherent updated active record rather than blindly replacing it.</w:t>
      </w:r>
    </w:p>
    <w:p>
      <w:pPr>
        <w:pStyle w:val="ListBullet"/>
      </w:pPr>
      <w:r>
        <w:rPr>
          <w:b/>
        </w:rPr>
        <w:t xml:space="preserve">Replace/supersede: </w:t>
      </w:r>
      <w:r>
        <w:t>when the new evidence materially updates or contradicts the prior statement, the new insight becomes active and the previous record remains queryable through its lineage.</w:t>
      </w:r>
    </w:p>
    <w:p>
      <w:pPr>
        <w:pStyle w:val="ListBullet"/>
      </w:pPr>
      <w:r>
        <w:rPr>
          <w:b/>
        </w:rPr>
        <w:t xml:space="preserve">Active state: </w:t>
      </w:r>
      <w:r>
        <w:t>active insight reads filter is_active=true and exclude superseded records from the current summary while historical chains remain available for teacher timelines and audit.</w:t>
      </w:r>
    </w:p>
    <w:p>
      <w:pPr>
        <w:pStyle w:val="ListBullet"/>
      </w:pPr>
      <w:r>
        <w:rPr>
          <w:b/>
        </w:rPr>
        <w:t xml:space="preserve">Embedding: </w:t>
      </w:r>
      <w:r>
        <w:t>the new insight content is embedded with Fireworks qwen3-embedding-8b when the embeddings key is available; embeddings support semantic matching for tutor and clustering paths.</w:t>
      </w:r>
    </w:p>
    <w:tbl>
      <w:tblPr>
        <w:tblW w:type="auto" w:w="0"/>
        <w:jc w:val="left"/>
        <w:tblLayout w:type="fixed"/>
        <w:tblLook w:firstColumn="1" w:firstRow="1" w:lastColumn="0" w:lastRow="0" w:noHBand="0" w:noVBand="1" w:val="04A0"/>
      </w:tblPr>
      <w:tblGrid>
        <w:gridCol w:w="9994"/>
      </w:tblGrid>
      <w:tr>
        <w:trPr>
          <w:tblHeader w:val="true"/>
        </w:trPr>
        <w:tc>
          <w:tcPr>
            <w:tcW w:type="dxa" w:w="9994"/>
            <w:shd w:fill="FFF8E1"/>
            <w:tcBorders>
              <w:top w:val="single" w:sz="7" w:color="E6B93B"/>
              <w:left w:val="single" w:sz="7" w:color="E6B93B"/>
              <w:bottom w:val="single" w:sz="7" w:color="E6B93B"/>
              <w:right w:val="single" w:sz="7" w:color="E6B93B"/>
            </w:tcBorders>
            <w:tcMar>
              <w:top w:w="120" w:type="dxa"/>
              <w:start w:w="140" w:type="dxa"/>
              <w:bottom w:w="120" w:type="dxa"/>
              <w:end w:w="140" w:type="dxa"/>
            </w:tcMar>
          </w:tcPr>
          <w:p>
            <w:pPr>
              <w:spacing w:after="40"/>
            </w:pPr>
            <w:r>
              <w:rPr>
                <w:b/>
                <w:color w:val="243B53"/>
                <w:sz w:val="17"/>
              </w:rPr>
              <w:t>Design implication</w:t>
            </w:r>
          </w:p>
          <w:p>
            <w:pPr>
              <w:spacing w:after="0"/>
            </w:pPr>
            <w:r>
              <w:rPr>
                <w:sz w:val="16"/>
              </w:rPr>
              <w:t>A newer insight does not logically make every older observation false. Reconciliation must preserve compatible evidence and only supersede what the new statement actually updates. The current graph model preserves lineage, but the quality of the final summary still depends on the model's merge/replace decision.</w:t>
            </w:r>
          </w:p>
        </w:tc>
      </w:tr>
    </w:tbl>
    <w:p>
      <w:pPr>
        <w:pStyle w:val="Heading1"/>
      </w:pPr>
      <w:r>
        <w:t>7. LLM Orchestration And Prompt Paths</w:t>
      </w:r>
    </w:p>
    <w:p>
      <w:r>
        <w:t>backend/app/services/llm.py provides one provider-neutral LLMService. It uses the OpenAI Python SDK against OpenAI-compatible endpoints and caches clients by provider and purpose. Provider selection is explicit for most production paths and can be configured through environment variables.</w:t>
      </w:r>
    </w:p>
    <w:tbl>
      <w:tblPr>
        <w:tblW w:type="auto" w:w="0"/>
        <w:jc w:val="left"/>
        <w:tblLayout w:type="fixed"/>
        <w:tblLook w:firstColumn="1" w:firstRow="1" w:lastColumn="0" w:lastRow="0" w:noHBand="0" w:noVBand="1" w:val="04A0"/>
      </w:tblPr>
      <w:tblGrid>
        <w:gridCol w:w="3331"/>
        <w:gridCol w:w="3331"/>
        <w:gridCol w:w="3331"/>
      </w:tblGrid>
      <w:tr>
        <w:trPr>
          <w:tblHeader w:val="true"/>
        </w:trPr>
        <w:tc>
          <w:tcPr>
            <w:tcW w:type="dxa" w:w="1584"/>
            <w:shd w:fill="102A43"/>
            <w:tcBorders>
              <w:top w:val="single" w:sz="4" w:color="102A43"/>
              <w:left w:val="single" w:sz="4" w:color="102A43"/>
              <w:bottom w:val="single" w:sz="4" w:color="102A43"/>
              <w:right w:val="single" w:sz="4" w:color="102A43"/>
            </w:tcBorders>
            <w:vAlign w:val="top"/>
            <w:tcMar>
              <w:top w:w="90" w:type="dxa"/>
              <w:start w:w="100" w:type="dxa"/>
              <w:bottom w:w="90" w:type="dxa"/>
              <w:end w:w="100" w:type="dxa"/>
            </w:tcMar>
          </w:tcPr>
          <w:p>
            <w:pPr>
              <w:spacing w:after="0" w:line="252" w:lineRule="auto"/>
            </w:pPr>
            <w:r/>
            <w:r>
              <w:rPr>
                <w:rFonts w:ascii="Aptos" w:hAnsi="Aptos"/>
                <w:b/>
                <w:color w:val="FFFFFF"/>
                <w:sz w:val="14"/>
              </w:rPr>
              <w:t>PROVIDER</w:t>
            </w:r>
          </w:p>
        </w:tc>
        <w:tc>
          <w:tcPr>
            <w:tcW w:type="dxa" w:w="3240"/>
            <w:shd w:fill="102A43"/>
            <w:tcBorders>
              <w:top w:val="single" w:sz="4" w:color="102A43"/>
              <w:left w:val="single" w:sz="4" w:color="102A43"/>
              <w:bottom w:val="single" w:sz="4" w:color="102A43"/>
              <w:right w:val="single" w:sz="4" w:color="102A43"/>
            </w:tcBorders>
            <w:vAlign w:val="top"/>
            <w:tcMar>
              <w:top w:w="90" w:type="dxa"/>
              <w:start w:w="100" w:type="dxa"/>
              <w:bottom w:w="90" w:type="dxa"/>
              <w:end w:w="100" w:type="dxa"/>
            </w:tcMar>
          </w:tcPr>
          <w:p>
            <w:pPr>
              <w:spacing w:after="0" w:line="252" w:lineRule="auto"/>
            </w:pPr>
            <w:r/>
            <w:r>
              <w:rPr>
                <w:rFonts w:ascii="Aptos" w:hAnsi="Aptos"/>
                <w:b/>
                <w:color w:val="FFFFFF"/>
                <w:sz w:val="14"/>
              </w:rPr>
              <w:t>PURPOSE</w:t>
            </w:r>
          </w:p>
        </w:tc>
        <w:tc>
          <w:tcPr>
            <w:tcW w:type="dxa" w:w="4536"/>
            <w:shd w:fill="102A43"/>
            <w:tcBorders>
              <w:top w:val="single" w:sz="4" w:color="102A43"/>
              <w:left w:val="single" w:sz="4" w:color="102A43"/>
              <w:bottom w:val="single" w:sz="4" w:color="102A43"/>
              <w:right w:val="single" w:sz="4" w:color="102A43"/>
            </w:tcBorders>
            <w:vAlign w:val="top"/>
            <w:tcMar>
              <w:top w:w="90" w:type="dxa"/>
              <w:start w:w="100" w:type="dxa"/>
              <w:bottom w:w="90" w:type="dxa"/>
              <w:end w:w="100" w:type="dxa"/>
            </w:tcMar>
          </w:tcPr>
          <w:p>
            <w:pPr>
              <w:spacing w:after="0" w:line="252" w:lineRule="auto"/>
            </w:pPr>
            <w:r/>
            <w:r>
              <w:rPr>
                <w:rFonts w:ascii="Aptos" w:hAnsi="Aptos"/>
                <w:b/>
                <w:color w:val="FFFFFF"/>
                <w:sz w:val="14"/>
              </w:rPr>
              <w:t>CONFIGURATION</w:t>
            </w:r>
          </w:p>
        </w:tc>
      </w:tr>
      <w:tr>
        <w:tc>
          <w:tcPr>
            <w:tcW w:type="dxa" w:w="1584"/>
            <w:shd w:fill="FFFFFF"/>
            <w:tcBorders>
              <w:top w:val="single" w:sz="3" w:color="D9E2EC"/>
              <w:left w:val="single" w:sz="3" w:color="D9E2EC"/>
              <w:bottom w:val="single" w:sz="3" w:color="D9E2EC"/>
              <w:right w:val="single" w:sz="3" w:color="D9E2EC"/>
            </w:tcBorders>
            <w:vAlign w:val="top"/>
            <w:tcMar>
              <w:top w:w="90" w:type="dxa"/>
              <w:start w:w="100" w:type="dxa"/>
              <w:bottom w:w="90" w:type="dxa"/>
              <w:end w:w="100" w:type="dxa"/>
            </w:tcMar>
          </w:tcPr>
          <w:p>
            <w:pPr>
              <w:spacing w:after="0" w:line="252" w:lineRule="auto"/>
            </w:pPr>
            <w:r/>
            <w:r>
              <w:rPr>
                <w:rFonts w:ascii="Aptos" w:hAnsi="Aptos"/>
                <w:b w:val="0"/>
                <w:color w:val="243B53"/>
                <w:sz w:val="15"/>
              </w:rPr>
              <w:t>Fireworks</w:t>
            </w:r>
          </w:p>
        </w:tc>
        <w:tc>
          <w:tcPr>
            <w:tcW w:type="dxa" w:w="3240"/>
            <w:shd w:fill="FFFFFF"/>
            <w:tcBorders>
              <w:top w:val="single" w:sz="3" w:color="D9E2EC"/>
              <w:left w:val="single" w:sz="3" w:color="D9E2EC"/>
              <w:bottom w:val="single" w:sz="3" w:color="D9E2EC"/>
              <w:right w:val="single" w:sz="3" w:color="D9E2EC"/>
            </w:tcBorders>
            <w:vAlign w:val="top"/>
            <w:tcMar>
              <w:top w:w="90" w:type="dxa"/>
              <w:start w:w="100" w:type="dxa"/>
              <w:bottom w:w="90" w:type="dxa"/>
              <w:end w:w="100" w:type="dxa"/>
            </w:tcMar>
          </w:tcPr>
          <w:p>
            <w:pPr>
              <w:spacing w:after="0" w:line="252" w:lineRule="auto"/>
            </w:pPr>
            <w:r/>
            <w:r>
              <w:rPr>
                <w:rFonts w:ascii="Aptos" w:hAnsi="Aptos"/>
                <w:b w:val="0"/>
                <w:color w:val="243B53"/>
                <w:sz w:val="15"/>
              </w:rPr>
              <w:t>Default generation, embeddings, production model calls</w:t>
            </w:r>
          </w:p>
        </w:tc>
        <w:tc>
          <w:tcPr>
            <w:tcW w:type="dxa" w:w="4536"/>
            <w:shd w:fill="FFFFFF"/>
            <w:tcBorders>
              <w:top w:val="single" w:sz="3" w:color="D9E2EC"/>
              <w:left w:val="single" w:sz="3" w:color="D9E2EC"/>
              <w:bottom w:val="single" w:sz="3" w:color="D9E2EC"/>
              <w:right w:val="single" w:sz="3" w:color="D9E2EC"/>
            </w:tcBorders>
            <w:vAlign w:val="top"/>
            <w:tcMar>
              <w:top w:w="90" w:type="dxa"/>
              <w:start w:w="100" w:type="dxa"/>
              <w:bottom w:w="90" w:type="dxa"/>
              <w:end w:w="100" w:type="dxa"/>
            </w:tcMar>
          </w:tcPr>
          <w:p>
            <w:pPr>
              <w:spacing w:after="0" w:line="252" w:lineRule="auto"/>
            </w:pPr>
            <w:r/>
            <w:r>
              <w:rPr>
                <w:rFonts w:ascii="Aptos" w:hAnsi="Aptos"/>
                <w:b w:val="0"/>
                <w:color w:val="243B53"/>
                <w:sz w:val="15"/>
              </w:rPr>
              <w:t>FIREWORKS_API_KEY; FIREWORKS_BASE_URL; FIREWORKS_MODEL; FIREWORKS_API_KEY_EMBEDDINGS; FIREWORKS_EMBEDDING_MODEL</w:t>
            </w:r>
          </w:p>
        </w:tc>
      </w:tr>
      <w:tr>
        <w:tc>
          <w:tcPr>
            <w:tcW w:type="dxa" w:w="1584"/>
            <w:shd w:fill="F4F7FA"/>
            <w:tcBorders>
              <w:top w:val="single" w:sz="3" w:color="D9E2EC"/>
              <w:left w:val="single" w:sz="3" w:color="D9E2EC"/>
              <w:bottom w:val="single" w:sz="3" w:color="D9E2EC"/>
              <w:right w:val="single" w:sz="3" w:color="D9E2EC"/>
            </w:tcBorders>
            <w:vAlign w:val="top"/>
            <w:tcMar>
              <w:top w:w="90" w:type="dxa"/>
              <w:start w:w="100" w:type="dxa"/>
              <w:bottom w:w="90" w:type="dxa"/>
              <w:end w:w="100" w:type="dxa"/>
            </w:tcMar>
          </w:tcPr>
          <w:p>
            <w:pPr>
              <w:spacing w:after="0" w:line="252" w:lineRule="auto"/>
            </w:pPr>
            <w:r/>
            <w:r>
              <w:rPr>
                <w:rFonts w:ascii="Aptos" w:hAnsi="Aptos"/>
                <w:b w:val="0"/>
                <w:color w:val="243B53"/>
                <w:sz w:val="15"/>
              </w:rPr>
              <w:t>Cerebras</w:t>
            </w:r>
          </w:p>
        </w:tc>
        <w:tc>
          <w:tcPr>
            <w:tcW w:type="dxa" w:w="3240"/>
            <w:shd w:fill="F4F7FA"/>
            <w:tcBorders>
              <w:top w:val="single" w:sz="3" w:color="D9E2EC"/>
              <w:left w:val="single" w:sz="3" w:color="D9E2EC"/>
              <w:bottom w:val="single" w:sz="3" w:color="D9E2EC"/>
              <w:right w:val="single" w:sz="3" w:color="D9E2EC"/>
            </w:tcBorders>
            <w:vAlign w:val="top"/>
            <w:tcMar>
              <w:top w:w="90" w:type="dxa"/>
              <w:start w:w="100" w:type="dxa"/>
              <w:bottom w:w="90" w:type="dxa"/>
              <w:end w:w="100" w:type="dxa"/>
            </w:tcMar>
          </w:tcPr>
          <w:p>
            <w:pPr>
              <w:spacing w:after="0" w:line="252" w:lineRule="auto"/>
            </w:pPr>
            <w:r/>
            <w:r>
              <w:rPr>
                <w:rFonts w:ascii="Aptos" w:hAnsi="Aptos"/>
                <w:b w:val="0"/>
                <w:color w:val="243B53"/>
                <w:sz w:val="15"/>
              </w:rPr>
              <w:t>Optional fast generation target/fallback</w:t>
            </w:r>
          </w:p>
        </w:tc>
        <w:tc>
          <w:tcPr>
            <w:tcW w:type="dxa" w:w="4536"/>
            <w:shd w:fill="F4F7FA"/>
            <w:tcBorders>
              <w:top w:val="single" w:sz="3" w:color="D9E2EC"/>
              <w:left w:val="single" w:sz="3" w:color="D9E2EC"/>
              <w:bottom w:val="single" w:sz="3" w:color="D9E2EC"/>
              <w:right w:val="single" w:sz="3" w:color="D9E2EC"/>
            </w:tcBorders>
            <w:vAlign w:val="top"/>
            <w:tcMar>
              <w:top w:w="90" w:type="dxa"/>
              <w:start w:w="100" w:type="dxa"/>
              <w:bottom w:w="90" w:type="dxa"/>
              <w:end w:w="100" w:type="dxa"/>
            </w:tcMar>
          </w:tcPr>
          <w:p>
            <w:pPr>
              <w:spacing w:after="0" w:line="252" w:lineRule="auto"/>
            </w:pPr>
            <w:r/>
            <w:r>
              <w:rPr>
                <w:rFonts w:ascii="Aptos" w:hAnsi="Aptos"/>
                <w:b w:val="0"/>
                <w:color w:val="243B53"/>
                <w:sz w:val="15"/>
              </w:rPr>
              <w:t>CEREBRAS_API_KEY; CEREBRAS_BASE_URL; CEREBRAS_MODEL</w:t>
            </w:r>
          </w:p>
        </w:tc>
      </w:tr>
      <w:tr>
        <w:tc>
          <w:tcPr>
            <w:tcW w:type="dxa" w:w="1584"/>
            <w:shd w:fill="FFFFFF"/>
            <w:tcBorders>
              <w:top w:val="single" w:sz="3" w:color="D9E2EC"/>
              <w:left w:val="single" w:sz="3" w:color="D9E2EC"/>
              <w:bottom w:val="single" w:sz="3" w:color="D9E2EC"/>
              <w:right w:val="single" w:sz="3" w:color="D9E2EC"/>
            </w:tcBorders>
            <w:vAlign w:val="top"/>
            <w:tcMar>
              <w:top w:w="90" w:type="dxa"/>
              <w:start w:w="100" w:type="dxa"/>
              <w:bottom w:w="90" w:type="dxa"/>
              <w:end w:w="100" w:type="dxa"/>
            </w:tcMar>
          </w:tcPr>
          <w:p>
            <w:pPr>
              <w:spacing w:after="0" w:line="252" w:lineRule="auto"/>
            </w:pPr>
            <w:r/>
            <w:r>
              <w:rPr>
                <w:rFonts w:ascii="Aptos" w:hAnsi="Aptos"/>
                <w:b w:val="0"/>
                <w:color w:val="243B53"/>
                <w:sz w:val="15"/>
              </w:rPr>
              <w:t>Gemini</w:t>
            </w:r>
          </w:p>
        </w:tc>
        <w:tc>
          <w:tcPr>
            <w:tcW w:type="dxa" w:w="3240"/>
            <w:shd w:fill="FFFFFF"/>
            <w:tcBorders>
              <w:top w:val="single" w:sz="3" w:color="D9E2EC"/>
              <w:left w:val="single" w:sz="3" w:color="D9E2EC"/>
              <w:bottom w:val="single" w:sz="3" w:color="D9E2EC"/>
              <w:right w:val="single" w:sz="3" w:color="D9E2EC"/>
            </w:tcBorders>
            <w:vAlign w:val="top"/>
            <w:tcMar>
              <w:top w:w="90" w:type="dxa"/>
              <w:start w:w="100" w:type="dxa"/>
              <w:bottom w:w="90" w:type="dxa"/>
              <w:end w:w="100" w:type="dxa"/>
            </w:tcMar>
          </w:tcPr>
          <w:p>
            <w:pPr>
              <w:spacing w:after="0" w:line="252" w:lineRule="auto"/>
            </w:pPr>
            <w:r/>
            <w:r>
              <w:rPr>
                <w:rFonts w:ascii="Aptos" w:hAnsi="Aptos"/>
                <w:b w:val="0"/>
                <w:color w:val="243B53"/>
                <w:sz w:val="15"/>
              </w:rPr>
              <w:t>Exercise image/text evaluation path</w:t>
            </w:r>
          </w:p>
        </w:tc>
        <w:tc>
          <w:tcPr>
            <w:tcW w:type="dxa" w:w="4536"/>
            <w:shd w:fill="FFFFFF"/>
            <w:tcBorders>
              <w:top w:val="single" w:sz="3" w:color="D9E2EC"/>
              <w:left w:val="single" w:sz="3" w:color="D9E2EC"/>
              <w:bottom w:val="single" w:sz="3" w:color="D9E2EC"/>
              <w:right w:val="single" w:sz="3" w:color="D9E2EC"/>
            </w:tcBorders>
            <w:vAlign w:val="top"/>
            <w:tcMar>
              <w:top w:w="90" w:type="dxa"/>
              <w:start w:w="100" w:type="dxa"/>
              <w:bottom w:w="90" w:type="dxa"/>
              <w:end w:w="100" w:type="dxa"/>
            </w:tcMar>
          </w:tcPr>
          <w:p>
            <w:pPr>
              <w:spacing w:after="0" w:line="252" w:lineRule="auto"/>
            </w:pPr>
            <w:r/>
            <w:r>
              <w:rPr>
                <w:rFonts w:ascii="Aptos" w:hAnsi="Aptos"/>
                <w:b w:val="0"/>
                <w:color w:val="243B53"/>
                <w:sz w:val="15"/>
              </w:rPr>
              <w:t>GEMINI_API_KEY; GEMINI_OPENAI_BASE_URL; EXERCISE_EVAL_MODEL=gemini-3.1-pro-preview</w:t>
            </w:r>
          </w:p>
        </w:tc>
      </w:tr>
    </w:tbl>
    <w:p>
      <w:pPr>
        <w:spacing w:after="0"/>
      </w:pPr>
    </w:p>
    <w:p>
      <w:pPr>
        <w:pStyle w:val="Heading2"/>
      </w:pPr>
      <w:r>
        <w:t>Production LLM operations</w:t>
      </w:r>
    </w:p>
    <w:p>
      <w:pPr>
        <w:pStyle w:val="ListBullet"/>
      </w:pPr>
      <w:r>
        <w:rPr>
          <w:b/>
        </w:rPr>
        <w:t xml:space="preserve">generate_text: </w:t>
      </w:r>
      <w:r>
        <w:rPr>
          <w:b w:val="0"/>
        </w:rPr>
        <w:t>accepts system/developer/user messages, optional image data URLs, optional JSON mode, model/provider selection, and operation labels.</w:t>
      </w:r>
    </w:p>
    <w:p>
      <w:pPr>
        <w:pStyle w:val="ListBullet"/>
      </w:pPr>
      <w:r>
        <w:rPr>
          <w:b/>
        </w:rPr>
        <w:t xml:space="preserve">generate_json: </w:t>
      </w:r>
      <w:r>
        <w:rPr>
          <w:b w:val="0"/>
        </w:rPr>
        <w:t>calls the model, parses JSON, validates the expected shape in the caller, and retries parse/generation failures.</w:t>
      </w:r>
    </w:p>
    <w:p>
      <w:pPr>
        <w:pStyle w:val="ListBullet"/>
      </w:pPr>
      <w:r>
        <w:rPr>
          <w:b/>
        </w:rPr>
        <w:t xml:space="preserve">embed: </w:t>
      </w:r>
      <w:r>
        <w:rPr>
          <w:b w:val="0"/>
        </w:rPr>
        <w:t>creates an embedding for insight or query text through Fireworks; the embedding operation is separated from generation purpose.</w:t>
      </w:r>
    </w:p>
    <w:p>
      <w:pPr>
        <w:pStyle w:val="ListBullet"/>
      </w:pPr>
      <w:r>
        <w:rPr>
          <w:b/>
        </w:rPr>
        <w:t xml:space="preserve">Provider fallback: </w:t>
      </w:r>
      <w:r>
        <w:rPr>
          <w:b w:val="0"/>
        </w:rPr>
        <w:t>is not universal. It is used only when the caller supplies fallback targets; a provider misconfiguration can therefore fail the operation rather than silently switching models.</w:t>
      </w:r>
    </w:p>
    <w:p>
      <w:pPr>
        <w:pStyle w:val="ListBullet"/>
      </w:pPr>
      <w:r>
        <w:rPr>
          <w:b/>
        </w:rPr>
        <w:t xml:space="preserve">Content capture: </w:t>
      </w:r>
      <w:r>
        <w:rPr>
          <w:b w:val="0"/>
        </w:rPr>
        <w:t>prompt/response/image content is fingerprinted or hidden in telemetry by default; full content capture requires OTEL_CAPTURE_CONTENT=true.</w:t>
      </w:r>
    </w:p>
    <w:p>
      <w:pPr>
        <w:pStyle w:val="Heading2"/>
      </w:pPr>
      <w:r>
        <w:t>Context by operation</w:t>
      </w:r>
    </w:p>
    <w:tbl>
      <w:tblPr>
        <w:tblW w:type="auto" w:w="0"/>
        <w:jc w:val="left"/>
        <w:tblLayout w:type="fixed"/>
        <w:tblLook w:firstColumn="1" w:firstRow="1" w:lastColumn="0" w:lastRow="0" w:noHBand="0" w:noVBand="1" w:val="04A0"/>
      </w:tblPr>
      <w:tblGrid>
        <w:gridCol w:w="3331"/>
        <w:gridCol w:w="3331"/>
        <w:gridCol w:w="3331"/>
      </w:tblGrid>
      <w:tr>
        <w:trPr>
          <w:tblHeader w:val="true"/>
        </w:trPr>
        <w:tc>
          <w:tcPr>
            <w:tcW w:type="dxa" w:w="2232"/>
            <w:shd w:fill="102A43"/>
            <w:tcBorders>
              <w:top w:val="single" w:sz="4" w:color="102A43"/>
              <w:left w:val="single" w:sz="4" w:color="102A43"/>
              <w:bottom w:val="single" w:sz="4" w:color="102A43"/>
              <w:right w:val="single" w:sz="4" w:color="102A43"/>
            </w:tcBorders>
            <w:vAlign w:val="top"/>
            <w:tcMar>
              <w:top w:w="90" w:type="dxa"/>
              <w:start w:w="100" w:type="dxa"/>
              <w:bottom w:w="90" w:type="dxa"/>
              <w:end w:w="100" w:type="dxa"/>
            </w:tcMar>
          </w:tcPr>
          <w:p>
            <w:pPr>
              <w:spacing w:after="0" w:line="252" w:lineRule="auto"/>
            </w:pPr>
            <w:r/>
            <w:r>
              <w:rPr>
                <w:rFonts w:ascii="Aptos" w:hAnsi="Aptos"/>
                <w:b/>
                <w:color w:val="FFFFFF"/>
                <w:sz w:val="14"/>
              </w:rPr>
              <w:t>OPERATION</w:t>
            </w:r>
          </w:p>
        </w:tc>
        <w:tc>
          <w:tcPr>
            <w:tcW w:type="dxa" w:w="4392"/>
            <w:shd w:fill="102A43"/>
            <w:tcBorders>
              <w:top w:val="single" w:sz="4" w:color="102A43"/>
              <w:left w:val="single" w:sz="4" w:color="102A43"/>
              <w:bottom w:val="single" w:sz="4" w:color="102A43"/>
              <w:right w:val="single" w:sz="4" w:color="102A43"/>
            </w:tcBorders>
            <w:vAlign w:val="top"/>
            <w:tcMar>
              <w:top w:w="90" w:type="dxa"/>
              <w:start w:w="100" w:type="dxa"/>
              <w:bottom w:w="90" w:type="dxa"/>
              <w:end w:w="100" w:type="dxa"/>
            </w:tcMar>
          </w:tcPr>
          <w:p>
            <w:pPr>
              <w:spacing w:after="0" w:line="252" w:lineRule="auto"/>
            </w:pPr>
            <w:r/>
            <w:r>
              <w:rPr>
                <w:rFonts w:ascii="Aptos" w:hAnsi="Aptos"/>
                <w:b/>
                <w:color w:val="FFFFFF"/>
                <w:sz w:val="14"/>
              </w:rPr>
              <w:t>CONTEXT SENT</w:t>
            </w:r>
          </w:p>
        </w:tc>
        <w:tc>
          <w:tcPr>
            <w:tcW w:type="dxa" w:w="2736"/>
            <w:shd w:fill="102A43"/>
            <w:tcBorders>
              <w:top w:val="single" w:sz="4" w:color="102A43"/>
              <w:left w:val="single" w:sz="4" w:color="102A43"/>
              <w:bottom w:val="single" w:sz="4" w:color="102A43"/>
              <w:right w:val="single" w:sz="4" w:color="102A43"/>
            </w:tcBorders>
            <w:vAlign w:val="top"/>
            <w:tcMar>
              <w:top w:w="90" w:type="dxa"/>
              <w:start w:w="100" w:type="dxa"/>
              <w:bottom w:w="90" w:type="dxa"/>
              <w:end w:w="100" w:type="dxa"/>
            </w:tcMar>
          </w:tcPr>
          <w:p>
            <w:pPr>
              <w:spacing w:after="0" w:line="252" w:lineRule="auto"/>
            </w:pPr>
            <w:r/>
            <w:r>
              <w:rPr>
                <w:rFonts w:ascii="Aptos" w:hAnsi="Aptos"/>
                <w:b/>
                <w:color w:val="FFFFFF"/>
                <w:sz w:val="14"/>
              </w:rPr>
              <w:t>PERSONALIZATION</w:t>
            </w:r>
          </w:p>
        </w:tc>
      </w:tr>
      <w:tr>
        <w:tc>
          <w:tcPr>
            <w:tcW w:type="dxa" w:w="2232"/>
            <w:shd w:fill="FFFFFF"/>
            <w:tcBorders>
              <w:top w:val="single" w:sz="3" w:color="D9E2EC"/>
              <w:left w:val="single" w:sz="3" w:color="D9E2EC"/>
              <w:bottom w:val="single" w:sz="3" w:color="D9E2EC"/>
              <w:right w:val="single" w:sz="3" w:color="D9E2EC"/>
            </w:tcBorders>
            <w:vAlign w:val="top"/>
            <w:tcMar>
              <w:top w:w="90" w:type="dxa"/>
              <w:start w:w="100" w:type="dxa"/>
              <w:bottom w:w="90" w:type="dxa"/>
              <w:end w:w="100" w:type="dxa"/>
            </w:tcMar>
          </w:tcPr>
          <w:p>
            <w:pPr>
              <w:spacing w:after="0" w:line="252" w:lineRule="auto"/>
            </w:pPr>
            <w:r/>
            <w:r>
              <w:rPr>
                <w:rFonts w:ascii="Aptos" w:hAnsi="Aptos"/>
                <w:b w:val="0"/>
                <w:color w:val="243B53"/>
                <w:sz w:val="15"/>
              </w:rPr>
              <w:t>Section question/MCQ generation</w:t>
            </w:r>
          </w:p>
        </w:tc>
        <w:tc>
          <w:tcPr>
            <w:tcW w:type="dxa" w:w="4392"/>
            <w:shd w:fill="FFFFFF"/>
            <w:tcBorders>
              <w:top w:val="single" w:sz="3" w:color="D9E2EC"/>
              <w:left w:val="single" w:sz="3" w:color="D9E2EC"/>
              <w:bottom w:val="single" w:sz="3" w:color="D9E2EC"/>
              <w:right w:val="single" w:sz="3" w:color="D9E2EC"/>
            </w:tcBorders>
            <w:vAlign w:val="top"/>
            <w:tcMar>
              <w:top w:w="90" w:type="dxa"/>
              <w:start w:w="100" w:type="dxa"/>
              <w:bottom w:w="90" w:type="dxa"/>
              <w:end w:w="100" w:type="dxa"/>
            </w:tcMar>
          </w:tcPr>
          <w:p>
            <w:pPr>
              <w:spacing w:after="0" w:line="252" w:lineRule="auto"/>
            </w:pPr>
            <w:r>
              <w:t>Target subsection content as primary scope; complete parent section as definitions/surrounding reference only; no concept candidates in the generation prompt</w:t>
            </w:r>
          </w:p>
        </w:tc>
        <w:tc>
          <w:tcPr>
            <w:tcW w:type="dxa" w:w="2736"/>
            <w:shd w:fill="FFFFFF"/>
            <w:tcBorders>
              <w:top w:val="single" w:sz="3" w:color="D9E2EC"/>
              <w:left w:val="single" w:sz="3" w:color="D9E2EC"/>
              <w:bottom w:val="single" w:sz="3" w:color="D9E2EC"/>
              <w:right w:val="single" w:sz="3" w:color="D9E2EC"/>
            </w:tcBorders>
            <w:vAlign w:val="top"/>
            <w:tcMar>
              <w:top w:w="90" w:type="dxa"/>
              <w:start w:w="100" w:type="dxa"/>
              <w:bottom w:w="90" w:type="dxa"/>
              <w:end w:w="100" w:type="dxa"/>
            </w:tcMar>
          </w:tcPr>
          <w:p>
            <w:pPr>
              <w:spacing w:after="0" w:line="252" w:lineRule="auto"/>
            </w:pPr>
            <w:r>
              <w:t>Non-personalized and share-cache eligible; requested subsection ID is authoritative</w:t>
            </w:r>
          </w:p>
        </w:tc>
      </w:tr>
      <w:tr>
        <w:tc>
          <w:tcPr>
            <w:tcW w:type="dxa" w:w="2232"/>
            <w:shd w:fill="F4F7FA"/>
            <w:tcBorders>
              <w:top w:val="single" w:sz="3" w:color="D9E2EC"/>
              <w:left w:val="single" w:sz="3" w:color="D9E2EC"/>
              <w:bottom w:val="single" w:sz="3" w:color="D9E2EC"/>
              <w:right w:val="single" w:sz="3" w:color="D9E2EC"/>
            </w:tcBorders>
            <w:vAlign w:val="top"/>
            <w:tcMar>
              <w:top w:w="90" w:type="dxa"/>
              <w:start w:w="100" w:type="dxa"/>
              <w:bottom w:w="90" w:type="dxa"/>
              <w:end w:w="100" w:type="dxa"/>
            </w:tcMar>
          </w:tcPr>
          <w:p>
            <w:pPr>
              <w:spacing w:after="0" w:line="252" w:lineRule="auto"/>
            </w:pPr>
            <w:r/>
            <w:r>
              <w:rPr>
                <w:rFonts w:ascii="Aptos" w:hAnsi="Aptos"/>
                <w:b w:val="0"/>
                <w:color w:val="243B53"/>
                <w:sz w:val="15"/>
              </w:rPr>
              <w:t>Section/test evaluation</w:t>
            </w:r>
          </w:p>
        </w:tc>
        <w:tc>
          <w:tcPr>
            <w:tcW w:type="dxa" w:w="4392"/>
            <w:shd w:fill="F4F7FA"/>
            <w:tcBorders>
              <w:top w:val="single" w:sz="3" w:color="D9E2EC"/>
              <w:left w:val="single" w:sz="3" w:color="D9E2EC"/>
              <w:bottom w:val="single" w:sz="3" w:color="D9E2EC"/>
              <w:right w:val="single" w:sz="3" w:color="D9E2EC"/>
            </w:tcBorders>
            <w:vAlign w:val="top"/>
            <w:tcMar>
              <w:top w:w="90" w:type="dxa"/>
              <w:start w:w="100" w:type="dxa"/>
              <w:bottom w:w="90" w:type="dxa"/>
              <w:end w:w="100" w:type="dxa"/>
            </w:tcMar>
          </w:tcPr>
          <w:p>
            <w:pPr>
              <w:spacing w:after="0" w:line="252" w:lineRule="auto"/>
            </w:pPr>
            <w:r>
              <w:t>Question/answer, target subsection ground truth, full-section reference context, and direct-section or chapter-fallback concept candidates</w:t>
            </w:r>
          </w:p>
        </w:tc>
        <w:tc>
          <w:tcPr>
            <w:tcW w:type="dxa" w:w="2736"/>
            <w:shd w:fill="F4F7FA"/>
            <w:tcBorders>
              <w:top w:val="single" w:sz="3" w:color="D9E2EC"/>
              <w:left w:val="single" w:sz="3" w:color="D9E2EC"/>
              <w:bottom w:val="single" w:sz="3" w:color="D9E2EC"/>
              <w:right w:val="single" w:sz="3" w:color="D9E2EC"/>
            </w:tcBorders>
            <w:vAlign w:val="top"/>
            <w:tcMar>
              <w:top w:w="90" w:type="dxa"/>
              <w:start w:w="100" w:type="dxa"/>
              <w:bottom w:w="90" w:type="dxa"/>
              <w:end w:w="100" w:type="dxa"/>
            </w:tcMar>
          </w:tcPr>
          <w:p>
            <w:pPr>
              <w:spacing w:after="0" w:line="252" w:lineRule="auto"/>
            </w:pPr>
            <w:r>
              <w:t>Personalized evaluation; accepted insights must use an exact candidate concept ID and the target subsection source ID</w:t>
            </w:r>
          </w:p>
        </w:tc>
      </w:tr>
      <w:tr>
        <w:tc>
          <w:tcPr>
            <w:tcW w:type="dxa" w:w="2232"/>
            <w:shd w:fill="FFFFFF"/>
            <w:tcBorders>
              <w:top w:val="single" w:sz="3" w:color="D9E2EC"/>
              <w:left w:val="single" w:sz="3" w:color="D9E2EC"/>
              <w:bottom w:val="single" w:sz="3" w:color="D9E2EC"/>
              <w:right w:val="single" w:sz="3" w:color="D9E2EC"/>
            </w:tcBorders>
            <w:vAlign w:val="top"/>
            <w:tcMar>
              <w:top w:w="90" w:type="dxa"/>
              <w:start w:w="100" w:type="dxa"/>
              <w:bottom w:w="90" w:type="dxa"/>
              <w:end w:w="100" w:type="dxa"/>
            </w:tcMar>
          </w:tcPr>
          <w:p>
            <w:pPr>
              <w:spacing w:after="0" w:line="252" w:lineRule="auto"/>
            </w:pPr>
            <w:r/>
            <w:r>
              <w:rPr>
                <w:rFonts w:ascii="Aptos" w:hAnsi="Aptos"/>
                <w:b w:val="0"/>
                <w:color w:val="243B53"/>
                <w:sz w:val="15"/>
              </w:rPr>
              <w:t>Exercise evaluation</w:t>
            </w:r>
          </w:p>
        </w:tc>
        <w:tc>
          <w:tcPr>
            <w:tcW w:type="dxa" w:w="4392"/>
            <w:shd w:fill="FFFFFF"/>
            <w:tcBorders>
              <w:top w:val="single" w:sz="3" w:color="D9E2EC"/>
              <w:left w:val="single" w:sz="3" w:color="D9E2EC"/>
              <w:bottom w:val="single" w:sz="3" w:color="D9E2EC"/>
              <w:right w:val="single" w:sz="3" w:color="D9E2EC"/>
            </w:tcBorders>
            <w:vAlign w:val="top"/>
            <w:tcMar>
              <w:top w:w="90" w:type="dxa"/>
              <w:start w:w="100" w:type="dxa"/>
              <w:bottom w:w="90" w:type="dxa"/>
              <w:end w:w="100" w:type="dxa"/>
            </w:tcMar>
          </w:tcPr>
          <w:p>
            <w:pPr>
              <w:spacing w:after="0" w:line="252" w:lineRule="auto"/>
            </w:pPr>
            <w:r/>
            <w:r>
              <w:rPr>
                <w:rFonts w:ascii="Aptos" w:hAnsi="Aptos"/>
                <w:b w:val="0"/>
                <w:color w:val="243B53"/>
                <w:sz w:val="15"/>
              </w:rPr>
              <w:t>Exercise question plus text or image input and chapter prerequisite concept context</w:t>
            </w:r>
          </w:p>
        </w:tc>
        <w:tc>
          <w:tcPr>
            <w:tcW w:type="dxa" w:w="2736"/>
            <w:shd w:fill="FFFFFF"/>
            <w:tcBorders>
              <w:top w:val="single" w:sz="3" w:color="D9E2EC"/>
              <w:left w:val="single" w:sz="3" w:color="D9E2EC"/>
              <w:bottom w:val="single" w:sz="3" w:color="D9E2EC"/>
              <w:right w:val="single" w:sz="3" w:color="D9E2EC"/>
            </w:tcBorders>
            <w:vAlign w:val="top"/>
            <w:tcMar>
              <w:top w:w="90" w:type="dxa"/>
              <w:start w:w="100" w:type="dxa"/>
              <w:bottom w:w="90" w:type="dxa"/>
              <w:end w:w="100" w:type="dxa"/>
            </w:tcMar>
          </w:tcPr>
          <w:p>
            <w:pPr>
              <w:spacing w:after="0" w:line="252" w:lineRule="auto"/>
            </w:pPr>
            <w:r/>
            <w:r>
              <w:rPr>
                <w:rFonts w:ascii="Aptos" w:hAnsi="Aptos"/>
                <w:b w:val="0"/>
                <w:color w:val="243B53"/>
                <w:sz w:val="15"/>
              </w:rPr>
              <w:t>Personalized; Gemini 3.1 Pro Preview path</w:t>
            </w:r>
          </w:p>
        </w:tc>
      </w:tr>
      <w:tr>
        <w:tc>
          <w:tcPr>
            <w:tcW w:type="dxa" w:w="2232"/>
            <w:shd w:fill="F4F7FA"/>
            <w:tcBorders>
              <w:top w:val="single" w:sz="3" w:color="D9E2EC"/>
              <w:left w:val="single" w:sz="3" w:color="D9E2EC"/>
              <w:bottom w:val="single" w:sz="3" w:color="D9E2EC"/>
              <w:right w:val="single" w:sz="3" w:color="D9E2EC"/>
            </w:tcBorders>
            <w:vAlign w:val="top"/>
            <w:tcMar>
              <w:top w:w="90" w:type="dxa"/>
              <w:start w:w="100" w:type="dxa"/>
              <w:bottom w:w="90" w:type="dxa"/>
              <w:end w:w="100" w:type="dxa"/>
            </w:tcMar>
          </w:tcPr>
          <w:p>
            <w:pPr>
              <w:spacing w:after="0" w:line="252" w:lineRule="auto"/>
            </w:pPr>
            <w:r/>
            <w:r>
              <w:rPr>
                <w:rFonts w:ascii="Aptos" w:hAnsi="Aptos"/>
                <w:b w:val="0"/>
                <w:color w:val="243B53"/>
                <w:sz w:val="15"/>
              </w:rPr>
              <w:t>Insight explain/test</w:t>
            </w:r>
          </w:p>
        </w:tc>
        <w:tc>
          <w:tcPr>
            <w:tcW w:type="dxa" w:w="4392"/>
            <w:shd w:fill="F4F7FA"/>
            <w:tcBorders>
              <w:top w:val="single" w:sz="3" w:color="D9E2EC"/>
              <w:left w:val="single" w:sz="3" w:color="D9E2EC"/>
              <w:bottom w:val="single" w:sz="3" w:color="D9E2EC"/>
              <w:right w:val="single" w:sz="3" w:color="D9E2EC"/>
            </w:tcBorders>
            <w:vAlign w:val="top"/>
            <w:tcMar>
              <w:top w:w="90" w:type="dxa"/>
              <w:start w:w="100" w:type="dxa"/>
              <w:bottom w:w="90" w:type="dxa"/>
              <w:end w:w="100" w:type="dxa"/>
            </w:tcMar>
          </w:tcPr>
          <w:p>
            <w:pPr>
              <w:spacing w:after="0" w:line="252" w:lineRule="auto"/>
            </w:pPr>
            <w:r/>
            <w:r>
              <w:rPr>
                <w:rFonts w:ascii="Aptos" w:hAnsi="Aptos"/>
                <w:b w:val="0"/>
                <w:color w:val="243B53"/>
                <w:sz w:val="15"/>
              </w:rPr>
              <w:t>Insight text plus source/concept context</w:t>
            </w:r>
          </w:p>
        </w:tc>
        <w:tc>
          <w:tcPr>
            <w:tcW w:type="dxa" w:w="2736"/>
            <w:shd w:fill="F4F7FA"/>
            <w:tcBorders>
              <w:top w:val="single" w:sz="3" w:color="D9E2EC"/>
              <w:left w:val="single" w:sz="3" w:color="D9E2EC"/>
              <w:bottom w:val="single" w:sz="3" w:color="D9E2EC"/>
              <w:right w:val="single" w:sz="3" w:color="D9E2EC"/>
            </w:tcBorders>
            <w:vAlign w:val="top"/>
            <w:tcMar>
              <w:top w:w="90" w:type="dxa"/>
              <w:start w:w="100" w:type="dxa"/>
              <w:bottom w:w="90" w:type="dxa"/>
              <w:end w:w="100" w:type="dxa"/>
            </w:tcMar>
          </w:tcPr>
          <w:p>
            <w:pPr>
              <w:spacing w:after="0" w:line="252" w:lineRule="auto"/>
            </w:pPr>
            <w:r/>
            <w:r>
              <w:rPr>
                <w:rFonts w:ascii="Aptos" w:hAnsi="Aptos"/>
                <w:b w:val="0"/>
                <w:color w:val="243B53"/>
                <w:sz w:val="15"/>
              </w:rPr>
              <w:t>Personalized remediation; not cached</w:t>
            </w:r>
          </w:p>
        </w:tc>
      </w:tr>
      <w:tr>
        <w:tc>
          <w:tcPr>
            <w:tcW w:type="dxa" w:w="2232"/>
            <w:shd w:fill="FFFFFF"/>
            <w:tcBorders>
              <w:top w:val="single" w:sz="3" w:color="D9E2EC"/>
              <w:left w:val="single" w:sz="3" w:color="D9E2EC"/>
              <w:bottom w:val="single" w:sz="3" w:color="D9E2EC"/>
              <w:right w:val="single" w:sz="3" w:color="D9E2EC"/>
            </w:tcBorders>
            <w:vAlign w:val="top"/>
            <w:tcMar>
              <w:top w:w="90" w:type="dxa"/>
              <w:start w:w="100" w:type="dxa"/>
              <w:bottom w:w="90" w:type="dxa"/>
              <w:end w:w="100" w:type="dxa"/>
            </w:tcMar>
          </w:tcPr>
          <w:p>
            <w:pPr>
              <w:spacing w:after="0" w:line="252" w:lineRule="auto"/>
            </w:pPr>
            <w:r/>
            <w:r>
              <w:rPr>
                <w:rFonts w:ascii="Aptos" w:hAnsi="Aptos"/>
                <w:b w:val="0"/>
                <w:color w:val="243B53"/>
                <w:sz w:val="15"/>
              </w:rPr>
              <w:t>Section tutor</w:t>
            </w:r>
          </w:p>
        </w:tc>
        <w:tc>
          <w:tcPr>
            <w:tcW w:type="dxa" w:w="4392"/>
            <w:shd w:fill="FFFFFF"/>
            <w:tcBorders>
              <w:top w:val="single" w:sz="3" w:color="D9E2EC"/>
              <w:left w:val="single" w:sz="3" w:color="D9E2EC"/>
              <w:bottom w:val="single" w:sz="3" w:color="D9E2EC"/>
              <w:right w:val="single" w:sz="3" w:color="D9E2EC"/>
            </w:tcBorders>
            <w:vAlign w:val="top"/>
            <w:tcMar>
              <w:top w:w="90" w:type="dxa"/>
              <w:start w:w="100" w:type="dxa"/>
              <w:bottom w:w="90" w:type="dxa"/>
              <w:end w:w="100" w:type="dxa"/>
            </w:tcMar>
          </w:tcPr>
          <w:p>
            <w:pPr>
              <w:spacing w:after="0" w:line="252" w:lineRule="auto"/>
            </w:pPr>
            <w:r/>
            <w:r>
              <w:rPr>
                <w:rFonts w:ascii="Aptos" w:hAnsi="Aptos"/>
                <w:b w:val="0"/>
                <w:color w:val="243B53"/>
                <w:sz w:val="15"/>
              </w:rPr>
              <w:t>Subsection/section content plus top matched active insights and conversation state</w:t>
            </w:r>
          </w:p>
        </w:tc>
        <w:tc>
          <w:tcPr>
            <w:tcW w:type="dxa" w:w="2736"/>
            <w:shd w:fill="FFFFFF"/>
            <w:tcBorders>
              <w:top w:val="single" w:sz="3" w:color="D9E2EC"/>
              <w:left w:val="single" w:sz="3" w:color="D9E2EC"/>
              <w:bottom w:val="single" w:sz="3" w:color="D9E2EC"/>
              <w:right w:val="single" w:sz="3" w:color="D9E2EC"/>
            </w:tcBorders>
            <w:vAlign w:val="top"/>
            <w:tcMar>
              <w:top w:w="90" w:type="dxa"/>
              <w:start w:w="100" w:type="dxa"/>
              <w:bottom w:w="90" w:type="dxa"/>
              <w:end w:w="100" w:type="dxa"/>
            </w:tcMar>
          </w:tcPr>
          <w:p>
            <w:pPr>
              <w:spacing w:after="0" w:line="252" w:lineRule="auto"/>
            </w:pPr>
            <w:r/>
            <w:r>
              <w:rPr>
                <w:rFonts w:ascii="Aptos" w:hAnsi="Aptos"/>
                <w:b w:val="0"/>
                <w:color w:val="243B53"/>
                <w:sz w:val="15"/>
              </w:rPr>
              <w:t>Personalized; LangGraph-backed</w:t>
            </w:r>
          </w:p>
        </w:tc>
      </w:tr>
      <w:tr>
        <w:tc>
          <w:tcPr>
            <w:tcW w:type="dxa" w:w="2232"/>
            <w:shd w:fill="F4F7FA"/>
            <w:tcBorders>
              <w:top w:val="single" w:sz="3" w:color="D9E2EC"/>
              <w:left w:val="single" w:sz="3" w:color="D9E2EC"/>
              <w:bottom w:val="single" w:sz="3" w:color="D9E2EC"/>
              <w:right w:val="single" w:sz="3" w:color="D9E2EC"/>
            </w:tcBorders>
            <w:vAlign w:val="top"/>
            <w:tcMar>
              <w:top w:w="90" w:type="dxa"/>
              <w:start w:w="100" w:type="dxa"/>
              <w:bottom w:w="90" w:type="dxa"/>
              <w:end w:w="100" w:type="dxa"/>
            </w:tcMar>
          </w:tcPr>
          <w:p>
            <w:pPr>
              <w:spacing w:after="0" w:line="252" w:lineRule="auto"/>
            </w:pPr>
            <w:r/>
            <w:r>
              <w:rPr>
                <w:rFonts w:ascii="Aptos" w:hAnsi="Aptos"/>
                <w:b w:val="0"/>
                <w:color w:val="243B53"/>
                <w:sz w:val="15"/>
              </w:rPr>
              <w:t>Global tutor</w:t>
            </w:r>
          </w:p>
        </w:tc>
        <w:tc>
          <w:tcPr>
            <w:tcW w:type="dxa" w:w="4392"/>
            <w:shd w:fill="F4F7FA"/>
            <w:tcBorders>
              <w:top w:val="single" w:sz="3" w:color="D9E2EC"/>
              <w:left w:val="single" w:sz="3" w:color="D9E2EC"/>
              <w:bottom w:val="single" w:sz="3" w:color="D9E2EC"/>
              <w:right w:val="single" w:sz="3" w:color="D9E2EC"/>
            </w:tcBorders>
            <w:vAlign w:val="top"/>
            <w:tcMar>
              <w:top w:w="90" w:type="dxa"/>
              <w:start w:w="100" w:type="dxa"/>
              <w:bottom w:w="90" w:type="dxa"/>
              <w:end w:w="100" w:type="dxa"/>
            </w:tcMar>
          </w:tcPr>
          <w:p>
            <w:pPr>
              <w:spacing w:after="0" w:line="252" w:lineRule="auto"/>
            </w:pPr>
            <w:r/>
            <w:r>
              <w:rPr>
                <w:rFonts w:ascii="Aptos" w:hAnsi="Aptos"/>
                <w:b w:val="0"/>
                <w:color w:val="243B53"/>
                <w:sz w:val="15"/>
              </w:rPr>
              <w:t>User query plus top matched active insights and persisted conversation state</w:t>
            </w:r>
          </w:p>
        </w:tc>
        <w:tc>
          <w:tcPr>
            <w:tcW w:type="dxa" w:w="2736"/>
            <w:shd w:fill="F4F7FA"/>
            <w:tcBorders>
              <w:top w:val="single" w:sz="3" w:color="D9E2EC"/>
              <w:left w:val="single" w:sz="3" w:color="D9E2EC"/>
              <w:bottom w:val="single" w:sz="3" w:color="D9E2EC"/>
              <w:right w:val="single" w:sz="3" w:color="D9E2EC"/>
            </w:tcBorders>
            <w:vAlign w:val="top"/>
            <w:tcMar>
              <w:top w:w="90" w:type="dxa"/>
              <w:start w:w="100" w:type="dxa"/>
              <w:bottom w:w="90" w:type="dxa"/>
              <w:end w:w="100" w:type="dxa"/>
            </w:tcMar>
          </w:tcPr>
          <w:p>
            <w:pPr>
              <w:spacing w:after="0" w:line="252" w:lineRule="auto"/>
            </w:pPr>
            <w:r/>
            <w:r>
              <w:rPr>
                <w:rFonts w:ascii="Aptos" w:hAnsi="Aptos"/>
                <w:b w:val="0"/>
                <w:color w:val="243B53"/>
                <w:sz w:val="15"/>
              </w:rPr>
              <w:t>Textbook-agnostic; personalized only when active insight retrieval matches</w:t>
            </w:r>
          </w:p>
        </w:tc>
      </w:tr>
    </w:tbl>
    <w:p>
      <w:pPr>
        <w:spacing w:after="0"/>
      </w:pPr>
    </w:p>
    <w:p>
      <w:pPr>
        <w:pStyle w:val="Heading1"/>
      </w:pPr>
      <w:r>
        <w:t>8. Retry, Timeout, And Failure Semantics</w:t>
      </w:r>
    </w:p>
    <w:p>
      <w:r>
        <w:t>The backend has several retry boundaries, each with a different purpose. Retrying a provider call is not the same as retrying a Neo4j transaction, and neither should be confused with a client retry. The current LLM retry loop is immediate; it does not sleep between attempts.</w:t>
      </w:r>
    </w:p>
    <w:tbl>
      <w:tblPr>
        <w:tblW w:type="auto" w:w="0"/>
        <w:jc w:val="left"/>
        <w:tblLayout w:type="fixed"/>
        <w:tblLook w:firstColumn="1" w:firstRow="1" w:lastColumn="0" w:lastRow="0" w:noHBand="0" w:noVBand="1" w:val="04A0"/>
      </w:tblPr>
      <w:tblGrid>
        <w:gridCol w:w="3331"/>
        <w:gridCol w:w="3331"/>
        <w:gridCol w:w="3331"/>
      </w:tblGrid>
      <w:tr>
        <w:trPr>
          <w:tblHeader w:val="true"/>
        </w:trPr>
        <w:tc>
          <w:tcPr>
            <w:tcW w:type="dxa" w:w="2232"/>
            <w:shd w:fill="102A43"/>
            <w:tcBorders>
              <w:top w:val="single" w:sz="4" w:color="102A43"/>
              <w:left w:val="single" w:sz="4" w:color="102A43"/>
              <w:bottom w:val="single" w:sz="4" w:color="102A43"/>
              <w:right w:val="single" w:sz="4" w:color="102A43"/>
            </w:tcBorders>
            <w:vAlign w:val="top"/>
            <w:tcMar>
              <w:top w:w="90" w:type="dxa"/>
              <w:start w:w="100" w:type="dxa"/>
              <w:bottom w:w="90" w:type="dxa"/>
              <w:end w:w="100" w:type="dxa"/>
            </w:tcMar>
          </w:tcPr>
          <w:p>
            <w:pPr>
              <w:spacing w:after="0" w:line="252" w:lineRule="auto"/>
            </w:pPr>
            <w:r/>
            <w:r>
              <w:rPr>
                <w:rFonts w:ascii="Aptos" w:hAnsi="Aptos"/>
                <w:b/>
                <w:color w:val="FFFFFF"/>
                <w:sz w:val="14"/>
              </w:rPr>
              <w:t>BOUNDARY</w:t>
            </w:r>
          </w:p>
        </w:tc>
        <w:tc>
          <w:tcPr>
            <w:tcW w:type="dxa" w:w="4320"/>
            <w:shd w:fill="102A43"/>
            <w:tcBorders>
              <w:top w:val="single" w:sz="4" w:color="102A43"/>
              <w:left w:val="single" w:sz="4" w:color="102A43"/>
              <w:bottom w:val="single" w:sz="4" w:color="102A43"/>
              <w:right w:val="single" w:sz="4" w:color="102A43"/>
            </w:tcBorders>
            <w:vAlign w:val="top"/>
            <w:tcMar>
              <w:top w:w="90" w:type="dxa"/>
              <w:start w:w="100" w:type="dxa"/>
              <w:bottom w:w="90" w:type="dxa"/>
              <w:end w:w="100" w:type="dxa"/>
            </w:tcMar>
          </w:tcPr>
          <w:p>
            <w:pPr>
              <w:spacing w:after="0" w:line="252" w:lineRule="auto"/>
            </w:pPr>
            <w:r/>
            <w:r>
              <w:rPr>
                <w:rFonts w:ascii="Aptos" w:hAnsi="Aptos"/>
                <w:b/>
                <w:color w:val="FFFFFF"/>
                <w:sz w:val="14"/>
              </w:rPr>
              <w:t>CURRENT BEHAVIOR</w:t>
            </w:r>
          </w:p>
        </w:tc>
        <w:tc>
          <w:tcPr>
            <w:tcW w:type="dxa" w:w="2808"/>
            <w:shd w:fill="102A43"/>
            <w:tcBorders>
              <w:top w:val="single" w:sz="4" w:color="102A43"/>
              <w:left w:val="single" w:sz="4" w:color="102A43"/>
              <w:bottom w:val="single" w:sz="4" w:color="102A43"/>
              <w:right w:val="single" w:sz="4" w:color="102A43"/>
            </w:tcBorders>
            <w:vAlign w:val="top"/>
            <w:tcMar>
              <w:top w:w="90" w:type="dxa"/>
              <w:start w:w="100" w:type="dxa"/>
              <w:bottom w:w="90" w:type="dxa"/>
              <w:end w:w="100" w:type="dxa"/>
            </w:tcMar>
          </w:tcPr>
          <w:p>
            <w:pPr>
              <w:spacing w:after="0" w:line="252" w:lineRule="auto"/>
            </w:pPr>
            <w:r/>
            <w:r>
              <w:rPr>
                <w:rFonts w:ascii="Aptos" w:hAnsi="Aptos"/>
                <w:b/>
                <w:color w:val="FFFFFF"/>
                <w:sz w:val="14"/>
              </w:rPr>
              <w:t>IMPORTANT CONSEQUENCE</w:t>
            </w:r>
          </w:p>
        </w:tc>
      </w:tr>
      <w:tr>
        <w:tc>
          <w:tcPr>
            <w:tcW w:type="dxa" w:w="2232"/>
            <w:shd w:fill="FFFFFF"/>
            <w:tcBorders>
              <w:top w:val="single" w:sz="3" w:color="D9E2EC"/>
              <w:left w:val="single" w:sz="3" w:color="D9E2EC"/>
              <w:bottom w:val="single" w:sz="3" w:color="D9E2EC"/>
              <w:right w:val="single" w:sz="3" w:color="D9E2EC"/>
            </w:tcBorders>
            <w:vAlign w:val="top"/>
            <w:tcMar>
              <w:top w:w="90" w:type="dxa"/>
              <w:start w:w="100" w:type="dxa"/>
              <w:bottom w:w="90" w:type="dxa"/>
              <w:end w:w="100" w:type="dxa"/>
            </w:tcMar>
          </w:tcPr>
          <w:p>
            <w:pPr>
              <w:spacing w:after="0" w:line="252" w:lineRule="auto"/>
            </w:pPr>
            <w:r/>
            <w:r>
              <w:rPr>
                <w:rFonts w:ascii="Aptos" w:hAnsi="Aptos"/>
                <w:b w:val="0"/>
                <w:color w:val="243B53"/>
                <w:sz w:val="15"/>
              </w:rPr>
              <w:t>LLM JSON generation</w:t>
            </w:r>
          </w:p>
        </w:tc>
        <w:tc>
          <w:tcPr>
            <w:tcW w:type="dxa" w:w="4320"/>
            <w:shd w:fill="FFFFFF"/>
            <w:tcBorders>
              <w:top w:val="single" w:sz="3" w:color="D9E2EC"/>
              <w:left w:val="single" w:sz="3" w:color="D9E2EC"/>
              <w:bottom w:val="single" w:sz="3" w:color="D9E2EC"/>
              <w:right w:val="single" w:sz="3" w:color="D9E2EC"/>
            </w:tcBorders>
            <w:vAlign w:val="top"/>
            <w:tcMar>
              <w:top w:w="90" w:type="dxa"/>
              <w:start w:w="100" w:type="dxa"/>
              <w:bottom w:w="90" w:type="dxa"/>
              <w:end w:w="100" w:type="dxa"/>
            </w:tcMar>
          </w:tcPr>
          <w:p>
            <w:pPr>
              <w:spacing w:after="0" w:line="252" w:lineRule="auto"/>
            </w:pPr>
            <w:r/>
            <w:r>
              <w:rPr>
                <w:rFonts w:ascii="Aptos" w:hAnsi="Aptos"/>
                <w:b w:val="0"/>
                <w:color w:val="243B53"/>
                <w:sz w:val="15"/>
              </w:rPr>
              <w:t>Caller/service retries usually default to 2 retries after the initial attempt</w:t>
            </w:r>
          </w:p>
        </w:tc>
        <w:tc>
          <w:tcPr>
            <w:tcW w:type="dxa" w:w="2808"/>
            <w:shd w:fill="FFFFFF"/>
            <w:tcBorders>
              <w:top w:val="single" w:sz="3" w:color="D9E2EC"/>
              <w:left w:val="single" w:sz="3" w:color="D9E2EC"/>
              <w:bottom w:val="single" w:sz="3" w:color="D9E2EC"/>
              <w:right w:val="single" w:sz="3" w:color="D9E2EC"/>
            </w:tcBorders>
            <w:vAlign w:val="top"/>
            <w:tcMar>
              <w:top w:w="90" w:type="dxa"/>
              <w:start w:w="100" w:type="dxa"/>
              <w:bottom w:w="90" w:type="dxa"/>
              <w:end w:w="100" w:type="dxa"/>
            </w:tcMar>
          </w:tcPr>
          <w:p>
            <w:pPr>
              <w:spacing w:after="0" w:line="252" w:lineRule="auto"/>
            </w:pPr>
            <w:r/>
            <w:r>
              <w:rPr>
                <w:rFonts w:ascii="Aptos" w:hAnsi="Aptos"/>
                <w:b w:val="0"/>
                <w:color w:val="243B53"/>
                <w:sz w:val="15"/>
              </w:rPr>
              <w:t>Can multiply provider latency; retries are immediate and should be bounded by endpoint timeout</w:t>
            </w:r>
          </w:p>
        </w:tc>
      </w:tr>
      <w:tr>
        <w:tc>
          <w:tcPr>
            <w:tcW w:type="dxa" w:w="2232"/>
            <w:shd w:fill="F4F7FA"/>
            <w:tcBorders>
              <w:top w:val="single" w:sz="3" w:color="D9E2EC"/>
              <w:left w:val="single" w:sz="3" w:color="D9E2EC"/>
              <w:bottom w:val="single" w:sz="3" w:color="D9E2EC"/>
              <w:right w:val="single" w:sz="3" w:color="D9E2EC"/>
            </w:tcBorders>
            <w:vAlign w:val="top"/>
            <w:tcMar>
              <w:top w:w="90" w:type="dxa"/>
              <w:start w:w="100" w:type="dxa"/>
              <w:bottom w:w="90" w:type="dxa"/>
              <w:end w:w="100" w:type="dxa"/>
            </w:tcMar>
          </w:tcPr>
          <w:p>
            <w:pPr>
              <w:spacing w:after="0" w:line="252" w:lineRule="auto"/>
            </w:pPr>
            <w:r/>
            <w:r>
              <w:rPr>
                <w:rFonts w:ascii="Aptos" w:hAnsi="Aptos"/>
                <w:b w:val="0"/>
                <w:color w:val="243B53"/>
                <w:sz w:val="15"/>
              </w:rPr>
              <w:t>Embedding</w:t>
            </w:r>
          </w:p>
        </w:tc>
        <w:tc>
          <w:tcPr>
            <w:tcW w:type="dxa" w:w="4320"/>
            <w:shd w:fill="F4F7FA"/>
            <w:tcBorders>
              <w:top w:val="single" w:sz="3" w:color="D9E2EC"/>
              <w:left w:val="single" w:sz="3" w:color="D9E2EC"/>
              <w:bottom w:val="single" w:sz="3" w:color="D9E2EC"/>
              <w:right w:val="single" w:sz="3" w:color="D9E2EC"/>
            </w:tcBorders>
            <w:vAlign w:val="top"/>
            <w:tcMar>
              <w:top w:w="90" w:type="dxa"/>
              <w:start w:w="100" w:type="dxa"/>
              <w:bottom w:w="90" w:type="dxa"/>
              <w:end w:w="100" w:type="dxa"/>
            </w:tcMar>
          </w:tcPr>
          <w:p>
            <w:pPr>
              <w:spacing w:after="0" w:line="252" w:lineRule="auto"/>
            </w:pPr>
            <w:r/>
            <w:r>
              <w:rPr>
                <w:rFonts w:ascii="Aptos" w:hAnsi="Aptos"/>
                <w:b w:val="0"/>
                <w:color w:val="243B53"/>
                <w:sz w:val="15"/>
              </w:rPr>
              <w:t>Embedding helper retries usually default to 2 retries</w:t>
            </w:r>
          </w:p>
        </w:tc>
        <w:tc>
          <w:tcPr>
            <w:tcW w:type="dxa" w:w="2808"/>
            <w:shd w:fill="F4F7FA"/>
            <w:tcBorders>
              <w:top w:val="single" w:sz="3" w:color="D9E2EC"/>
              <w:left w:val="single" w:sz="3" w:color="D9E2EC"/>
              <w:bottom w:val="single" w:sz="3" w:color="D9E2EC"/>
              <w:right w:val="single" w:sz="3" w:color="D9E2EC"/>
            </w:tcBorders>
            <w:vAlign w:val="top"/>
            <w:tcMar>
              <w:top w:w="90" w:type="dxa"/>
              <w:start w:w="100" w:type="dxa"/>
              <w:bottom w:w="90" w:type="dxa"/>
              <w:end w:w="100" w:type="dxa"/>
            </w:tcMar>
          </w:tcPr>
          <w:p>
            <w:pPr>
              <w:spacing w:after="0" w:line="252" w:lineRule="auto"/>
            </w:pPr>
            <w:r/>
            <w:r>
              <w:rPr>
                <w:rFonts w:ascii="Aptos" w:hAnsi="Aptos"/>
                <w:b w:val="0"/>
                <w:color w:val="243B53"/>
                <w:sz w:val="15"/>
              </w:rPr>
              <w:t>Embedding failure should not erase a valid insight; downstream retrieval may have less signal</w:t>
            </w:r>
          </w:p>
        </w:tc>
      </w:tr>
      <w:tr>
        <w:tc>
          <w:tcPr>
            <w:tcW w:type="dxa" w:w="2232"/>
            <w:shd w:fill="FFFFFF"/>
            <w:tcBorders>
              <w:top w:val="single" w:sz="3" w:color="D9E2EC"/>
              <w:left w:val="single" w:sz="3" w:color="D9E2EC"/>
              <w:bottom w:val="single" w:sz="3" w:color="D9E2EC"/>
              <w:right w:val="single" w:sz="3" w:color="D9E2EC"/>
            </w:tcBorders>
            <w:vAlign w:val="top"/>
            <w:tcMar>
              <w:top w:w="90" w:type="dxa"/>
              <w:start w:w="100" w:type="dxa"/>
              <w:bottom w:w="90" w:type="dxa"/>
              <w:end w:w="100" w:type="dxa"/>
            </w:tcMar>
          </w:tcPr>
          <w:p>
            <w:pPr>
              <w:spacing w:after="0" w:line="252" w:lineRule="auto"/>
            </w:pPr>
            <w:r/>
            <w:r>
              <w:rPr>
                <w:rFonts w:ascii="Aptos" w:hAnsi="Aptos"/>
                <w:b w:val="0"/>
                <w:color w:val="243B53"/>
                <w:sz w:val="15"/>
              </w:rPr>
              <w:t>Gemini exercise evaluation</w:t>
            </w:r>
          </w:p>
        </w:tc>
        <w:tc>
          <w:tcPr>
            <w:tcW w:type="dxa" w:w="4320"/>
            <w:shd w:fill="FFFFFF"/>
            <w:tcBorders>
              <w:top w:val="single" w:sz="3" w:color="D9E2EC"/>
              <w:left w:val="single" w:sz="3" w:color="D9E2EC"/>
              <w:bottom w:val="single" w:sz="3" w:color="D9E2EC"/>
              <w:right w:val="single" w:sz="3" w:color="D9E2EC"/>
            </w:tcBorders>
            <w:vAlign w:val="top"/>
            <w:tcMar>
              <w:top w:w="90" w:type="dxa"/>
              <w:start w:w="100" w:type="dxa"/>
              <w:bottom w:w="90" w:type="dxa"/>
              <w:end w:w="100" w:type="dxa"/>
            </w:tcMar>
          </w:tcPr>
          <w:p>
            <w:pPr>
              <w:spacing w:after="0" w:line="252" w:lineRule="auto"/>
            </w:pPr>
            <w:r/>
            <w:r>
              <w:rPr>
                <w:rFonts w:ascii="Aptos" w:hAnsi="Aptos"/>
                <w:b w:val="0"/>
                <w:color w:val="243B53"/>
                <w:sz w:val="15"/>
              </w:rPr>
              <w:t>Gemini JSON helper uses approximately 90-second timeout and up to 2 retries</w:t>
            </w:r>
          </w:p>
        </w:tc>
        <w:tc>
          <w:tcPr>
            <w:tcW w:type="dxa" w:w="2808"/>
            <w:shd w:fill="FFFFFF"/>
            <w:tcBorders>
              <w:top w:val="single" w:sz="3" w:color="D9E2EC"/>
              <w:left w:val="single" w:sz="3" w:color="D9E2EC"/>
              <w:bottom w:val="single" w:sz="3" w:color="D9E2EC"/>
              <w:right w:val="single" w:sz="3" w:color="D9E2EC"/>
            </w:tcBorders>
            <w:vAlign w:val="top"/>
            <w:tcMar>
              <w:top w:w="90" w:type="dxa"/>
              <w:start w:w="100" w:type="dxa"/>
              <w:bottom w:w="90" w:type="dxa"/>
              <w:end w:w="100" w:type="dxa"/>
            </w:tcMar>
          </w:tcPr>
          <w:p>
            <w:pPr>
              <w:spacing w:after="0" w:line="252" w:lineRule="auto"/>
            </w:pPr>
            <w:r/>
            <w:r>
              <w:rPr>
                <w:rFonts w:ascii="Aptos" w:hAnsi="Aptos"/>
                <w:b w:val="0"/>
                <w:color w:val="243B53"/>
                <w:sz w:val="15"/>
              </w:rPr>
              <w:t>Image evaluation can be slow; keep outside cache and monitor stage latency</w:t>
            </w:r>
          </w:p>
        </w:tc>
      </w:tr>
      <w:tr>
        <w:tc>
          <w:tcPr>
            <w:tcW w:type="dxa" w:w="2232"/>
            <w:shd w:fill="F4F7FA"/>
            <w:tcBorders>
              <w:top w:val="single" w:sz="3" w:color="D9E2EC"/>
              <w:left w:val="single" w:sz="3" w:color="D9E2EC"/>
              <w:bottom w:val="single" w:sz="3" w:color="D9E2EC"/>
              <w:right w:val="single" w:sz="3" w:color="D9E2EC"/>
            </w:tcBorders>
            <w:vAlign w:val="top"/>
            <w:tcMar>
              <w:top w:w="90" w:type="dxa"/>
              <w:start w:w="100" w:type="dxa"/>
              <w:bottom w:w="90" w:type="dxa"/>
              <w:end w:w="100" w:type="dxa"/>
            </w:tcMar>
          </w:tcPr>
          <w:p>
            <w:pPr>
              <w:spacing w:after="0" w:line="252" w:lineRule="auto"/>
            </w:pPr>
            <w:r/>
            <w:r>
              <w:rPr>
                <w:rFonts w:ascii="Aptos" w:hAnsi="Aptos"/>
                <w:b w:val="0"/>
                <w:color w:val="243B53"/>
                <w:sz w:val="15"/>
              </w:rPr>
              <w:t>Neo4j transaction</w:t>
            </w:r>
          </w:p>
        </w:tc>
        <w:tc>
          <w:tcPr>
            <w:tcW w:type="dxa" w:w="4320"/>
            <w:shd w:fill="F4F7FA"/>
            <w:tcBorders>
              <w:top w:val="single" w:sz="3" w:color="D9E2EC"/>
              <w:left w:val="single" w:sz="3" w:color="D9E2EC"/>
              <w:bottom w:val="single" w:sz="3" w:color="D9E2EC"/>
              <w:right w:val="single" w:sz="3" w:color="D9E2EC"/>
            </w:tcBorders>
            <w:vAlign w:val="top"/>
            <w:tcMar>
              <w:top w:w="90" w:type="dxa"/>
              <w:start w:w="100" w:type="dxa"/>
              <w:bottom w:w="90" w:type="dxa"/>
              <w:end w:w="100" w:type="dxa"/>
            </w:tcMar>
          </w:tcPr>
          <w:p>
            <w:pPr>
              <w:spacing w:after="0" w:line="252" w:lineRule="auto"/>
            </w:pPr>
            <w:r/>
            <w:r>
              <w:rPr>
                <w:rFonts w:ascii="Aptos" w:hAnsi="Aptos"/>
                <w:b w:val="0"/>
                <w:color w:val="243B53"/>
                <w:sz w:val="15"/>
              </w:rPr>
              <w:t>Driver max_transaction_retry_time is 30 seconds</w:t>
            </w:r>
          </w:p>
        </w:tc>
        <w:tc>
          <w:tcPr>
            <w:tcW w:type="dxa" w:w="2808"/>
            <w:shd w:fill="F4F7FA"/>
            <w:tcBorders>
              <w:top w:val="single" w:sz="3" w:color="D9E2EC"/>
              <w:left w:val="single" w:sz="3" w:color="D9E2EC"/>
              <w:bottom w:val="single" w:sz="3" w:color="D9E2EC"/>
              <w:right w:val="single" w:sz="3" w:color="D9E2EC"/>
            </w:tcBorders>
            <w:vAlign w:val="top"/>
            <w:tcMar>
              <w:top w:w="90" w:type="dxa"/>
              <w:start w:w="100" w:type="dxa"/>
              <w:bottom w:w="90" w:type="dxa"/>
              <w:end w:w="100" w:type="dxa"/>
            </w:tcMar>
          </w:tcPr>
          <w:p>
            <w:pPr>
              <w:spacing w:after="0" w:line="252" w:lineRule="auto"/>
            </w:pPr>
            <w:r/>
            <w:r>
              <w:rPr>
                <w:rFonts w:ascii="Aptos" w:hAnsi="Aptos"/>
                <w:b w:val="0"/>
                <w:color w:val="243B53"/>
                <w:sz w:val="15"/>
              </w:rPr>
              <w:t>Transient connection/transaction failures may be retried by the driver</w:t>
            </w:r>
          </w:p>
        </w:tc>
      </w:tr>
      <w:tr>
        <w:tc>
          <w:tcPr>
            <w:tcW w:type="dxa" w:w="2232"/>
            <w:shd w:fill="FFFFFF"/>
            <w:tcBorders>
              <w:top w:val="single" w:sz="3" w:color="D9E2EC"/>
              <w:left w:val="single" w:sz="3" w:color="D9E2EC"/>
              <w:bottom w:val="single" w:sz="3" w:color="D9E2EC"/>
              <w:right w:val="single" w:sz="3" w:color="D9E2EC"/>
            </w:tcBorders>
            <w:vAlign w:val="top"/>
            <w:tcMar>
              <w:top w:w="90" w:type="dxa"/>
              <w:start w:w="100" w:type="dxa"/>
              <w:bottom w:w="90" w:type="dxa"/>
              <w:end w:w="100" w:type="dxa"/>
            </w:tcMar>
          </w:tcPr>
          <w:p>
            <w:pPr>
              <w:spacing w:after="0" w:line="252" w:lineRule="auto"/>
            </w:pPr>
            <w:r/>
            <w:r>
              <w:rPr>
                <w:rFonts w:ascii="Aptos" w:hAnsi="Aptos"/>
                <w:b w:val="0"/>
                <w:color w:val="243B53"/>
                <w:sz w:val="15"/>
              </w:rPr>
              <w:t>Remote cache</w:t>
            </w:r>
          </w:p>
        </w:tc>
        <w:tc>
          <w:tcPr>
            <w:tcW w:type="dxa" w:w="4320"/>
            <w:shd w:fill="FFFFFF"/>
            <w:tcBorders>
              <w:top w:val="single" w:sz="3" w:color="D9E2EC"/>
              <w:left w:val="single" w:sz="3" w:color="D9E2EC"/>
              <w:bottom w:val="single" w:sz="3" w:color="D9E2EC"/>
              <w:right w:val="single" w:sz="3" w:color="D9E2EC"/>
            </w:tcBorders>
            <w:vAlign w:val="top"/>
            <w:tcMar>
              <w:top w:w="90" w:type="dxa"/>
              <w:start w:w="100" w:type="dxa"/>
              <w:bottom w:w="90" w:type="dxa"/>
              <w:end w:w="100" w:type="dxa"/>
            </w:tcMar>
          </w:tcPr>
          <w:p>
            <w:pPr>
              <w:spacing w:after="0" w:line="252" w:lineRule="auto"/>
            </w:pPr>
            <w:r/>
            <w:r>
              <w:rPr>
                <w:rFonts w:ascii="Aptos" w:hAnsi="Aptos"/>
                <w:b w:val="0"/>
                <w:color w:val="243B53"/>
                <w:sz w:val="15"/>
              </w:rPr>
              <w:t>Upstash errors fail open to local cache/generation</w:t>
            </w:r>
          </w:p>
        </w:tc>
        <w:tc>
          <w:tcPr>
            <w:tcW w:type="dxa" w:w="2808"/>
            <w:shd w:fill="FFFFFF"/>
            <w:tcBorders>
              <w:top w:val="single" w:sz="3" w:color="D9E2EC"/>
              <w:left w:val="single" w:sz="3" w:color="D9E2EC"/>
              <w:bottom w:val="single" w:sz="3" w:color="D9E2EC"/>
              <w:right w:val="single" w:sz="3" w:color="D9E2EC"/>
            </w:tcBorders>
            <w:vAlign w:val="top"/>
            <w:tcMar>
              <w:top w:w="90" w:type="dxa"/>
              <w:start w:w="100" w:type="dxa"/>
              <w:bottom w:w="90" w:type="dxa"/>
              <w:end w:w="100" w:type="dxa"/>
            </w:tcMar>
          </w:tcPr>
          <w:p>
            <w:pPr>
              <w:spacing w:after="0" w:line="252" w:lineRule="auto"/>
            </w:pPr>
            <w:r/>
            <w:r>
              <w:rPr>
                <w:rFonts w:ascii="Aptos" w:hAnsi="Aptos"/>
                <w:b w:val="0"/>
                <w:color w:val="243B53"/>
                <w:sz w:val="15"/>
              </w:rPr>
              <w:t>Cache outage should not become a learner-facing 500</w:t>
            </w:r>
          </w:p>
        </w:tc>
      </w:tr>
      <w:tr>
        <w:tc>
          <w:tcPr>
            <w:tcW w:type="dxa" w:w="2232"/>
            <w:shd w:fill="F4F7FA"/>
            <w:tcBorders>
              <w:top w:val="single" w:sz="3" w:color="D9E2EC"/>
              <w:left w:val="single" w:sz="3" w:color="D9E2EC"/>
              <w:bottom w:val="single" w:sz="3" w:color="D9E2EC"/>
              <w:right w:val="single" w:sz="3" w:color="D9E2EC"/>
            </w:tcBorders>
            <w:vAlign w:val="top"/>
            <w:tcMar>
              <w:top w:w="90" w:type="dxa"/>
              <w:start w:w="100" w:type="dxa"/>
              <w:bottom w:w="90" w:type="dxa"/>
              <w:end w:w="100" w:type="dxa"/>
            </w:tcMar>
          </w:tcPr>
          <w:p>
            <w:pPr>
              <w:spacing w:after="0" w:line="252" w:lineRule="auto"/>
            </w:pPr>
            <w:r/>
            <w:r>
              <w:rPr>
                <w:rFonts w:ascii="Aptos" w:hAnsi="Aptos"/>
                <w:b w:val="0"/>
                <w:color w:val="243B53"/>
                <w:sz w:val="15"/>
              </w:rPr>
              <w:t>Assessment persistence</w:t>
            </w:r>
          </w:p>
        </w:tc>
        <w:tc>
          <w:tcPr>
            <w:tcW w:type="dxa" w:w="4320"/>
            <w:shd w:fill="F4F7FA"/>
            <w:tcBorders>
              <w:top w:val="single" w:sz="3" w:color="D9E2EC"/>
              <w:left w:val="single" w:sz="3" w:color="D9E2EC"/>
              <w:bottom w:val="single" w:sz="3" w:color="D9E2EC"/>
              <w:right w:val="single" w:sz="3" w:color="D9E2EC"/>
            </w:tcBorders>
            <w:vAlign w:val="top"/>
            <w:tcMar>
              <w:top w:w="90" w:type="dxa"/>
              <w:start w:w="100" w:type="dxa"/>
              <w:bottom w:w="90" w:type="dxa"/>
              <w:end w:w="100" w:type="dxa"/>
            </w:tcMar>
          </w:tcPr>
          <w:p>
            <w:pPr>
              <w:spacing w:after="0" w:line="252" w:lineRule="auto"/>
            </w:pPr>
            <w:r/>
            <w:r>
              <w:rPr>
                <w:rFonts w:ascii="Aptos" w:hAnsi="Aptos"/>
                <w:b w:val="0"/>
                <w:color w:val="243B53"/>
                <w:sz w:val="15"/>
              </w:rPr>
              <w:t>Persistence failures are captured separately and do not necessarily fail evaluation response</w:t>
            </w:r>
          </w:p>
        </w:tc>
        <w:tc>
          <w:tcPr>
            <w:tcW w:type="dxa" w:w="2808"/>
            <w:shd w:fill="F4F7FA"/>
            <w:tcBorders>
              <w:top w:val="single" w:sz="3" w:color="D9E2EC"/>
              <w:left w:val="single" w:sz="3" w:color="D9E2EC"/>
              <w:bottom w:val="single" w:sz="3" w:color="D9E2EC"/>
              <w:right w:val="single" w:sz="3" w:color="D9E2EC"/>
            </w:tcBorders>
            <w:vAlign w:val="top"/>
            <w:tcMar>
              <w:top w:w="90" w:type="dxa"/>
              <w:start w:w="100" w:type="dxa"/>
              <w:bottom w:w="90" w:type="dxa"/>
              <w:end w:w="100" w:type="dxa"/>
            </w:tcMar>
          </w:tcPr>
          <w:p>
            <w:pPr>
              <w:spacing w:after="0" w:line="252" w:lineRule="auto"/>
            </w:pPr>
            <w:r/>
            <w:r>
              <w:rPr>
                <w:rFonts w:ascii="Aptos" w:hAnsi="Aptos"/>
                <w:b w:val="0"/>
                <w:color w:val="243B53"/>
                <w:sz w:val="15"/>
              </w:rPr>
              <w:t>Telemetry must distinguish model success from persistence success</w:t>
            </w:r>
          </w:p>
        </w:tc>
      </w:tr>
    </w:tbl>
    <w:p>
      <w:pPr>
        <w:spacing w:after="0"/>
      </w:pPr>
    </w:p>
    <w:p>
      <w:pPr>
        <w:pStyle w:val="Heading2"/>
      </w:pPr>
      <w:r>
        <w:t>Failure classification</w:t>
      </w:r>
    </w:p>
    <w:p>
      <w:pPr>
        <w:pStyle w:val="ListBullet"/>
      </w:pPr>
      <w:r>
        <w:t>Validation failure: model returned malformed JSON or invalid enum/category; retry while attempts remain, then return a controlled error.</w:t>
      </w:r>
    </w:p>
    <w:p>
      <w:pPr>
        <w:pStyle w:val="ListBullet"/>
      </w:pPr>
      <w:r>
        <w:t>Provider failure: timeout, rate limit, unavailable model, or invalid credentials; record provider/model and operation in structured telemetry.</w:t>
      </w:r>
    </w:p>
    <w:p>
      <w:pPr>
        <w:pStyle w:val="ListBullet"/>
      </w:pPr>
      <w:r>
        <w:t>Persistence failure: Neo4j write failed after evaluation; keep an explicit persistence_failed/dead_letter_recorded assessment state where available.</w:t>
      </w:r>
    </w:p>
    <w:p>
      <w:pPr>
        <w:pStyle w:val="ListBullet"/>
      </w:pPr>
      <w:r>
        <w:t>Authorization failure: do not retry; the token, role, or institute scope is invalid.</w:t>
      </w:r>
    </w:p>
    <w:p>
      <w:pPr>
        <w:pStyle w:val="ListBullet"/>
      </w:pPr>
      <w:r>
        <w:t>Cache failure: do not fail the request solely because local/Upstash cache is unavailable; regenerate or use the origin path.</w:t>
      </w:r>
    </w:p>
    <w:tbl>
      <w:tblPr>
        <w:tblW w:type="auto" w:w="0"/>
        <w:jc w:val="left"/>
        <w:tblLayout w:type="fixed"/>
        <w:tblLook w:firstColumn="1" w:firstRow="1" w:lastColumn="0" w:lastRow="0" w:noHBand="0" w:noVBand="1" w:val="04A0"/>
      </w:tblPr>
      <w:tblGrid>
        <w:gridCol w:w="9994"/>
      </w:tblGrid>
      <w:tr>
        <w:trPr>
          <w:tblHeader w:val="true"/>
        </w:trPr>
        <w:tc>
          <w:tcPr>
            <w:tcW w:type="dxa" w:w="9994"/>
            <w:shd w:fill="FFF0F0"/>
            <w:tcBorders>
              <w:top w:val="single" w:sz="7" w:color="E07A7A"/>
              <w:left w:val="single" w:sz="7" w:color="E07A7A"/>
              <w:bottom w:val="single" w:sz="7" w:color="E07A7A"/>
              <w:right w:val="single" w:sz="7" w:color="E07A7A"/>
            </w:tcBorders>
            <w:tcMar>
              <w:top w:w="120" w:type="dxa"/>
              <w:start w:w="140" w:type="dxa"/>
              <w:bottom w:w="120" w:type="dxa"/>
              <w:end w:w="140" w:type="dxa"/>
            </w:tcMar>
          </w:tcPr>
          <w:p>
            <w:pPr>
              <w:spacing w:after="40"/>
            </w:pPr>
            <w:r>
              <w:rPr>
                <w:b/>
                <w:color w:val="243B53"/>
                <w:sz w:val="17"/>
              </w:rPr>
              <w:t>Recommended operational improvement</w:t>
            </w:r>
          </w:p>
          <w:p>
            <w:pPr>
              <w:spacing w:after="0"/>
            </w:pPr>
            <w:r>
              <w:rPr>
                <w:sz w:val="16"/>
              </w:rPr>
              <w:t>Add bounded exponential backoff with jitter to provider retries, preserve the current attempt count in telemetry, and keep the total retry budget below the HTTP request timeout. Immediate retries can amplify rate limits during provider degradation.</w:t>
            </w:r>
          </w:p>
        </w:tc>
      </w:tr>
    </w:tbl>
    <w:p>
      <w:pPr>
        <w:pStyle w:val="Heading1"/>
      </w:pPr>
      <w:r>
        <w:t>9. Caching And Content Delivery</w:t>
      </w:r>
    </w:p>
    <w:p>
      <w:r>
        <w:t>Caching is intentionally split by personalization. Stable curriculum and non-personalized generation can be shared; student insights, evaluations, and tutor responses must not be shared across users.</w:t>
      </w:r>
    </w:p>
    <w:tbl>
      <w:tblPr>
        <w:tblW w:type="auto" w:w="0"/>
        <w:jc w:val="left"/>
        <w:tblLayout w:type="fixed"/>
        <w:tblLook w:firstColumn="1" w:firstRow="1" w:lastColumn="0" w:lastRow="0" w:noHBand="0" w:noVBand="1" w:val="04A0"/>
      </w:tblPr>
      <w:tblGrid>
        <w:gridCol w:w="3331"/>
        <w:gridCol w:w="3331"/>
        <w:gridCol w:w="3331"/>
      </w:tblGrid>
      <w:tr>
        <w:trPr>
          <w:tblHeader w:val="true"/>
        </w:trPr>
        <w:tc>
          <w:tcPr>
            <w:tcW w:type="dxa" w:w="2088"/>
            <w:shd w:fill="102A43"/>
            <w:tcBorders>
              <w:top w:val="single" w:sz="4" w:color="102A43"/>
              <w:left w:val="single" w:sz="4" w:color="102A43"/>
              <w:bottom w:val="single" w:sz="4" w:color="102A43"/>
              <w:right w:val="single" w:sz="4" w:color="102A43"/>
            </w:tcBorders>
            <w:vAlign w:val="top"/>
            <w:tcMar>
              <w:top w:w="90" w:type="dxa"/>
              <w:start w:w="100" w:type="dxa"/>
              <w:bottom w:w="90" w:type="dxa"/>
              <w:end w:w="100" w:type="dxa"/>
            </w:tcMar>
          </w:tcPr>
          <w:p>
            <w:pPr>
              <w:spacing w:after="0" w:line="252" w:lineRule="auto"/>
            </w:pPr>
            <w:r/>
            <w:r>
              <w:rPr>
                <w:rFonts w:ascii="Aptos" w:hAnsi="Aptos"/>
                <w:b/>
                <w:color w:val="FFFFFF"/>
                <w:sz w:val="14"/>
              </w:rPr>
              <w:t>LAYER</w:t>
            </w:r>
          </w:p>
        </w:tc>
        <w:tc>
          <w:tcPr>
            <w:tcW w:type="dxa" w:w="4392"/>
            <w:shd w:fill="102A43"/>
            <w:tcBorders>
              <w:top w:val="single" w:sz="4" w:color="102A43"/>
              <w:left w:val="single" w:sz="4" w:color="102A43"/>
              <w:bottom w:val="single" w:sz="4" w:color="102A43"/>
              <w:right w:val="single" w:sz="4" w:color="102A43"/>
            </w:tcBorders>
            <w:vAlign w:val="top"/>
            <w:tcMar>
              <w:top w:w="90" w:type="dxa"/>
              <w:start w:w="100" w:type="dxa"/>
              <w:bottom w:w="90" w:type="dxa"/>
              <w:end w:w="100" w:type="dxa"/>
            </w:tcMar>
          </w:tcPr>
          <w:p>
            <w:pPr>
              <w:spacing w:after="0" w:line="252" w:lineRule="auto"/>
            </w:pPr>
            <w:r/>
            <w:r>
              <w:rPr>
                <w:rFonts w:ascii="Aptos" w:hAnsi="Aptos"/>
                <w:b/>
                <w:color w:val="FFFFFF"/>
                <w:sz w:val="14"/>
              </w:rPr>
              <w:t>CURRENT SCOPE</w:t>
            </w:r>
          </w:p>
        </w:tc>
        <w:tc>
          <w:tcPr>
            <w:tcW w:type="dxa" w:w="2880"/>
            <w:shd w:fill="102A43"/>
            <w:tcBorders>
              <w:top w:val="single" w:sz="4" w:color="102A43"/>
              <w:left w:val="single" w:sz="4" w:color="102A43"/>
              <w:bottom w:val="single" w:sz="4" w:color="102A43"/>
              <w:right w:val="single" w:sz="4" w:color="102A43"/>
            </w:tcBorders>
            <w:vAlign w:val="top"/>
            <w:tcMar>
              <w:top w:w="90" w:type="dxa"/>
              <w:start w:w="100" w:type="dxa"/>
              <w:bottom w:w="90" w:type="dxa"/>
              <w:end w:w="100" w:type="dxa"/>
            </w:tcMar>
          </w:tcPr>
          <w:p>
            <w:pPr>
              <w:spacing w:after="0" w:line="252" w:lineRule="auto"/>
            </w:pPr>
            <w:r/>
            <w:r>
              <w:rPr>
                <w:rFonts w:ascii="Aptos" w:hAnsi="Aptos"/>
                <w:b/>
                <w:color w:val="FFFFFF"/>
                <w:sz w:val="14"/>
              </w:rPr>
              <w:t>TTL / BEHAVIOR</w:t>
            </w:r>
          </w:p>
        </w:tc>
      </w:tr>
      <w:tr>
        <w:tc>
          <w:tcPr>
            <w:tcW w:type="dxa" w:w="2088"/>
            <w:shd w:fill="FFFFFF"/>
            <w:tcBorders>
              <w:top w:val="single" w:sz="3" w:color="D9E2EC"/>
              <w:left w:val="single" w:sz="3" w:color="D9E2EC"/>
              <w:bottom w:val="single" w:sz="3" w:color="D9E2EC"/>
              <w:right w:val="single" w:sz="3" w:color="D9E2EC"/>
            </w:tcBorders>
            <w:vAlign w:val="top"/>
            <w:tcMar>
              <w:top w:w="90" w:type="dxa"/>
              <w:start w:w="100" w:type="dxa"/>
              <w:bottom w:w="90" w:type="dxa"/>
              <w:end w:w="100" w:type="dxa"/>
            </w:tcMar>
          </w:tcPr>
          <w:p>
            <w:pPr>
              <w:spacing w:after="0" w:line="252" w:lineRule="auto"/>
            </w:pPr>
            <w:r/>
            <w:r>
              <w:rPr>
                <w:rFonts w:ascii="Aptos" w:hAnsi="Aptos"/>
                <w:b w:val="0"/>
                <w:color w:val="243B53"/>
                <w:sz w:val="15"/>
              </w:rPr>
              <w:t>Curriculum in-process</w:t>
            </w:r>
          </w:p>
        </w:tc>
        <w:tc>
          <w:tcPr>
            <w:tcW w:type="dxa" w:w="4392"/>
            <w:shd w:fill="FFFFFF"/>
            <w:tcBorders>
              <w:top w:val="single" w:sz="3" w:color="D9E2EC"/>
              <w:left w:val="single" w:sz="3" w:color="D9E2EC"/>
              <w:bottom w:val="single" w:sz="3" w:color="D9E2EC"/>
              <w:right w:val="single" w:sz="3" w:color="D9E2EC"/>
            </w:tcBorders>
            <w:vAlign w:val="top"/>
            <w:tcMar>
              <w:top w:w="90" w:type="dxa"/>
              <w:start w:w="100" w:type="dxa"/>
              <w:bottom w:w="90" w:type="dxa"/>
              <w:end w:w="100" w:type="dxa"/>
            </w:tcMar>
          </w:tcPr>
          <w:p>
            <w:pPr>
              <w:spacing w:after="0" w:line="252" w:lineRule="auto"/>
            </w:pPr>
            <w:r/>
            <w:r>
              <w:rPr>
                <w:rFonts w:ascii="Aptos" w:hAnsi="Aptos"/>
                <w:b w:val="0"/>
                <w:color w:val="243B53"/>
                <w:sz w:val="15"/>
              </w:rPr>
              <w:t>Grades, subjects, chapters, sections, subsections, exercises, concepts, graphs, lineage</w:t>
            </w:r>
          </w:p>
        </w:tc>
        <w:tc>
          <w:tcPr>
            <w:tcW w:type="dxa" w:w="2880"/>
            <w:shd w:fill="FFFFFF"/>
            <w:tcBorders>
              <w:top w:val="single" w:sz="3" w:color="D9E2EC"/>
              <w:left w:val="single" w:sz="3" w:color="D9E2EC"/>
              <w:bottom w:val="single" w:sz="3" w:color="D9E2EC"/>
              <w:right w:val="single" w:sz="3" w:color="D9E2EC"/>
            </w:tcBorders>
            <w:vAlign w:val="top"/>
            <w:tcMar>
              <w:top w:w="90" w:type="dxa"/>
              <w:start w:w="100" w:type="dxa"/>
              <w:bottom w:w="90" w:type="dxa"/>
              <w:end w:w="100" w:type="dxa"/>
            </w:tcMar>
          </w:tcPr>
          <w:p>
            <w:pPr>
              <w:spacing w:after="0" w:line="252" w:lineRule="auto"/>
            </w:pPr>
            <w:r/>
            <w:r>
              <w:rPr>
                <w:rFonts w:ascii="Aptos" w:hAnsi="Aptos"/>
                <w:b w:val="0"/>
                <w:color w:val="243B53"/>
                <w:sz w:val="15"/>
              </w:rPr>
              <w:t>In-memory TTL/cache helper; public read headers are set by curriculum routes</w:t>
            </w:r>
          </w:p>
        </w:tc>
      </w:tr>
      <w:tr>
        <w:tc>
          <w:tcPr>
            <w:tcW w:type="dxa" w:w="2088"/>
            <w:shd w:fill="F4F7FA"/>
            <w:tcBorders>
              <w:top w:val="single" w:sz="3" w:color="D9E2EC"/>
              <w:left w:val="single" w:sz="3" w:color="D9E2EC"/>
              <w:bottom w:val="single" w:sz="3" w:color="D9E2EC"/>
              <w:right w:val="single" w:sz="3" w:color="D9E2EC"/>
            </w:tcBorders>
            <w:vAlign w:val="top"/>
            <w:tcMar>
              <w:top w:w="90" w:type="dxa"/>
              <w:start w:w="100" w:type="dxa"/>
              <w:bottom w:w="90" w:type="dxa"/>
              <w:end w:w="100" w:type="dxa"/>
            </w:tcMar>
          </w:tcPr>
          <w:p>
            <w:pPr>
              <w:spacing w:after="0" w:line="252" w:lineRule="auto"/>
            </w:pPr>
            <w:r/>
            <w:r>
              <w:rPr>
                <w:rFonts w:ascii="Aptos" w:hAnsi="Aptos"/>
                <w:b w:val="0"/>
                <w:color w:val="243B53"/>
                <w:sz w:val="15"/>
              </w:rPr>
              <w:t>Generation local cache</w:t>
            </w:r>
          </w:p>
        </w:tc>
        <w:tc>
          <w:tcPr>
            <w:tcW w:type="dxa" w:w="4392"/>
            <w:shd w:fill="F4F7FA"/>
            <w:tcBorders>
              <w:top w:val="single" w:sz="3" w:color="D9E2EC"/>
              <w:left w:val="single" w:sz="3" w:color="D9E2EC"/>
              <w:bottom w:val="single" w:sz="3" w:color="D9E2EC"/>
              <w:right w:val="single" w:sz="3" w:color="D9E2EC"/>
            </w:tcBorders>
            <w:vAlign w:val="top"/>
            <w:tcMar>
              <w:top w:w="90" w:type="dxa"/>
              <w:start w:w="100" w:type="dxa"/>
              <w:bottom w:w="90" w:type="dxa"/>
              <w:end w:w="100" w:type="dxa"/>
            </w:tcMar>
          </w:tcPr>
          <w:p>
            <w:pPr>
              <w:spacing w:after="0" w:line="252" w:lineRule="auto"/>
            </w:pPr>
            <w:r/>
            <w:r>
              <w:rPr>
                <w:rFonts w:ascii="Aptos" w:hAnsi="Aptos"/>
                <w:b w:val="0"/>
                <w:color w:val="243B53"/>
                <w:sz w:val="15"/>
              </w:rPr>
              <w:t>GET section question and GET section MCQ</w:t>
            </w:r>
          </w:p>
        </w:tc>
        <w:tc>
          <w:tcPr>
            <w:tcW w:type="dxa" w:w="2880"/>
            <w:shd w:fill="F4F7FA"/>
            <w:tcBorders>
              <w:top w:val="single" w:sz="3" w:color="D9E2EC"/>
              <w:left w:val="single" w:sz="3" w:color="D9E2EC"/>
              <w:bottom w:val="single" w:sz="3" w:color="D9E2EC"/>
              <w:right w:val="single" w:sz="3" w:color="D9E2EC"/>
            </w:tcBorders>
            <w:vAlign w:val="top"/>
            <w:tcMar>
              <w:top w:w="90" w:type="dxa"/>
              <w:start w:w="100" w:type="dxa"/>
              <w:bottom w:w="90" w:type="dxa"/>
              <w:end w:w="100" w:type="dxa"/>
            </w:tcMar>
          </w:tcPr>
          <w:p>
            <w:pPr>
              <w:spacing w:after="0" w:line="252" w:lineRule="auto"/>
            </w:pPr>
            <w:r/>
            <w:r>
              <w:rPr>
                <w:rFonts w:ascii="Aptos" w:hAnsi="Aptos"/>
                <w:b w:val="0"/>
                <w:color w:val="243B53"/>
                <w:sz w:val="15"/>
              </w:rPr>
              <w:t>Thread-safe LRU TTL; default 7 days; max 5,000 entries</w:t>
            </w:r>
          </w:p>
        </w:tc>
      </w:tr>
      <w:tr>
        <w:tc>
          <w:tcPr>
            <w:tcW w:type="dxa" w:w="2088"/>
            <w:shd w:fill="FFFFFF"/>
            <w:tcBorders>
              <w:top w:val="single" w:sz="3" w:color="D9E2EC"/>
              <w:left w:val="single" w:sz="3" w:color="D9E2EC"/>
              <w:bottom w:val="single" w:sz="3" w:color="D9E2EC"/>
              <w:right w:val="single" w:sz="3" w:color="D9E2EC"/>
            </w:tcBorders>
            <w:vAlign w:val="top"/>
            <w:tcMar>
              <w:top w:w="90" w:type="dxa"/>
              <w:start w:w="100" w:type="dxa"/>
              <w:bottom w:w="90" w:type="dxa"/>
              <w:end w:w="100" w:type="dxa"/>
            </w:tcMar>
          </w:tcPr>
          <w:p>
            <w:pPr>
              <w:spacing w:after="0" w:line="252" w:lineRule="auto"/>
            </w:pPr>
            <w:r/>
            <w:r>
              <w:rPr>
                <w:rFonts w:ascii="Aptos" w:hAnsi="Aptos"/>
                <w:b w:val="0"/>
                <w:color w:val="243B53"/>
                <w:sz w:val="15"/>
              </w:rPr>
              <w:t>Generation remote cache</w:t>
            </w:r>
          </w:p>
        </w:tc>
        <w:tc>
          <w:tcPr>
            <w:tcW w:type="dxa" w:w="4392"/>
            <w:shd w:fill="FFFFFF"/>
            <w:tcBorders>
              <w:top w:val="single" w:sz="3" w:color="D9E2EC"/>
              <w:left w:val="single" w:sz="3" w:color="D9E2EC"/>
              <w:bottom w:val="single" w:sz="3" w:color="D9E2EC"/>
              <w:right w:val="single" w:sz="3" w:color="D9E2EC"/>
            </w:tcBorders>
            <w:vAlign w:val="top"/>
            <w:tcMar>
              <w:top w:w="90" w:type="dxa"/>
              <w:start w:w="100" w:type="dxa"/>
              <w:bottom w:w="90" w:type="dxa"/>
              <w:end w:w="100" w:type="dxa"/>
            </w:tcMar>
          </w:tcPr>
          <w:p>
            <w:pPr>
              <w:spacing w:after="0" w:line="252" w:lineRule="auto"/>
            </w:pPr>
            <w:r/>
            <w:r>
              <w:rPr>
                <w:rFonts w:ascii="Aptos" w:hAnsi="Aptos"/>
                <w:b w:val="0"/>
                <w:color w:val="243B53"/>
                <w:sz w:val="15"/>
              </w:rPr>
              <w:t>Same non-personalized generation keys when Upstash is configured</w:t>
            </w:r>
          </w:p>
        </w:tc>
        <w:tc>
          <w:tcPr>
            <w:tcW w:type="dxa" w:w="2880"/>
            <w:shd w:fill="FFFFFF"/>
            <w:tcBorders>
              <w:top w:val="single" w:sz="3" w:color="D9E2EC"/>
              <w:left w:val="single" w:sz="3" w:color="D9E2EC"/>
              <w:bottom w:val="single" w:sz="3" w:color="D9E2EC"/>
              <w:right w:val="single" w:sz="3" w:color="D9E2EC"/>
            </w:tcBorders>
            <w:vAlign w:val="top"/>
            <w:tcMar>
              <w:top w:w="90" w:type="dxa"/>
              <w:start w:w="100" w:type="dxa"/>
              <w:bottom w:w="90" w:type="dxa"/>
              <w:end w:w="100" w:type="dxa"/>
            </w:tcMar>
          </w:tcPr>
          <w:p>
            <w:pPr>
              <w:spacing w:after="0" w:line="252" w:lineRule="auto"/>
            </w:pPr>
            <w:r/>
            <w:r>
              <w:rPr>
                <w:rFonts w:ascii="Aptos" w:hAnsi="Aptos"/>
                <w:b w:val="0"/>
                <w:color w:val="243B53"/>
                <w:sz w:val="15"/>
              </w:rPr>
              <w:t>Upstash REST /get and /set with EX; remote failures fail open</w:t>
            </w:r>
          </w:p>
        </w:tc>
      </w:tr>
      <w:tr>
        <w:tc>
          <w:tcPr>
            <w:tcW w:type="dxa" w:w="2088"/>
            <w:shd w:fill="F4F7FA"/>
            <w:tcBorders>
              <w:top w:val="single" w:sz="3" w:color="D9E2EC"/>
              <w:left w:val="single" w:sz="3" w:color="D9E2EC"/>
              <w:bottom w:val="single" w:sz="3" w:color="D9E2EC"/>
              <w:right w:val="single" w:sz="3" w:color="D9E2EC"/>
            </w:tcBorders>
            <w:vAlign w:val="top"/>
            <w:tcMar>
              <w:top w:w="90" w:type="dxa"/>
              <w:start w:w="100" w:type="dxa"/>
              <w:bottom w:w="90" w:type="dxa"/>
              <w:end w:w="100" w:type="dxa"/>
            </w:tcMar>
          </w:tcPr>
          <w:p>
            <w:pPr>
              <w:spacing w:after="0" w:line="252" w:lineRule="auto"/>
            </w:pPr>
            <w:r/>
            <w:r>
              <w:rPr>
                <w:rFonts w:ascii="Aptos" w:hAnsi="Aptos"/>
                <w:b w:val="0"/>
                <w:color w:val="243B53"/>
                <w:sz w:val="15"/>
              </w:rPr>
              <w:t>Frontend/session cache</w:t>
            </w:r>
          </w:p>
        </w:tc>
        <w:tc>
          <w:tcPr>
            <w:tcW w:type="dxa" w:w="4392"/>
            <w:shd w:fill="F4F7FA"/>
            <w:tcBorders>
              <w:top w:val="single" w:sz="3" w:color="D9E2EC"/>
              <w:left w:val="single" w:sz="3" w:color="D9E2EC"/>
              <w:bottom w:val="single" w:sz="3" w:color="D9E2EC"/>
              <w:right w:val="single" w:sz="3" w:color="D9E2EC"/>
            </w:tcBorders>
            <w:vAlign w:val="top"/>
            <w:tcMar>
              <w:top w:w="90" w:type="dxa"/>
              <w:start w:w="100" w:type="dxa"/>
              <w:bottom w:w="90" w:type="dxa"/>
              <w:end w:w="100" w:type="dxa"/>
            </w:tcMar>
          </w:tcPr>
          <w:p>
            <w:pPr>
              <w:spacing w:after="0" w:line="252" w:lineRule="auto"/>
            </w:pPr>
            <w:r/>
            <w:r>
              <w:rPr>
                <w:rFonts w:ascii="Aptos" w:hAnsi="Aptos"/>
                <w:b w:val="0"/>
                <w:color w:val="243B53"/>
                <w:sz w:val="15"/>
              </w:rPr>
              <w:t>Generation GET requests only</w:t>
            </w:r>
          </w:p>
        </w:tc>
        <w:tc>
          <w:tcPr>
            <w:tcW w:type="dxa" w:w="2880"/>
            <w:shd w:fill="F4F7FA"/>
            <w:tcBorders>
              <w:top w:val="single" w:sz="3" w:color="D9E2EC"/>
              <w:left w:val="single" w:sz="3" w:color="D9E2EC"/>
              <w:bottom w:val="single" w:sz="3" w:color="D9E2EC"/>
              <w:right w:val="single" w:sz="3" w:color="D9E2EC"/>
            </w:tcBorders>
            <w:vAlign w:val="top"/>
            <w:tcMar>
              <w:top w:w="90" w:type="dxa"/>
              <w:start w:w="100" w:type="dxa"/>
              <w:bottom w:w="90" w:type="dxa"/>
              <w:end w:w="100" w:type="dxa"/>
            </w:tcMar>
          </w:tcPr>
          <w:p>
            <w:pPr>
              <w:spacing w:after="0" w:line="252" w:lineRule="auto"/>
            </w:pPr>
            <w:r/>
            <w:r>
              <w:rPr>
                <w:rFonts w:ascii="Aptos" w:hAnsi="Aptos"/>
                <w:b w:val="0"/>
                <w:color w:val="243B53"/>
                <w:sz w:val="15"/>
              </w:rPr>
              <w:t>Short session-level cache and in-flight request de-duplication</w:t>
            </w:r>
          </w:p>
        </w:tc>
      </w:tr>
      <w:tr>
        <w:tc>
          <w:tcPr>
            <w:tcW w:type="dxa" w:w="2088"/>
            <w:shd w:fill="FFFFFF"/>
            <w:tcBorders>
              <w:top w:val="single" w:sz="3" w:color="D9E2EC"/>
              <w:left w:val="single" w:sz="3" w:color="D9E2EC"/>
              <w:bottom w:val="single" w:sz="3" w:color="D9E2EC"/>
              <w:right w:val="single" w:sz="3" w:color="D9E2EC"/>
            </w:tcBorders>
            <w:vAlign w:val="top"/>
            <w:tcMar>
              <w:top w:w="90" w:type="dxa"/>
              <w:start w:w="100" w:type="dxa"/>
              <w:bottom w:w="90" w:type="dxa"/>
              <w:end w:w="100" w:type="dxa"/>
            </w:tcMar>
          </w:tcPr>
          <w:p>
            <w:pPr>
              <w:spacing w:after="0" w:line="252" w:lineRule="auto"/>
            </w:pPr>
            <w:r/>
            <w:r>
              <w:rPr>
                <w:rFonts w:ascii="Aptos" w:hAnsi="Aptos"/>
                <w:b w:val="0"/>
                <w:color w:val="243B53"/>
                <w:sz w:val="15"/>
              </w:rPr>
              <w:t>Cloudflare edge</w:t>
            </w:r>
          </w:p>
        </w:tc>
        <w:tc>
          <w:tcPr>
            <w:tcW w:type="dxa" w:w="4392"/>
            <w:shd w:fill="FFFFFF"/>
            <w:tcBorders>
              <w:top w:val="single" w:sz="3" w:color="D9E2EC"/>
              <w:left w:val="single" w:sz="3" w:color="D9E2EC"/>
              <w:bottom w:val="single" w:sz="3" w:color="D9E2EC"/>
              <w:right w:val="single" w:sz="3" w:color="D9E2EC"/>
            </w:tcBorders>
            <w:vAlign w:val="top"/>
            <w:tcMar>
              <w:top w:w="90" w:type="dxa"/>
              <w:start w:w="100" w:type="dxa"/>
              <w:bottom w:w="90" w:type="dxa"/>
              <w:end w:w="100" w:type="dxa"/>
            </w:tcMar>
          </w:tcPr>
          <w:p>
            <w:pPr>
              <w:spacing w:after="0" w:line="252" w:lineRule="auto"/>
            </w:pPr>
            <w:r/>
            <w:r>
              <w:rPr>
                <w:rFonts w:ascii="Aptos" w:hAnsi="Aptos"/>
                <w:b w:val="0"/>
                <w:color w:val="243B53"/>
                <w:sz w:val="15"/>
              </w:rPr>
              <w:t>Public cacheable curriculum/generation responses when rules and headers permit</w:t>
            </w:r>
          </w:p>
        </w:tc>
        <w:tc>
          <w:tcPr>
            <w:tcW w:type="dxa" w:w="2880"/>
            <w:shd w:fill="FFFFFF"/>
            <w:tcBorders>
              <w:top w:val="single" w:sz="3" w:color="D9E2EC"/>
              <w:left w:val="single" w:sz="3" w:color="D9E2EC"/>
              <w:bottom w:val="single" w:sz="3" w:color="D9E2EC"/>
              <w:right w:val="single" w:sz="3" w:color="D9E2EC"/>
            </w:tcBorders>
            <w:vAlign w:val="top"/>
            <w:tcMar>
              <w:top w:w="90" w:type="dxa"/>
              <w:start w:w="100" w:type="dxa"/>
              <w:bottom w:w="90" w:type="dxa"/>
              <w:end w:w="100" w:type="dxa"/>
            </w:tcMar>
          </w:tcPr>
          <w:p>
            <w:pPr>
              <w:spacing w:after="0" w:line="252" w:lineRule="auto"/>
            </w:pPr>
            <w:r/>
            <w:r>
              <w:rPr>
                <w:rFonts w:ascii="Aptos" w:hAnsi="Aptos"/>
                <w:b w:val="0"/>
                <w:color w:val="243B53"/>
                <w:sz w:val="15"/>
              </w:rPr>
              <w:t>Depends on Cloudflare cache rules, cache-control, and route configuration</w:t>
            </w:r>
          </w:p>
        </w:tc>
      </w:tr>
      <w:tr>
        <w:tc>
          <w:tcPr>
            <w:tcW w:type="dxa" w:w="2088"/>
            <w:shd w:fill="F4F7FA"/>
            <w:tcBorders>
              <w:top w:val="single" w:sz="3" w:color="D9E2EC"/>
              <w:left w:val="single" w:sz="3" w:color="D9E2EC"/>
              <w:bottom w:val="single" w:sz="3" w:color="D9E2EC"/>
              <w:right w:val="single" w:sz="3" w:color="D9E2EC"/>
            </w:tcBorders>
            <w:vAlign w:val="top"/>
            <w:tcMar>
              <w:top w:w="90" w:type="dxa"/>
              <w:start w:w="100" w:type="dxa"/>
              <w:bottom w:w="90" w:type="dxa"/>
              <w:end w:w="100" w:type="dxa"/>
            </w:tcMar>
          </w:tcPr>
          <w:p>
            <w:pPr>
              <w:spacing w:after="0" w:line="252" w:lineRule="auto"/>
            </w:pPr>
            <w:r/>
            <w:r>
              <w:rPr>
                <w:rFonts w:ascii="Aptos" w:hAnsi="Aptos"/>
                <w:b w:val="0"/>
                <w:color w:val="243B53"/>
                <w:sz w:val="15"/>
              </w:rPr>
              <w:t>R2 assets</w:t>
            </w:r>
          </w:p>
        </w:tc>
        <w:tc>
          <w:tcPr>
            <w:tcW w:type="dxa" w:w="4392"/>
            <w:shd w:fill="F4F7FA"/>
            <w:tcBorders>
              <w:top w:val="single" w:sz="3" w:color="D9E2EC"/>
              <w:left w:val="single" w:sz="3" w:color="D9E2EC"/>
              <w:bottom w:val="single" w:sz="3" w:color="D9E2EC"/>
              <w:right w:val="single" w:sz="3" w:color="D9E2EC"/>
            </w:tcBorders>
            <w:vAlign w:val="top"/>
            <w:tcMar>
              <w:top w:w="90" w:type="dxa"/>
              <w:start w:w="100" w:type="dxa"/>
              <w:bottom w:w="90" w:type="dxa"/>
              <w:end w:w="100" w:type="dxa"/>
            </w:tcMar>
          </w:tcPr>
          <w:p>
            <w:pPr>
              <w:spacing w:after="0" w:line="252" w:lineRule="auto"/>
            </w:pPr>
            <w:r/>
            <w:r>
              <w:rPr>
                <w:rFonts w:ascii="Aptos" w:hAnsi="Aptos"/>
                <w:b w:val="0"/>
                <w:color w:val="243B53"/>
                <w:sz w:val="15"/>
              </w:rPr>
              <w:t>Chapter covers and animation HTML assets</w:t>
            </w:r>
          </w:p>
        </w:tc>
        <w:tc>
          <w:tcPr>
            <w:tcW w:type="dxa" w:w="2880"/>
            <w:shd w:fill="F4F7FA"/>
            <w:tcBorders>
              <w:top w:val="single" w:sz="3" w:color="D9E2EC"/>
              <w:left w:val="single" w:sz="3" w:color="D9E2EC"/>
              <w:bottom w:val="single" w:sz="3" w:color="D9E2EC"/>
              <w:right w:val="single" w:sz="3" w:color="D9E2EC"/>
            </w:tcBorders>
            <w:vAlign w:val="top"/>
            <w:tcMar>
              <w:top w:w="90" w:type="dxa"/>
              <w:start w:w="100" w:type="dxa"/>
              <w:bottom w:w="90" w:type="dxa"/>
              <w:end w:w="100" w:type="dxa"/>
            </w:tcMar>
          </w:tcPr>
          <w:p>
            <w:pPr>
              <w:spacing w:after="0" w:line="252" w:lineRule="auto"/>
            </w:pPr>
            <w:r/>
            <w:r>
              <w:rPr>
                <w:rFonts w:ascii="Aptos" w:hAnsi="Aptos"/>
                <w:b w:val="0"/>
                <w:color w:val="243B53"/>
                <w:sz w:val="15"/>
              </w:rPr>
              <w:t>Public deterministic URLs; not learner state</w:t>
            </w:r>
          </w:p>
        </w:tc>
      </w:tr>
    </w:tbl>
    <w:p>
      <w:pPr>
        <w:spacing w:after="0"/>
      </w:pPr>
    </w:p>
    <w:p>
      <w:pPr>
        <w:pStyle w:val="Heading2"/>
      </w:pPr>
      <w:r>
        <w:t>Generation cache key</w:t>
      </w:r>
    </w:p>
    <w:p>
      <w:r>
        <w:t>The deterministic question/MCQ generation key includes endpoint type/version, section ID, requested subsection ID, variant, provider/model/fallback targets, and prompt schema version. It deliberately excludes auth identity and concept ID because concepts do not drive question generation. The v2 endpoint namespace prevents older, broader prompt results from being reused.</w:t>
      </w:r>
    </w:p>
    <w:p>
      <w:pPr>
        <w:spacing w:after="40"/>
      </w:pPr>
      <w:r>
        <w:rPr>
          <w:b/>
          <w:color w:val="627D98"/>
          <w:sz w:val="16"/>
        </w:rPr>
        <w:t>Generation response headers</w:t>
      </w:r>
    </w:p>
    <w:tbl>
      <w:tblPr>
        <w:tblW w:type="auto" w:w="0"/>
        <w:jc w:val="left"/>
        <w:tblLayout w:type="fixed"/>
        <w:tblLook w:firstColumn="1" w:firstRow="1" w:lastColumn="0" w:lastRow="0" w:noHBand="0" w:noVBand="1" w:val="04A0"/>
      </w:tblPr>
      <w:tblGrid>
        <w:gridCol w:w="9994"/>
      </w:tblGrid>
      <w:tr>
        <w:trPr>
          <w:tblHeader w:val="true"/>
        </w:trPr>
        <w:tc>
          <w:tcPr>
            <w:tcW w:type="dxa" w:w="9994"/>
            <w:shd w:fill="F0F4F8"/>
            <w:tcBorders>
              <w:top w:val="single" w:sz="4" w:color="D9E2EC"/>
              <w:left w:val="single" w:sz="4" w:color="D9E2EC"/>
              <w:bottom w:val="single" w:sz="4" w:color="D9E2EC"/>
              <w:right w:val="single" w:sz="4" w:color="D9E2EC"/>
            </w:tcBorders>
            <w:tcMar>
              <w:top w:w="110" w:type="dxa"/>
              <w:start w:w="130" w:type="dxa"/>
              <w:bottom w:w="110" w:type="dxa"/>
              <w:end w:w="130" w:type="dxa"/>
            </w:tcMar>
          </w:tcPr>
          <w:p>
            <w:pPr>
              <w:spacing w:after="0" w:line="240" w:lineRule="auto"/>
            </w:pPr>
            <w:r/>
            <w:r>
              <w:rPr>
                <w:rFonts w:ascii="Consolas" w:hAnsi="Consolas"/>
                <w:color w:val="243B53"/>
                <w:sz w:val="15"/>
              </w:rPr>
              <w:t>Cache-Control: public, max-age=300, s-maxage=604800, stale-while-revalidate=86400</w:t>
            </w:r>
          </w:p>
          <w:p>
            <w:pPr>
              <w:spacing w:after="0" w:line="240" w:lineRule="auto"/>
            </w:pPr>
            <w:r>
              <w:rPr>
                <w:rFonts w:ascii="Consolas" w:hAnsi="Consolas"/>
                <w:color w:val="243B53"/>
                <w:sz w:val="15"/>
              </w:rPr>
              <w:t>CDN-Cache-Control: public, max-age=604800, stale-while-revalidate=86400</w:t>
            </w:r>
          </w:p>
          <w:p>
            <w:pPr>
              <w:spacing w:after="0" w:line="240" w:lineRule="auto"/>
            </w:pPr>
            <w:r>
              <w:rPr>
                <w:rFonts w:ascii="Consolas" w:hAnsi="Consolas"/>
                <w:color w:val="243B53"/>
                <w:sz w:val="15"/>
              </w:rPr>
              <w:t>X-Gen-Cache: HIT | MISS</w:t>
            </w:r>
          </w:p>
          <w:p>
            <w:pPr>
              <w:spacing w:after="0" w:line="240" w:lineRule="auto"/>
            </w:pPr>
            <w:r>
              <w:rPr>
                <w:rFonts w:ascii="Consolas" w:hAnsi="Consolas"/>
                <w:color w:val="243B53"/>
                <w:sz w:val="15"/>
              </w:rPr>
              <w:t>X-Gen-Cache-Key: &lt;short hash&gt;</w:t>
            </w:r>
          </w:p>
        </w:tc>
      </w:tr>
    </w:tbl>
    <w:tbl>
      <w:tblPr>
        <w:tblW w:type="auto" w:w="0"/>
        <w:jc w:val="left"/>
        <w:tblLayout w:type="fixed"/>
        <w:tblLook w:firstColumn="1" w:firstRow="1" w:lastColumn="0" w:lastRow="0" w:noHBand="0" w:noVBand="1" w:val="04A0"/>
      </w:tblPr>
      <w:tblGrid>
        <w:gridCol w:w="9994"/>
      </w:tblGrid>
      <w:tr>
        <w:trPr>
          <w:tblHeader w:val="true"/>
        </w:trPr>
        <w:tc>
          <w:tcPr>
            <w:tcW w:type="dxa" w:w="9994"/>
            <w:shd w:fill="FFF0F0"/>
            <w:tcBorders>
              <w:top w:val="single" w:sz="7" w:color="E07A7A"/>
              <w:left w:val="single" w:sz="7" w:color="E07A7A"/>
              <w:bottom w:val="single" w:sz="7" w:color="E07A7A"/>
              <w:right w:val="single" w:sz="7" w:color="E07A7A"/>
            </w:tcBorders>
            <w:tcMar>
              <w:top w:w="120" w:type="dxa"/>
              <w:start w:w="140" w:type="dxa"/>
              <w:bottom w:w="120" w:type="dxa"/>
              <w:end w:w="140" w:type="dxa"/>
            </w:tcMar>
          </w:tcPr>
          <w:p>
            <w:pPr>
              <w:spacing w:after="40"/>
            </w:pPr>
            <w:r>
              <w:rPr>
                <w:b/>
                <w:color w:val="243B53"/>
                <w:sz w:val="17"/>
              </w:rPr>
              <w:t>Never cache these responses publicly</w:t>
            </w:r>
          </w:p>
          <w:p>
            <w:pPr>
              <w:spacing w:after="0"/>
            </w:pPr>
            <w:r>
              <w:rPr>
                <w:sz w:val="16"/>
              </w:rPr>
              <w:t>Student insight lists, insight explain/test/evaluate responses, section/global tutor chat, assessment evaluation, exercise evaluation, profile/institute responses, teacher analytics, and admin operations are personalized or sensitive. They should use private/no-store or authenticated response behavior.</w:t>
            </w:r>
          </w:p>
        </w:tc>
      </w:tr>
    </w:tbl>
    <w:p>
      <w:pPr>
        <w:pStyle w:val="Heading1"/>
      </w:pPr>
      <w:r>
        <w:t>10. AI Tutor And LangGraph State</w:t>
      </w:r>
    </w:p>
    <w:p>
      <w:r>
        <w:t>The tutor router exposes two related experiences. The section tutor receives textbook context for the current section/subsection. The global tutor is textbook-agnostic and uses semantic retrieval to bring in active student insights only when the query is close enough. Both persist conversation history in Neo4j.</w:t>
      </w:r>
    </w:p>
    <w:p>
      <w:pPr>
        <w:spacing w:after="40"/>
      </w:pPr>
      <w:r>
        <w:rPr>
          <w:b/>
          <w:color w:val="627D98"/>
          <w:sz w:val="16"/>
        </w:rPr>
        <w:t>Tutor flow</w:t>
      </w:r>
    </w:p>
    <w:tbl>
      <w:tblPr>
        <w:tblW w:type="auto" w:w="0"/>
        <w:jc w:val="left"/>
        <w:tblLayout w:type="fixed"/>
        <w:tblLook w:firstColumn="1" w:firstRow="1" w:lastColumn="0" w:lastRow="0" w:noHBand="0" w:noVBand="1" w:val="04A0"/>
      </w:tblPr>
      <w:tblGrid>
        <w:gridCol w:w="9994"/>
      </w:tblGrid>
      <w:tr>
        <w:trPr>
          <w:tblHeader w:val="true"/>
        </w:trPr>
        <w:tc>
          <w:tcPr>
            <w:tcW w:type="dxa" w:w="9994"/>
            <w:shd w:fill="F0F4F8"/>
            <w:tcBorders>
              <w:top w:val="single" w:sz="4" w:color="D9E2EC"/>
              <w:left w:val="single" w:sz="4" w:color="D9E2EC"/>
              <w:bottom w:val="single" w:sz="4" w:color="D9E2EC"/>
              <w:right w:val="single" w:sz="4" w:color="D9E2EC"/>
            </w:tcBorders>
            <w:tcMar>
              <w:top w:w="110" w:type="dxa"/>
              <w:start w:w="130" w:type="dxa"/>
              <w:bottom w:w="110" w:type="dxa"/>
              <w:end w:w="130" w:type="dxa"/>
            </w:tcMar>
          </w:tcPr>
          <w:p>
            <w:pPr>
              <w:spacing w:after="0" w:line="240" w:lineRule="auto"/>
            </w:pPr>
            <w:r/>
            <w:r>
              <w:rPr>
                <w:rFonts w:ascii="Consolas" w:hAnsi="Consolas"/>
                <w:color w:val="243B53"/>
                <w:sz w:val="15"/>
              </w:rPr>
              <w:t>User query</w:t>
            </w:r>
          </w:p>
          <w:p>
            <w:pPr>
              <w:spacing w:after="0" w:line="240" w:lineRule="auto"/>
            </w:pPr>
            <w:r>
              <w:rPr>
                <w:rFonts w:ascii="Consolas" w:hAnsi="Consolas"/>
                <w:color w:val="243B53"/>
                <w:sz w:val="15"/>
              </w:rPr>
              <w:t xml:space="preserve">  -&gt; create/load conversation session</w:t>
            </w:r>
          </w:p>
          <w:p>
            <w:pPr>
              <w:spacing w:after="0" w:line="240" w:lineRule="auto"/>
            </w:pPr>
            <w:r>
              <w:rPr>
                <w:rFonts w:ascii="Consolas" w:hAnsi="Consolas"/>
                <w:color w:val="243B53"/>
                <w:sz w:val="15"/>
              </w:rPr>
              <w:t xml:space="preserve">  -&gt; embed query</w:t>
            </w:r>
          </w:p>
          <w:p>
            <w:pPr>
              <w:spacing w:after="0" w:line="240" w:lineRule="auto"/>
            </w:pPr>
            <w:r>
              <w:rPr>
                <w:rFonts w:ascii="Consolas" w:hAnsi="Consolas"/>
                <w:color w:val="243B53"/>
                <w:sz w:val="15"/>
              </w:rPr>
              <w:t xml:space="preserve">  -&gt; retrieve top active student insights</w:t>
            </w:r>
          </w:p>
          <w:p>
            <w:pPr>
              <w:spacing w:after="0" w:line="240" w:lineRule="auto"/>
            </w:pPr>
            <w:r>
              <w:rPr>
                <w:rFonts w:ascii="Consolas" w:hAnsi="Consolas"/>
                <w:color w:val="243B53"/>
                <w:sz w:val="15"/>
              </w:rPr>
              <w:t xml:space="preserve">  -&gt; assemble section or global context</w:t>
            </w:r>
          </w:p>
          <w:p>
            <w:pPr>
              <w:spacing w:after="0" w:line="240" w:lineRule="auto"/>
            </w:pPr>
            <w:r>
              <w:rPr>
                <w:rFonts w:ascii="Consolas" w:hAnsi="Consolas"/>
                <w:color w:val="243B53"/>
                <w:sz w:val="15"/>
              </w:rPr>
              <w:t xml:space="preserve">  -&gt; LangGraph state node invokes LLM</w:t>
            </w:r>
          </w:p>
          <w:p>
            <w:pPr>
              <w:spacing w:after="0" w:line="240" w:lineRule="auto"/>
            </w:pPr>
            <w:r>
              <w:rPr>
                <w:rFonts w:ascii="Consolas" w:hAnsi="Consolas"/>
                <w:color w:val="243B53"/>
                <w:sz w:val="15"/>
              </w:rPr>
              <w:t xml:space="preserve">  -&gt; persist user message + assistant message</w:t>
            </w:r>
          </w:p>
          <w:p>
            <w:pPr>
              <w:spacing w:after="0" w:line="240" w:lineRule="auto"/>
            </w:pPr>
            <w:r>
              <w:rPr>
                <w:rFonts w:ascii="Consolas" w:hAnsi="Consolas"/>
                <w:color w:val="243B53"/>
                <w:sz w:val="15"/>
              </w:rPr>
              <w:t xml:space="preserve">  -&gt; return response and matched insight/concept metadata</w:t>
            </w:r>
          </w:p>
        </w:tc>
      </w:tr>
    </w:tbl>
    <w:p>
      <w:pPr>
        <w:pStyle w:val="ListBullet"/>
      </w:pPr>
      <w:r>
        <w:t>LangGraph is used for stateful tutor interaction, not for curriculum extraction or teacher clustering.</w:t>
      </w:r>
    </w:p>
    <w:p>
      <w:pPr>
        <w:pStyle w:val="ListBullet"/>
      </w:pPr>
      <w:r>
        <w:t>Conversation state is keyed to the authenticated student and session; latest-session and session-list endpoints read persisted history.</w:t>
      </w:r>
    </w:p>
    <w:p>
      <w:pPr>
        <w:pStyle w:val="ListBullet"/>
      </w:pPr>
      <w:r>
        <w:t>Matched insights are active-only retrieval context. Superseded evidence remains history but is not injected as current learner state unless a specific historical route asks for it.</w:t>
      </w:r>
    </w:p>
    <w:p>
      <w:pPr>
        <w:pStyle w:val="ListBullet"/>
      </w:pPr>
      <w:r>
        <w:t>The frontend renders Markdown-style content; model output is not instructed to avoid Markdown. Tables and math need a renderer that understands the returned syntax.</w:t>
      </w:r>
    </w:p>
    <w:p>
      <w:pPr>
        <w:pStyle w:val="ListBullet"/>
      </w:pPr>
      <w:r>
        <w:t>Tutor response generation is not in the shared generation cache because it is user-specific and conversational.</w:t>
      </w:r>
    </w:p>
    <w:p>
      <w:pPr>
        <w:pStyle w:val="Heading1"/>
      </w:pPr>
      <w:r>
        <w:t>11. Teacher Analytics And Semantic Clustering</w:t>
      </w:r>
    </w:p>
    <w:p>
      <w:r>
        <w:t>Teacher endpoints are institute-scoped. The dashboard computes risk from active insights and reads persisted cluster snapshots. The clustering pipeline is manual/cron-driven through backend/scripts/build_teacher_clusters.py and can also be triggered through an admin endpoint.</w:t>
      </w:r>
    </w:p>
    <w:p>
      <w:pPr>
        <w:pStyle w:val="Heading2"/>
      </w:pPr>
      <w:r>
        <w:t>Risk scoring</w:t>
      </w:r>
    </w:p>
    <w:tbl>
      <w:tblPr>
        <w:tblW w:type="auto" w:w="0"/>
        <w:jc w:val="left"/>
        <w:tblLayout w:type="fixed"/>
        <w:tblLook w:firstColumn="1" w:firstRow="1" w:lastColumn="0" w:lastRow="0" w:noHBand="0" w:noVBand="1" w:val="04A0"/>
      </w:tblPr>
      <w:tblGrid>
        <w:gridCol w:w="3331"/>
        <w:gridCol w:w="3331"/>
        <w:gridCol w:w="3331"/>
      </w:tblGrid>
      <w:tr>
        <w:trPr>
          <w:tblHeader w:val="true"/>
        </w:trPr>
        <w:tc>
          <w:tcPr>
            <w:tcW w:type="dxa" w:w="2951"/>
            <w:shd w:fill="102A43"/>
            <w:tcBorders>
              <w:top w:val="single" w:sz="4" w:color="102A43"/>
              <w:left w:val="single" w:sz="4" w:color="102A43"/>
              <w:bottom w:val="single" w:sz="4" w:color="102A43"/>
              <w:right w:val="single" w:sz="4" w:color="102A43"/>
            </w:tcBorders>
            <w:vAlign w:val="top"/>
            <w:tcMar>
              <w:top w:w="90" w:type="dxa"/>
              <w:start w:w="100" w:type="dxa"/>
              <w:bottom w:w="90" w:type="dxa"/>
              <w:end w:w="100" w:type="dxa"/>
            </w:tcMar>
          </w:tcPr>
          <w:p>
            <w:pPr>
              <w:spacing w:after="0" w:line="252" w:lineRule="auto"/>
            </w:pPr>
            <w:r/>
            <w:r>
              <w:rPr>
                <w:rFonts w:ascii="Aptos" w:hAnsi="Aptos"/>
                <w:b/>
                <w:color w:val="FFFFFF"/>
                <w:sz w:val="14"/>
              </w:rPr>
              <w:t>SIGNAL</w:t>
            </w:r>
          </w:p>
        </w:tc>
        <w:tc>
          <w:tcPr>
            <w:tcW w:type="dxa" w:w="1872"/>
            <w:shd w:fill="102A43"/>
            <w:tcBorders>
              <w:top w:val="single" w:sz="4" w:color="102A43"/>
              <w:left w:val="single" w:sz="4" w:color="102A43"/>
              <w:bottom w:val="single" w:sz="4" w:color="102A43"/>
              <w:right w:val="single" w:sz="4" w:color="102A43"/>
            </w:tcBorders>
            <w:vAlign w:val="top"/>
            <w:tcMar>
              <w:top w:w="90" w:type="dxa"/>
              <w:start w:w="100" w:type="dxa"/>
              <w:bottom w:w="90" w:type="dxa"/>
              <w:end w:w="100" w:type="dxa"/>
            </w:tcMar>
          </w:tcPr>
          <w:p>
            <w:pPr>
              <w:spacing w:after="0" w:line="252" w:lineRule="auto"/>
            </w:pPr>
            <w:r/>
            <w:r>
              <w:rPr>
                <w:rFonts w:ascii="Aptos" w:hAnsi="Aptos"/>
                <w:b/>
                <w:color w:val="FFFFFF"/>
                <w:sz w:val="14"/>
              </w:rPr>
              <w:t>WEIGHT</w:t>
            </w:r>
          </w:p>
        </w:tc>
        <w:tc>
          <w:tcPr>
            <w:tcW w:type="dxa" w:w="4536"/>
            <w:shd w:fill="102A43"/>
            <w:tcBorders>
              <w:top w:val="single" w:sz="4" w:color="102A43"/>
              <w:left w:val="single" w:sz="4" w:color="102A43"/>
              <w:bottom w:val="single" w:sz="4" w:color="102A43"/>
              <w:right w:val="single" w:sz="4" w:color="102A43"/>
            </w:tcBorders>
            <w:vAlign w:val="top"/>
            <w:tcMar>
              <w:top w:w="90" w:type="dxa"/>
              <w:start w:w="100" w:type="dxa"/>
              <w:bottom w:w="90" w:type="dxa"/>
              <w:end w:w="100" w:type="dxa"/>
            </w:tcMar>
          </w:tcPr>
          <w:p>
            <w:pPr>
              <w:spacing w:after="0" w:line="252" w:lineRule="auto"/>
            </w:pPr>
            <w:r/>
            <w:r>
              <w:rPr>
                <w:rFonts w:ascii="Aptos" w:hAnsi="Aptos"/>
                <w:b/>
                <w:color w:val="FFFFFF"/>
                <w:sz w:val="14"/>
              </w:rPr>
              <w:t>NOTES</w:t>
            </w:r>
          </w:p>
        </w:tc>
      </w:tr>
      <w:tr>
        <w:tc>
          <w:tcPr>
            <w:tcW w:type="dxa" w:w="2951"/>
            <w:shd w:fill="FFFFFF"/>
            <w:tcBorders>
              <w:top w:val="single" w:sz="3" w:color="D9E2EC"/>
              <w:left w:val="single" w:sz="3" w:color="D9E2EC"/>
              <w:bottom w:val="single" w:sz="3" w:color="D9E2EC"/>
              <w:right w:val="single" w:sz="3" w:color="D9E2EC"/>
            </w:tcBorders>
            <w:vAlign w:val="top"/>
            <w:tcMar>
              <w:top w:w="90" w:type="dxa"/>
              <w:start w:w="100" w:type="dxa"/>
              <w:bottom w:w="90" w:type="dxa"/>
              <w:end w:w="100" w:type="dxa"/>
            </w:tcMar>
          </w:tcPr>
          <w:p>
            <w:pPr>
              <w:spacing w:after="0" w:line="252" w:lineRule="auto"/>
            </w:pPr>
            <w:r/>
            <w:r>
              <w:rPr>
                <w:rFonts w:ascii="Aptos" w:hAnsi="Aptos"/>
                <w:b w:val="0"/>
                <w:color w:val="243B53"/>
                <w:sz w:val="15"/>
              </w:rPr>
              <w:t>MISCONCEPTION</w:t>
            </w:r>
          </w:p>
        </w:tc>
        <w:tc>
          <w:tcPr>
            <w:tcW w:type="dxa" w:w="1872"/>
            <w:shd w:fill="FFFFFF"/>
            <w:tcBorders>
              <w:top w:val="single" w:sz="3" w:color="D9E2EC"/>
              <w:left w:val="single" w:sz="3" w:color="D9E2EC"/>
              <w:bottom w:val="single" w:sz="3" w:color="D9E2EC"/>
              <w:right w:val="single" w:sz="3" w:color="D9E2EC"/>
            </w:tcBorders>
            <w:vAlign w:val="top"/>
            <w:tcMar>
              <w:top w:w="90" w:type="dxa"/>
              <w:start w:w="100" w:type="dxa"/>
              <w:bottom w:w="90" w:type="dxa"/>
              <w:end w:w="100" w:type="dxa"/>
            </w:tcMar>
          </w:tcPr>
          <w:p>
            <w:pPr>
              <w:spacing w:after="0" w:line="252" w:lineRule="auto"/>
            </w:pPr>
            <w:r/>
            <w:r>
              <w:rPr>
                <w:rFonts w:ascii="Aptos" w:hAnsi="Aptos"/>
                <w:b w:val="0"/>
                <w:color w:val="243B53"/>
                <w:sz w:val="15"/>
              </w:rPr>
              <w:t>+5</w:t>
            </w:r>
          </w:p>
        </w:tc>
        <w:tc>
          <w:tcPr>
            <w:tcW w:type="dxa" w:w="4536"/>
            <w:shd w:fill="FFFFFF"/>
            <w:tcBorders>
              <w:top w:val="single" w:sz="3" w:color="D9E2EC"/>
              <w:left w:val="single" w:sz="3" w:color="D9E2EC"/>
              <w:bottom w:val="single" w:sz="3" w:color="D9E2EC"/>
              <w:right w:val="single" w:sz="3" w:color="D9E2EC"/>
            </w:tcBorders>
            <w:vAlign w:val="top"/>
            <w:tcMar>
              <w:top w:w="90" w:type="dxa"/>
              <w:start w:w="100" w:type="dxa"/>
              <w:bottom w:w="90" w:type="dxa"/>
              <w:end w:w="100" w:type="dxa"/>
            </w:tcMar>
          </w:tcPr>
          <w:p>
            <w:pPr>
              <w:spacing w:after="0" w:line="252" w:lineRule="auto"/>
            </w:pPr>
            <w:r/>
            <w:r>
              <w:rPr>
                <w:rFonts w:ascii="Aptos" w:hAnsi="Aptos"/>
                <w:b w:val="0"/>
                <w:color w:val="243B53"/>
                <w:sz w:val="15"/>
              </w:rPr>
              <w:t>Active misconception evidence</w:t>
            </w:r>
          </w:p>
        </w:tc>
      </w:tr>
      <w:tr>
        <w:tc>
          <w:tcPr>
            <w:tcW w:type="dxa" w:w="2951"/>
            <w:shd w:fill="F4F7FA"/>
            <w:tcBorders>
              <w:top w:val="single" w:sz="3" w:color="D9E2EC"/>
              <w:left w:val="single" w:sz="3" w:color="D9E2EC"/>
              <w:bottom w:val="single" w:sz="3" w:color="D9E2EC"/>
              <w:right w:val="single" w:sz="3" w:color="D9E2EC"/>
            </w:tcBorders>
            <w:vAlign w:val="top"/>
            <w:tcMar>
              <w:top w:w="90" w:type="dxa"/>
              <w:start w:w="100" w:type="dxa"/>
              <w:bottom w:w="90" w:type="dxa"/>
              <w:end w:w="100" w:type="dxa"/>
            </w:tcMar>
          </w:tcPr>
          <w:p>
            <w:pPr>
              <w:spacing w:after="0" w:line="252" w:lineRule="auto"/>
            </w:pPr>
            <w:r/>
            <w:r>
              <w:rPr>
                <w:rFonts w:ascii="Aptos" w:hAnsi="Aptos"/>
                <w:b w:val="0"/>
                <w:color w:val="243B53"/>
                <w:sz w:val="15"/>
              </w:rPr>
              <w:t>PARTIAL_UNDERSTANDING</w:t>
            </w:r>
          </w:p>
        </w:tc>
        <w:tc>
          <w:tcPr>
            <w:tcW w:type="dxa" w:w="1872"/>
            <w:shd w:fill="F4F7FA"/>
            <w:tcBorders>
              <w:top w:val="single" w:sz="3" w:color="D9E2EC"/>
              <w:left w:val="single" w:sz="3" w:color="D9E2EC"/>
              <w:bottom w:val="single" w:sz="3" w:color="D9E2EC"/>
              <w:right w:val="single" w:sz="3" w:color="D9E2EC"/>
            </w:tcBorders>
            <w:vAlign w:val="top"/>
            <w:tcMar>
              <w:top w:w="90" w:type="dxa"/>
              <w:start w:w="100" w:type="dxa"/>
              <w:bottom w:w="90" w:type="dxa"/>
              <w:end w:w="100" w:type="dxa"/>
            </w:tcMar>
          </w:tcPr>
          <w:p>
            <w:pPr>
              <w:spacing w:after="0" w:line="252" w:lineRule="auto"/>
            </w:pPr>
            <w:r/>
            <w:r>
              <w:rPr>
                <w:rFonts w:ascii="Aptos" w:hAnsi="Aptos"/>
                <w:b w:val="0"/>
                <w:color w:val="243B53"/>
                <w:sz w:val="15"/>
              </w:rPr>
              <w:t>+2</w:t>
            </w:r>
          </w:p>
        </w:tc>
        <w:tc>
          <w:tcPr>
            <w:tcW w:type="dxa" w:w="4536"/>
            <w:shd w:fill="F4F7FA"/>
            <w:tcBorders>
              <w:top w:val="single" w:sz="3" w:color="D9E2EC"/>
              <w:left w:val="single" w:sz="3" w:color="D9E2EC"/>
              <w:bottom w:val="single" w:sz="3" w:color="D9E2EC"/>
              <w:right w:val="single" w:sz="3" w:color="D9E2EC"/>
            </w:tcBorders>
            <w:vAlign w:val="top"/>
            <w:tcMar>
              <w:top w:w="90" w:type="dxa"/>
              <w:start w:w="100" w:type="dxa"/>
              <w:bottom w:w="90" w:type="dxa"/>
              <w:end w:w="100" w:type="dxa"/>
            </w:tcMar>
          </w:tcPr>
          <w:p>
            <w:pPr>
              <w:spacing w:after="0" w:line="252" w:lineRule="auto"/>
            </w:pPr>
            <w:r/>
            <w:r>
              <w:rPr>
                <w:rFonts w:ascii="Aptos" w:hAnsi="Aptos"/>
                <w:b w:val="0"/>
                <w:color w:val="243B53"/>
                <w:sz w:val="15"/>
              </w:rPr>
              <w:t>Active partial evidence</w:t>
            </w:r>
          </w:p>
        </w:tc>
      </w:tr>
      <w:tr>
        <w:tc>
          <w:tcPr>
            <w:tcW w:type="dxa" w:w="2951"/>
            <w:shd w:fill="FFFFFF"/>
            <w:tcBorders>
              <w:top w:val="single" w:sz="3" w:color="D9E2EC"/>
              <w:left w:val="single" w:sz="3" w:color="D9E2EC"/>
              <w:bottom w:val="single" w:sz="3" w:color="D9E2EC"/>
              <w:right w:val="single" w:sz="3" w:color="D9E2EC"/>
            </w:tcBorders>
            <w:vAlign w:val="top"/>
            <w:tcMar>
              <w:top w:w="90" w:type="dxa"/>
              <w:start w:w="100" w:type="dxa"/>
              <w:bottom w:w="90" w:type="dxa"/>
              <w:end w:w="100" w:type="dxa"/>
            </w:tcMar>
          </w:tcPr>
          <w:p>
            <w:pPr>
              <w:spacing w:after="0" w:line="252" w:lineRule="auto"/>
            </w:pPr>
            <w:r/>
            <w:r>
              <w:rPr>
                <w:rFonts w:ascii="Aptos" w:hAnsi="Aptos"/>
                <w:b w:val="0"/>
                <w:color w:val="243B53"/>
                <w:sz w:val="15"/>
              </w:rPr>
              <w:t>COMPETENCY</w:t>
            </w:r>
          </w:p>
        </w:tc>
        <w:tc>
          <w:tcPr>
            <w:tcW w:type="dxa" w:w="1872"/>
            <w:shd w:fill="FFFFFF"/>
            <w:tcBorders>
              <w:top w:val="single" w:sz="3" w:color="D9E2EC"/>
              <w:left w:val="single" w:sz="3" w:color="D9E2EC"/>
              <w:bottom w:val="single" w:sz="3" w:color="D9E2EC"/>
              <w:right w:val="single" w:sz="3" w:color="D9E2EC"/>
            </w:tcBorders>
            <w:vAlign w:val="top"/>
            <w:tcMar>
              <w:top w:w="90" w:type="dxa"/>
              <w:start w:w="100" w:type="dxa"/>
              <w:bottom w:w="90" w:type="dxa"/>
              <w:end w:w="100" w:type="dxa"/>
            </w:tcMar>
          </w:tcPr>
          <w:p>
            <w:pPr>
              <w:spacing w:after="0" w:line="252" w:lineRule="auto"/>
            </w:pPr>
            <w:r/>
            <w:r>
              <w:rPr>
                <w:rFonts w:ascii="Aptos" w:hAnsi="Aptos"/>
                <w:b w:val="0"/>
                <w:color w:val="243B53"/>
                <w:sz w:val="15"/>
              </w:rPr>
              <w:t>-2</w:t>
            </w:r>
          </w:p>
        </w:tc>
        <w:tc>
          <w:tcPr>
            <w:tcW w:type="dxa" w:w="4536"/>
            <w:shd w:fill="FFFFFF"/>
            <w:tcBorders>
              <w:top w:val="single" w:sz="3" w:color="D9E2EC"/>
              <w:left w:val="single" w:sz="3" w:color="D9E2EC"/>
              <w:bottom w:val="single" w:sz="3" w:color="D9E2EC"/>
              <w:right w:val="single" w:sz="3" w:color="D9E2EC"/>
            </w:tcBorders>
            <w:vAlign w:val="top"/>
            <w:tcMar>
              <w:top w:w="90" w:type="dxa"/>
              <w:start w:w="100" w:type="dxa"/>
              <w:bottom w:w="90" w:type="dxa"/>
              <w:end w:w="100" w:type="dxa"/>
            </w:tcMar>
          </w:tcPr>
          <w:p>
            <w:pPr>
              <w:spacing w:after="0" w:line="252" w:lineRule="auto"/>
            </w:pPr>
            <w:r/>
            <w:r>
              <w:rPr>
                <w:rFonts w:ascii="Aptos" w:hAnsi="Aptos"/>
                <w:b w:val="0"/>
                <w:color w:val="243B53"/>
                <w:sz w:val="15"/>
              </w:rPr>
              <w:t>Offsets risk</w:t>
            </w:r>
          </w:p>
        </w:tc>
      </w:tr>
      <w:tr>
        <w:tc>
          <w:tcPr>
            <w:tcW w:type="dxa" w:w="2951"/>
            <w:shd w:fill="F4F7FA"/>
            <w:tcBorders>
              <w:top w:val="single" w:sz="3" w:color="D9E2EC"/>
              <w:left w:val="single" w:sz="3" w:color="D9E2EC"/>
              <w:bottom w:val="single" w:sz="3" w:color="D9E2EC"/>
              <w:right w:val="single" w:sz="3" w:color="D9E2EC"/>
            </w:tcBorders>
            <w:vAlign w:val="top"/>
            <w:tcMar>
              <w:top w:w="90" w:type="dxa"/>
              <w:start w:w="100" w:type="dxa"/>
              <w:bottom w:w="90" w:type="dxa"/>
              <w:end w:w="100" w:type="dxa"/>
            </w:tcMar>
          </w:tcPr>
          <w:p>
            <w:pPr>
              <w:spacing w:after="0" w:line="252" w:lineRule="auto"/>
            </w:pPr>
            <w:r/>
            <w:r>
              <w:rPr>
                <w:rFonts w:ascii="Aptos" w:hAnsi="Aptos"/>
                <w:b w:val="0"/>
                <w:color w:val="243B53"/>
                <w:sz w:val="15"/>
              </w:rPr>
              <w:t>Recency</w:t>
            </w:r>
          </w:p>
        </w:tc>
        <w:tc>
          <w:tcPr>
            <w:tcW w:type="dxa" w:w="1872"/>
            <w:shd w:fill="F4F7FA"/>
            <w:tcBorders>
              <w:top w:val="single" w:sz="3" w:color="D9E2EC"/>
              <w:left w:val="single" w:sz="3" w:color="D9E2EC"/>
              <w:bottom w:val="single" w:sz="3" w:color="D9E2EC"/>
              <w:right w:val="single" w:sz="3" w:color="D9E2EC"/>
            </w:tcBorders>
            <w:vAlign w:val="top"/>
            <w:tcMar>
              <w:top w:w="90" w:type="dxa"/>
              <w:start w:w="100" w:type="dxa"/>
              <w:bottom w:w="90" w:type="dxa"/>
              <w:end w:w="100" w:type="dxa"/>
            </w:tcMar>
          </w:tcPr>
          <w:p>
            <w:pPr>
              <w:spacing w:after="0" w:line="252" w:lineRule="auto"/>
            </w:pPr>
            <w:r/>
            <w:r>
              <w:rPr>
                <w:rFonts w:ascii="Aptos" w:hAnsi="Aptos"/>
                <w:b w:val="0"/>
                <w:color w:val="243B53"/>
                <w:sz w:val="15"/>
              </w:rPr>
              <w:t>1.25 / 1.0 / 0.75</w:t>
            </w:r>
          </w:p>
        </w:tc>
        <w:tc>
          <w:tcPr>
            <w:tcW w:type="dxa" w:w="4536"/>
            <w:shd w:fill="F4F7FA"/>
            <w:tcBorders>
              <w:top w:val="single" w:sz="3" w:color="D9E2EC"/>
              <w:left w:val="single" w:sz="3" w:color="D9E2EC"/>
              <w:bottom w:val="single" w:sz="3" w:color="D9E2EC"/>
              <w:right w:val="single" w:sz="3" w:color="D9E2EC"/>
            </w:tcBorders>
            <w:vAlign w:val="top"/>
            <w:tcMar>
              <w:top w:w="90" w:type="dxa"/>
              <w:start w:w="100" w:type="dxa"/>
              <w:bottom w:w="90" w:type="dxa"/>
              <w:end w:w="100" w:type="dxa"/>
            </w:tcMar>
          </w:tcPr>
          <w:p>
            <w:pPr>
              <w:spacing w:after="0" w:line="252" w:lineRule="auto"/>
            </w:pPr>
            <w:r/>
            <w:r>
              <w:rPr>
                <w:rFonts w:ascii="Aptos" w:hAnsi="Aptos"/>
                <w:b w:val="0"/>
                <w:color w:val="243B53"/>
                <w:sz w:val="15"/>
              </w:rPr>
              <w:t>&lt;=7 days / 8-30 days / &gt;30 days</w:t>
            </w:r>
          </w:p>
        </w:tc>
      </w:tr>
      <w:tr>
        <w:tc>
          <w:tcPr>
            <w:tcW w:type="dxa" w:w="2951"/>
            <w:shd w:fill="FFFFFF"/>
            <w:tcBorders>
              <w:top w:val="single" w:sz="3" w:color="D9E2EC"/>
              <w:left w:val="single" w:sz="3" w:color="D9E2EC"/>
              <w:bottom w:val="single" w:sz="3" w:color="D9E2EC"/>
              <w:right w:val="single" w:sz="3" w:color="D9E2EC"/>
            </w:tcBorders>
            <w:vAlign w:val="top"/>
            <w:tcMar>
              <w:top w:w="90" w:type="dxa"/>
              <w:start w:w="100" w:type="dxa"/>
              <w:bottom w:w="90" w:type="dxa"/>
              <w:end w:w="100" w:type="dxa"/>
            </w:tcMar>
          </w:tcPr>
          <w:p>
            <w:pPr>
              <w:spacing w:after="0" w:line="252" w:lineRule="auto"/>
            </w:pPr>
            <w:r/>
            <w:r>
              <w:rPr>
                <w:rFonts w:ascii="Aptos" w:hAnsi="Aptos"/>
                <w:b w:val="0"/>
                <w:color w:val="243B53"/>
                <w:sz w:val="15"/>
              </w:rPr>
              <w:t>Persistence</w:t>
            </w:r>
          </w:p>
        </w:tc>
        <w:tc>
          <w:tcPr>
            <w:tcW w:type="dxa" w:w="1872"/>
            <w:shd w:fill="FFFFFF"/>
            <w:tcBorders>
              <w:top w:val="single" w:sz="3" w:color="D9E2EC"/>
              <w:left w:val="single" w:sz="3" w:color="D9E2EC"/>
              <w:bottom w:val="single" w:sz="3" w:color="D9E2EC"/>
              <w:right w:val="single" w:sz="3" w:color="D9E2EC"/>
            </w:tcBorders>
            <w:vAlign w:val="top"/>
            <w:tcMar>
              <w:top w:w="90" w:type="dxa"/>
              <w:start w:w="100" w:type="dxa"/>
              <w:bottom w:w="90" w:type="dxa"/>
              <w:end w:w="100" w:type="dxa"/>
            </w:tcMar>
          </w:tcPr>
          <w:p>
            <w:pPr>
              <w:spacing w:after="0" w:line="252" w:lineRule="auto"/>
            </w:pPr>
            <w:r/>
            <w:r>
              <w:rPr>
                <w:rFonts w:ascii="Aptos" w:hAnsi="Aptos"/>
                <w:b w:val="0"/>
                <w:color w:val="243B53"/>
                <w:sz w:val="15"/>
              </w:rPr>
              <w:t>+2</w:t>
            </w:r>
          </w:p>
        </w:tc>
        <w:tc>
          <w:tcPr>
            <w:tcW w:type="dxa" w:w="4536"/>
            <w:shd w:fill="FFFFFF"/>
            <w:tcBorders>
              <w:top w:val="single" w:sz="3" w:color="D9E2EC"/>
              <w:left w:val="single" w:sz="3" w:color="D9E2EC"/>
              <w:bottom w:val="single" w:sz="3" w:color="D9E2EC"/>
              <w:right w:val="single" w:sz="3" w:color="D9E2EC"/>
            </w:tcBorders>
            <w:vAlign w:val="top"/>
            <w:tcMar>
              <w:top w:w="90" w:type="dxa"/>
              <w:start w:w="100" w:type="dxa"/>
              <w:bottom w:w="90" w:type="dxa"/>
              <w:end w:w="100" w:type="dxa"/>
            </w:tcMar>
          </w:tcPr>
          <w:p>
            <w:pPr>
              <w:spacing w:after="0" w:line="252" w:lineRule="auto"/>
            </w:pPr>
            <w:r/>
            <w:r>
              <w:rPr>
                <w:rFonts w:ascii="Aptos" w:hAnsi="Aptos"/>
                <w:b w:val="0"/>
                <w:color w:val="243B53"/>
                <w:sz w:val="15"/>
              </w:rPr>
              <w:t>Per active misconception with supersession depth &gt;=2</w:t>
            </w:r>
          </w:p>
        </w:tc>
      </w:tr>
    </w:tbl>
    <w:p>
      <w:pPr>
        <w:spacing w:after="0"/>
      </w:pPr>
    </w:p>
    <w:p>
      <w:r>
        <w:t>Risk bands are HIGH for scores &gt;=15, MEDIUM for 7-14, and LOW for &lt;=6. Reason codes include HIGH_MISCONCEPTION_COUNT, PERSISTENT_MISCONCEPTIONS, and LOW_COMPETENCY_OFFSET.</w:t>
      </w:r>
    </w:p>
    <w:p>
      <w:pPr>
        <w:pStyle w:val="Heading2"/>
      </w:pPr>
      <w:r>
        <w:t>Semantic clustering V2</w:t>
      </w:r>
    </w:p>
    <w:p>
      <w:pPr>
        <w:pStyle w:val="ListBullet"/>
      </w:pPr>
      <w:r>
        <w:t>Only active insight embeddings are included.</w:t>
      </w:r>
    </w:p>
    <w:p>
      <w:pPr>
        <w:pStyle w:val="ListBullet"/>
      </w:pPr>
      <w:r>
        <w:t>Student vectors are weighted means: misconception 1.0, partial understanding 0.6, competency 0.3, with recency decay.</w:t>
      </w:r>
    </w:p>
    <w:p>
      <w:pPr>
        <w:pStyle w:val="ListBullet"/>
      </w:pPr>
      <w:r>
        <w:t>Students must pass minimum insight count and vector norm gates; vectors are L2-normalized before clustering.</w:t>
      </w:r>
    </w:p>
    <w:p>
      <w:pPr>
        <w:pStyle w:val="ListBullet"/>
      </w:pPr>
      <w:r>
        <w:t>HDBSCAN is primary because it can find natural groups and noise. KMeans is an explicit fallback when the dataset is too small, HDBSCAN degenerates to one cluster/noise, or the algorithm fails.</w:t>
      </w:r>
    </w:p>
    <w:p>
      <w:pPr>
        <w:pStyle w:val="ListBullet"/>
      </w:pPr>
      <w:r>
        <w:t>Noise is retained as an UNASSIGNED/NOISE cluster for teacher awareness rather than silently dropped.</w:t>
      </w:r>
    </w:p>
    <w:p>
      <w:pPr>
        <w:pStyle w:val="ListBullet"/>
      </w:pPr>
      <w:r>
        <w:t>Snapshots preserve algorithm, engine version, eligible/noise counts, quality metrics, dominant concepts, terms, misconception statements, risk-band composition, and rule-based recommended actions.</w:t>
      </w:r>
    </w:p>
    <w:tbl>
      <w:tblPr>
        <w:tblW w:type="auto" w:w="0"/>
        <w:jc w:val="left"/>
        <w:tblLayout w:type="fixed"/>
        <w:tblLook w:firstColumn="1" w:firstRow="1" w:lastColumn="0" w:lastRow="0" w:noHBand="0" w:noVBand="1" w:val="04A0"/>
      </w:tblPr>
      <w:tblGrid>
        <w:gridCol w:w="4997"/>
        <w:gridCol w:w="4997"/>
      </w:tblGrid>
      <w:tr>
        <w:trPr>
          <w:tblHeader w:val="true"/>
        </w:trPr>
        <w:tc>
          <w:tcPr>
            <w:tcW w:type="dxa" w:w="3168"/>
            <w:shd w:fill="102A43"/>
            <w:tcBorders>
              <w:top w:val="single" w:sz="4" w:color="102A43"/>
              <w:left w:val="single" w:sz="4" w:color="102A43"/>
              <w:bottom w:val="single" w:sz="4" w:color="102A43"/>
              <w:right w:val="single" w:sz="4" w:color="102A43"/>
            </w:tcBorders>
            <w:vAlign w:val="top"/>
            <w:tcMar>
              <w:top w:w="90" w:type="dxa"/>
              <w:start w:w="100" w:type="dxa"/>
              <w:bottom w:w="90" w:type="dxa"/>
              <w:end w:w="100" w:type="dxa"/>
            </w:tcMar>
          </w:tcPr>
          <w:p>
            <w:pPr>
              <w:spacing w:after="0" w:line="252" w:lineRule="auto"/>
            </w:pPr>
            <w:r/>
            <w:r>
              <w:rPr>
                <w:rFonts w:ascii="Aptos" w:hAnsi="Aptos"/>
                <w:b/>
                <w:color w:val="FFFFFF"/>
                <w:sz w:val="14"/>
              </w:rPr>
              <w:t>SNAPSHOT FIELD</w:t>
            </w:r>
          </w:p>
        </w:tc>
        <w:tc>
          <w:tcPr>
            <w:tcW w:type="dxa" w:w="6192"/>
            <w:shd w:fill="102A43"/>
            <w:tcBorders>
              <w:top w:val="single" w:sz="4" w:color="102A43"/>
              <w:left w:val="single" w:sz="4" w:color="102A43"/>
              <w:bottom w:val="single" w:sz="4" w:color="102A43"/>
              <w:right w:val="single" w:sz="4" w:color="102A43"/>
            </w:tcBorders>
            <w:vAlign w:val="top"/>
            <w:tcMar>
              <w:top w:w="90" w:type="dxa"/>
              <w:start w:w="100" w:type="dxa"/>
              <w:bottom w:w="90" w:type="dxa"/>
              <w:end w:w="100" w:type="dxa"/>
            </w:tcMar>
          </w:tcPr>
          <w:p>
            <w:pPr>
              <w:spacing w:after="0" w:line="252" w:lineRule="auto"/>
            </w:pPr>
            <w:r/>
            <w:r>
              <w:rPr>
                <w:rFonts w:ascii="Aptos" w:hAnsi="Aptos"/>
                <w:b/>
                <w:color w:val="FFFFFF"/>
                <w:sz w:val="14"/>
              </w:rPr>
              <w:t>PURPOSE</w:t>
            </w:r>
          </w:p>
        </w:tc>
      </w:tr>
      <w:tr>
        <w:tc>
          <w:tcPr>
            <w:tcW w:type="dxa" w:w="3168"/>
            <w:shd w:fill="FFFFFF"/>
            <w:tcBorders>
              <w:top w:val="single" w:sz="3" w:color="D9E2EC"/>
              <w:left w:val="single" w:sz="3" w:color="D9E2EC"/>
              <w:bottom w:val="single" w:sz="3" w:color="D9E2EC"/>
              <w:right w:val="single" w:sz="3" w:color="D9E2EC"/>
            </w:tcBorders>
            <w:vAlign w:val="top"/>
            <w:tcMar>
              <w:top w:w="90" w:type="dxa"/>
              <w:start w:w="100" w:type="dxa"/>
              <w:bottom w:w="90" w:type="dxa"/>
              <w:end w:w="100" w:type="dxa"/>
            </w:tcMar>
          </w:tcPr>
          <w:p>
            <w:pPr>
              <w:spacing w:after="0" w:line="252" w:lineRule="auto"/>
            </w:pPr>
            <w:r/>
            <w:r>
              <w:rPr>
                <w:rFonts w:ascii="Aptos" w:hAnsi="Aptos"/>
                <w:b w:val="0"/>
                <w:color w:val="243B53"/>
                <w:sz w:val="15"/>
              </w:rPr>
              <w:t>algorithm / engine_version</w:t>
            </w:r>
          </w:p>
        </w:tc>
        <w:tc>
          <w:tcPr>
            <w:tcW w:type="dxa" w:w="6192"/>
            <w:shd w:fill="FFFFFF"/>
            <w:tcBorders>
              <w:top w:val="single" w:sz="3" w:color="D9E2EC"/>
              <w:left w:val="single" w:sz="3" w:color="D9E2EC"/>
              <w:bottom w:val="single" w:sz="3" w:color="D9E2EC"/>
              <w:right w:val="single" w:sz="3" w:color="D9E2EC"/>
            </w:tcBorders>
            <w:vAlign w:val="top"/>
            <w:tcMar>
              <w:top w:w="90" w:type="dxa"/>
              <w:start w:w="100" w:type="dxa"/>
              <w:bottom w:w="90" w:type="dxa"/>
              <w:end w:w="100" w:type="dxa"/>
            </w:tcMar>
          </w:tcPr>
          <w:p>
            <w:pPr>
              <w:spacing w:after="0" w:line="252" w:lineRule="auto"/>
            </w:pPr>
            <w:r/>
            <w:r>
              <w:rPr>
                <w:rFonts w:ascii="Aptos" w:hAnsi="Aptos"/>
                <w:b w:val="0"/>
                <w:color w:val="243B53"/>
                <w:sz w:val="15"/>
              </w:rPr>
              <w:t>Distinguishes hdbscan from kmeans_fallback and enables future rebuild comparisons</w:t>
            </w:r>
          </w:p>
        </w:tc>
      </w:tr>
      <w:tr>
        <w:tc>
          <w:tcPr>
            <w:tcW w:type="dxa" w:w="3168"/>
            <w:shd w:fill="F4F7FA"/>
            <w:tcBorders>
              <w:top w:val="single" w:sz="3" w:color="D9E2EC"/>
              <w:left w:val="single" w:sz="3" w:color="D9E2EC"/>
              <w:bottom w:val="single" w:sz="3" w:color="D9E2EC"/>
              <w:right w:val="single" w:sz="3" w:color="D9E2EC"/>
            </w:tcBorders>
            <w:vAlign w:val="top"/>
            <w:tcMar>
              <w:top w:w="90" w:type="dxa"/>
              <w:start w:w="100" w:type="dxa"/>
              <w:bottom w:w="90" w:type="dxa"/>
              <w:end w:w="100" w:type="dxa"/>
            </w:tcMar>
          </w:tcPr>
          <w:p>
            <w:pPr>
              <w:spacing w:after="0" w:line="252" w:lineRule="auto"/>
            </w:pPr>
            <w:r/>
            <w:r>
              <w:rPr>
                <w:rFonts w:ascii="Aptos" w:hAnsi="Aptos"/>
                <w:b w:val="0"/>
                <w:color w:val="243B53"/>
                <w:sz w:val="15"/>
              </w:rPr>
              <w:t>quality_json</w:t>
            </w:r>
          </w:p>
        </w:tc>
        <w:tc>
          <w:tcPr>
            <w:tcW w:type="dxa" w:w="6192"/>
            <w:shd w:fill="F4F7FA"/>
            <w:tcBorders>
              <w:top w:val="single" w:sz="3" w:color="D9E2EC"/>
              <w:left w:val="single" w:sz="3" w:color="D9E2EC"/>
              <w:bottom w:val="single" w:sz="3" w:color="D9E2EC"/>
              <w:right w:val="single" w:sz="3" w:color="D9E2EC"/>
            </w:tcBorders>
            <w:vAlign w:val="top"/>
            <w:tcMar>
              <w:top w:w="90" w:type="dxa"/>
              <w:start w:w="100" w:type="dxa"/>
              <w:bottom w:w="90" w:type="dxa"/>
              <w:end w:w="100" w:type="dxa"/>
            </w:tcMar>
          </w:tcPr>
          <w:p>
            <w:pPr>
              <w:spacing w:after="0" w:line="252" w:lineRule="auto"/>
            </w:pPr>
            <w:r/>
            <w:r>
              <w:rPr>
                <w:rFonts w:ascii="Aptos" w:hAnsi="Aptos"/>
                <w:b w:val="0"/>
                <w:color w:val="243B53"/>
                <w:sz w:val="15"/>
              </w:rPr>
              <w:t>Silhouette, noise ratio, size imbalance, and cluster entropy</w:t>
            </w:r>
          </w:p>
        </w:tc>
      </w:tr>
      <w:tr>
        <w:tc>
          <w:tcPr>
            <w:tcW w:type="dxa" w:w="3168"/>
            <w:shd w:fill="FFFFFF"/>
            <w:tcBorders>
              <w:top w:val="single" w:sz="3" w:color="D9E2EC"/>
              <w:left w:val="single" w:sz="3" w:color="D9E2EC"/>
              <w:bottom w:val="single" w:sz="3" w:color="D9E2EC"/>
              <w:right w:val="single" w:sz="3" w:color="D9E2EC"/>
            </w:tcBorders>
            <w:vAlign w:val="top"/>
            <w:tcMar>
              <w:top w:w="90" w:type="dxa"/>
              <w:start w:w="100" w:type="dxa"/>
              <w:bottom w:w="90" w:type="dxa"/>
              <w:end w:w="100" w:type="dxa"/>
            </w:tcMar>
          </w:tcPr>
          <w:p>
            <w:pPr>
              <w:spacing w:after="0" w:line="252" w:lineRule="auto"/>
            </w:pPr>
            <w:r/>
            <w:r>
              <w:rPr>
                <w:rFonts w:ascii="Aptos" w:hAnsi="Aptos"/>
                <w:b w:val="0"/>
                <w:color w:val="243B53"/>
                <w:sz w:val="15"/>
              </w:rPr>
              <w:t>eligible_students / noise_students</w:t>
            </w:r>
          </w:p>
        </w:tc>
        <w:tc>
          <w:tcPr>
            <w:tcW w:type="dxa" w:w="6192"/>
            <w:shd w:fill="FFFFFF"/>
            <w:tcBorders>
              <w:top w:val="single" w:sz="3" w:color="D9E2EC"/>
              <w:left w:val="single" w:sz="3" w:color="D9E2EC"/>
              <w:bottom w:val="single" w:sz="3" w:color="D9E2EC"/>
              <w:right w:val="single" w:sz="3" w:color="D9E2EC"/>
            </w:tcBorders>
            <w:vAlign w:val="top"/>
            <w:tcMar>
              <w:top w:w="90" w:type="dxa"/>
              <w:start w:w="100" w:type="dxa"/>
              <w:bottom w:w="90" w:type="dxa"/>
              <w:end w:w="100" w:type="dxa"/>
            </w:tcMar>
          </w:tcPr>
          <w:p>
            <w:pPr>
              <w:spacing w:after="0" w:line="252" w:lineRule="auto"/>
            </w:pPr>
            <w:r/>
            <w:r>
              <w:rPr>
                <w:rFonts w:ascii="Aptos" w:hAnsi="Aptos"/>
                <w:b w:val="0"/>
                <w:color w:val="243B53"/>
                <w:sz w:val="15"/>
              </w:rPr>
              <w:t>Explains coverage and sparse-data behavior</w:t>
            </w:r>
          </w:p>
        </w:tc>
      </w:tr>
      <w:tr>
        <w:tc>
          <w:tcPr>
            <w:tcW w:type="dxa" w:w="3168"/>
            <w:shd w:fill="F4F7FA"/>
            <w:tcBorders>
              <w:top w:val="single" w:sz="3" w:color="D9E2EC"/>
              <w:left w:val="single" w:sz="3" w:color="D9E2EC"/>
              <w:bottom w:val="single" w:sz="3" w:color="D9E2EC"/>
              <w:right w:val="single" w:sz="3" w:color="D9E2EC"/>
            </w:tcBorders>
            <w:vAlign w:val="top"/>
            <w:tcMar>
              <w:top w:w="90" w:type="dxa"/>
              <w:start w:w="100" w:type="dxa"/>
              <w:bottom w:w="90" w:type="dxa"/>
              <w:end w:w="100" w:type="dxa"/>
            </w:tcMar>
          </w:tcPr>
          <w:p>
            <w:pPr>
              <w:spacing w:after="0" w:line="252" w:lineRule="auto"/>
            </w:pPr>
            <w:r/>
            <w:r>
              <w:rPr>
                <w:rFonts w:ascii="Aptos" w:hAnsi="Aptos"/>
                <w:b w:val="0"/>
                <w:color w:val="243B53"/>
                <w:sz w:val="15"/>
              </w:rPr>
              <w:t>risk_band_counts_json</w:t>
            </w:r>
          </w:p>
        </w:tc>
        <w:tc>
          <w:tcPr>
            <w:tcW w:type="dxa" w:w="6192"/>
            <w:shd w:fill="F4F7FA"/>
            <w:tcBorders>
              <w:top w:val="single" w:sz="3" w:color="D9E2EC"/>
              <w:left w:val="single" w:sz="3" w:color="D9E2EC"/>
              <w:bottom w:val="single" w:sz="3" w:color="D9E2EC"/>
              <w:right w:val="single" w:sz="3" w:color="D9E2EC"/>
            </w:tcBorders>
            <w:vAlign w:val="top"/>
            <w:tcMar>
              <w:top w:w="90" w:type="dxa"/>
              <w:start w:w="100" w:type="dxa"/>
              <w:bottom w:w="90" w:type="dxa"/>
              <w:end w:w="100" w:type="dxa"/>
            </w:tcMar>
          </w:tcPr>
          <w:p>
            <w:pPr>
              <w:spacing w:after="0" w:line="252" w:lineRule="auto"/>
            </w:pPr>
            <w:r/>
            <w:r>
              <w:rPr>
                <w:rFonts w:ascii="Aptos" w:hAnsi="Aptos"/>
                <w:b w:val="0"/>
                <w:color w:val="243B53"/>
                <w:sz w:val="15"/>
              </w:rPr>
              <w:t>Shows intervention mix inside each cluster</w:t>
            </w:r>
          </w:p>
        </w:tc>
      </w:tr>
      <w:tr>
        <w:tc>
          <w:tcPr>
            <w:tcW w:type="dxa" w:w="3168"/>
            <w:shd w:fill="FFFFFF"/>
            <w:tcBorders>
              <w:top w:val="single" w:sz="3" w:color="D9E2EC"/>
              <w:left w:val="single" w:sz="3" w:color="D9E2EC"/>
              <w:bottom w:val="single" w:sz="3" w:color="D9E2EC"/>
              <w:right w:val="single" w:sz="3" w:color="D9E2EC"/>
            </w:tcBorders>
            <w:vAlign w:val="top"/>
            <w:tcMar>
              <w:top w:w="90" w:type="dxa"/>
              <w:start w:w="100" w:type="dxa"/>
              <w:bottom w:w="90" w:type="dxa"/>
              <w:end w:w="100" w:type="dxa"/>
            </w:tcMar>
          </w:tcPr>
          <w:p>
            <w:pPr>
              <w:spacing w:after="0" w:line="252" w:lineRule="auto"/>
            </w:pPr>
            <w:r/>
            <w:r>
              <w:rPr>
                <w:rFonts w:ascii="Aptos" w:hAnsi="Aptos"/>
                <w:b w:val="0"/>
                <w:color w:val="243B53"/>
                <w:sz w:val="15"/>
              </w:rPr>
              <w:t>top_concepts_json / top_misconceptions_json</w:t>
            </w:r>
          </w:p>
        </w:tc>
        <w:tc>
          <w:tcPr>
            <w:tcW w:type="dxa" w:w="6192"/>
            <w:shd w:fill="FFFFFF"/>
            <w:tcBorders>
              <w:top w:val="single" w:sz="3" w:color="D9E2EC"/>
              <w:left w:val="single" w:sz="3" w:color="D9E2EC"/>
              <w:bottom w:val="single" w:sz="3" w:color="D9E2EC"/>
              <w:right w:val="single" w:sz="3" w:color="D9E2EC"/>
            </w:tcBorders>
            <w:vAlign w:val="top"/>
            <w:tcMar>
              <w:top w:w="90" w:type="dxa"/>
              <w:start w:w="100" w:type="dxa"/>
              <w:bottom w:w="90" w:type="dxa"/>
              <w:end w:w="100" w:type="dxa"/>
            </w:tcMar>
          </w:tcPr>
          <w:p>
            <w:pPr>
              <w:spacing w:after="0" w:line="252" w:lineRule="auto"/>
            </w:pPr>
            <w:r/>
            <w:r>
              <w:rPr>
                <w:rFonts w:ascii="Aptos" w:hAnsi="Aptos"/>
                <w:b w:val="0"/>
                <w:color w:val="243B53"/>
                <w:sz w:val="15"/>
              </w:rPr>
              <w:t>Makes clusters teacher-actionable rather than embedding-only</w:t>
            </w:r>
          </w:p>
        </w:tc>
      </w:tr>
      <w:tr>
        <w:tc>
          <w:tcPr>
            <w:tcW w:type="dxa" w:w="3168"/>
            <w:shd w:fill="F4F7FA"/>
            <w:tcBorders>
              <w:top w:val="single" w:sz="3" w:color="D9E2EC"/>
              <w:left w:val="single" w:sz="3" w:color="D9E2EC"/>
              <w:bottom w:val="single" w:sz="3" w:color="D9E2EC"/>
              <w:right w:val="single" w:sz="3" w:color="D9E2EC"/>
            </w:tcBorders>
            <w:vAlign w:val="top"/>
            <w:tcMar>
              <w:top w:w="90" w:type="dxa"/>
              <w:start w:w="100" w:type="dxa"/>
              <w:bottom w:w="90" w:type="dxa"/>
              <w:end w:w="100" w:type="dxa"/>
            </w:tcMar>
          </w:tcPr>
          <w:p>
            <w:pPr>
              <w:spacing w:after="0" w:line="252" w:lineRule="auto"/>
            </w:pPr>
            <w:r/>
            <w:r>
              <w:rPr>
                <w:rFonts w:ascii="Aptos" w:hAnsi="Aptos"/>
                <w:b w:val="0"/>
                <w:color w:val="243B53"/>
                <w:sz w:val="15"/>
              </w:rPr>
              <w:t>IN_CLUSTER confidence/distance</w:t>
            </w:r>
          </w:p>
        </w:tc>
        <w:tc>
          <w:tcPr>
            <w:tcW w:type="dxa" w:w="6192"/>
            <w:shd w:fill="F4F7FA"/>
            <w:tcBorders>
              <w:top w:val="single" w:sz="3" w:color="D9E2EC"/>
              <w:left w:val="single" w:sz="3" w:color="D9E2EC"/>
              <w:bottom w:val="single" w:sz="3" w:color="D9E2EC"/>
              <w:right w:val="single" w:sz="3" w:color="D9E2EC"/>
            </w:tcBorders>
            <w:vAlign w:val="top"/>
            <w:tcMar>
              <w:top w:w="90" w:type="dxa"/>
              <w:start w:w="100" w:type="dxa"/>
              <w:bottom w:w="90" w:type="dxa"/>
              <w:end w:w="100" w:type="dxa"/>
            </w:tcMar>
          </w:tcPr>
          <w:p>
            <w:pPr>
              <w:spacing w:after="0" w:line="252" w:lineRule="auto"/>
            </w:pPr>
            <w:r/>
            <w:r>
              <w:rPr>
                <w:rFonts w:ascii="Aptos" w:hAnsi="Aptos"/>
                <w:b w:val="0"/>
                <w:color w:val="243B53"/>
                <w:sz w:val="15"/>
              </w:rPr>
              <w:t>Stores membership quality where the algorithm provides it</w:t>
            </w:r>
          </w:p>
        </w:tc>
      </w:tr>
    </w:tbl>
    <w:p>
      <w:pPr>
        <w:spacing w:after="0"/>
      </w:pPr>
    </w:p>
    <w:tbl>
      <w:tblPr>
        <w:tblW w:type="auto" w:w="0"/>
        <w:jc w:val="left"/>
        <w:tblLayout w:type="fixed"/>
        <w:tblLook w:firstColumn="1" w:firstRow="1" w:lastColumn="0" w:lastRow="0" w:noHBand="0" w:noVBand="1" w:val="04A0"/>
      </w:tblPr>
      <w:tblGrid>
        <w:gridCol w:w="9994"/>
      </w:tblGrid>
      <w:tr>
        <w:trPr>
          <w:tblHeader w:val="true"/>
        </w:trPr>
        <w:tc>
          <w:tcPr>
            <w:tcW w:type="dxa" w:w="9994"/>
            <w:shd w:fill="FFF8E1"/>
            <w:tcBorders>
              <w:top w:val="single" w:sz="7" w:color="E6B93B"/>
              <w:left w:val="single" w:sz="7" w:color="E6B93B"/>
              <w:bottom w:val="single" w:sz="7" w:color="E6B93B"/>
              <w:right w:val="single" w:sz="7" w:color="E6B93B"/>
            </w:tcBorders>
            <w:tcMar>
              <w:top w:w="120" w:type="dxa"/>
              <w:start w:w="140" w:type="dxa"/>
              <w:bottom w:w="120" w:type="dxa"/>
              <w:end w:w="140" w:type="dxa"/>
            </w:tcMar>
          </w:tcPr>
          <w:p>
            <w:pPr>
              <w:spacing w:after="40"/>
            </w:pPr>
            <w:r>
              <w:rPr>
                <w:b/>
                <w:color w:val="243B53"/>
                <w:sz w:val="17"/>
              </w:rPr>
              <w:t>Why the dashboard can show no clusters</w:t>
            </w:r>
          </w:p>
          <w:p>
            <w:pPr>
              <w:spacing w:after="0"/>
            </w:pPr>
            <w:r>
              <w:rPr>
                <w:sz w:val="16"/>
              </w:rPr>
              <w:t>Snapshots are not created when an institute has no eligible students or when the cluster job has not run successfully. Cluster reads are snapshot reads; they do not build clusters synchronously during a dashboard request. The snapshot job must run against the same production Neo4j database used by the API.</w:t>
            </w:r>
          </w:p>
        </w:tc>
      </w:tr>
    </w:tbl>
    <w:p>
      <w:pPr>
        <w:pStyle w:val="Heading1"/>
      </w:pPr>
      <w:r>
        <w:t>12. Assessment Context, Concept Fallback, And Insight Scope</w:t>
      </w:r>
    </w:p>
    <w:p>
      <w:r>
        <w:t>The production assessment contract separates question content from insight classification. Question and MCQ generation are controlled by the requested subsection content, with the full parent section supplied only as reference context. Concept candidates are introduced only during answer evaluation and insight creation.</w:t>
      </w:r>
    </w:p>
    <w:tbl>
      <w:tblPr>
        <w:tblW w:type="auto" w:w="0"/>
        <w:jc w:val="left"/>
        <w:tblLayout w:type="fixed"/>
        <w:tblLook w:firstColumn="1" w:firstRow="1" w:lastColumn="0" w:lastRow="0" w:noHBand="0" w:noVBand="1" w:val="04A0"/>
      </w:tblPr>
      <w:tblGrid>
        <w:gridCol w:w="3331"/>
        <w:gridCol w:w="3331"/>
        <w:gridCol w:w="3331"/>
      </w:tblGrid>
      <w:tr>
        <w:trPr>
          <w:tblHeader w:val="true"/>
          <w:cantSplit/>
        </w:trPr>
        <w:tc>
          <w:tcPr>
            <w:tcW w:type="dxa" w:w="2232"/>
            <w:shd w:fill="102A43"/>
            <w:tcBorders>
              <w:top w:val="single" w:sz="4" w:color="102A43"/>
              <w:left w:val="single" w:sz="4" w:color="102A43"/>
              <w:bottom w:val="single" w:sz="4" w:color="102A43"/>
              <w:right w:val="single" w:sz="4" w:color="102A43"/>
            </w:tcBorders>
            <w:vAlign w:val="top"/>
            <w:tcMar>
              <w:top w:w="90" w:type="dxa"/>
              <w:start w:w="100" w:type="dxa"/>
              <w:bottom w:w="90" w:type="dxa"/>
              <w:end w:w="100" w:type="dxa"/>
            </w:tcMar>
          </w:tcPr>
          <w:p>
            <w:pPr>
              <w:spacing w:after="0" w:line="252" w:lineRule="auto"/>
            </w:pPr>
            <w:r>
              <w:rPr>
                <w:b/>
                <w:color w:val="FFFFFF"/>
              </w:rPr>
              <w:t>STAGE</w:t>
            </w:r>
          </w:p>
        </w:tc>
        <w:tc>
          <w:tcPr>
            <w:tcW w:type="dxa" w:w="4824"/>
            <w:shd w:fill="102A43"/>
            <w:tcBorders>
              <w:top w:val="single" w:sz="4" w:color="102A43"/>
              <w:left w:val="single" w:sz="4" w:color="102A43"/>
              <w:bottom w:val="single" w:sz="4" w:color="102A43"/>
              <w:right w:val="single" w:sz="4" w:color="102A43"/>
            </w:tcBorders>
            <w:vAlign w:val="top"/>
            <w:tcMar>
              <w:top w:w="90" w:type="dxa"/>
              <w:start w:w="100" w:type="dxa"/>
              <w:bottom w:w="90" w:type="dxa"/>
              <w:end w:w="100" w:type="dxa"/>
            </w:tcMar>
          </w:tcPr>
          <w:p>
            <w:pPr>
              <w:spacing w:after="0" w:line="252" w:lineRule="auto"/>
            </w:pPr>
            <w:r>
              <w:rPr>
                <w:b/>
                <w:color w:val="FFFFFF"/>
              </w:rPr>
              <w:t>CONTENT BOUNDARY</w:t>
            </w:r>
          </w:p>
        </w:tc>
        <w:tc>
          <w:tcPr>
            <w:tcW w:type="dxa" w:w="2304"/>
            <w:shd w:fill="102A43"/>
            <w:tcBorders>
              <w:top w:val="single" w:sz="4" w:color="102A43"/>
              <w:left w:val="single" w:sz="4" w:color="102A43"/>
              <w:bottom w:val="single" w:sz="4" w:color="102A43"/>
              <w:right w:val="single" w:sz="4" w:color="102A43"/>
            </w:tcBorders>
            <w:vAlign w:val="top"/>
            <w:tcMar>
              <w:top w:w="90" w:type="dxa"/>
              <w:start w:w="100" w:type="dxa"/>
              <w:bottom w:w="90" w:type="dxa"/>
              <w:end w:w="100" w:type="dxa"/>
            </w:tcMar>
          </w:tcPr>
          <w:p>
            <w:pPr>
              <w:spacing w:after="0" w:line="252" w:lineRule="auto"/>
            </w:pPr>
            <w:r>
              <w:rPr>
                <w:b/>
                <w:color w:val="FFFFFF"/>
              </w:rPr>
              <w:t>CONCEPT BEHAVIOR</w:t>
            </w:r>
          </w:p>
        </w:tc>
      </w:tr>
      <w:tr>
        <w:trPr>
          <w:cantSplit/>
        </w:trPr>
        <w:tc>
          <w:tcPr>
            <w:tcW w:type="dxa" w:w="2232"/>
            <w:shd w:fill="FFFFFF"/>
            <w:tcBorders>
              <w:top w:val="single" w:sz="3" w:color="D9E2EC"/>
              <w:left w:val="single" w:sz="3" w:color="D9E2EC"/>
              <w:bottom w:val="single" w:sz="3" w:color="D9E2EC"/>
              <w:right w:val="single" w:sz="3" w:color="D9E2EC"/>
            </w:tcBorders>
            <w:vAlign w:val="top"/>
            <w:tcMar>
              <w:top w:w="90" w:type="dxa"/>
              <w:start w:w="100" w:type="dxa"/>
              <w:bottom w:w="90" w:type="dxa"/>
              <w:end w:w="100" w:type="dxa"/>
            </w:tcMar>
          </w:tcPr>
          <w:p>
            <w:pPr>
              <w:spacing w:after="0" w:line="252" w:lineRule="auto"/>
            </w:pPr>
            <w:r>
              <w:t>Metadata load</w:t>
            </w:r>
          </w:p>
        </w:tc>
        <w:tc>
          <w:tcPr>
            <w:tcW w:type="dxa" w:w="4824"/>
            <w:shd w:fill="FFFFFF"/>
            <w:tcBorders>
              <w:top w:val="single" w:sz="3" w:color="D9E2EC"/>
              <w:left w:val="single" w:sz="3" w:color="D9E2EC"/>
              <w:bottom w:val="single" w:sz="3" w:color="D9E2EC"/>
              <w:right w:val="single" w:sz="3" w:color="D9E2EC"/>
            </w:tcBorders>
            <w:vAlign w:val="top"/>
            <w:tcMar>
              <w:top w:w="90" w:type="dxa"/>
              <w:start w:w="100" w:type="dxa"/>
              <w:bottom w:w="90" w:type="dxa"/>
              <w:end w:w="100" w:type="dxa"/>
            </w:tcMar>
          </w:tcPr>
          <w:p>
            <w:pPr>
              <w:spacing w:after="0" w:line="252" w:lineRule="auto"/>
            </w:pPr>
            <w:r>
              <w:t>Collect ordered subsection IDs, titles, and content; build complete section reference text</w:t>
            </w:r>
          </w:p>
        </w:tc>
        <w:tc>
          <w:tcPr>
            <w:tcW w:type="dxa" w:w="2304"/>
            <w:shd w:fill="FFFFFF"/>
            <w:tcBorders>
              <w:top w:val="single" w:sz="3" w:color="D9E2EC"/>
              <w:left w:val="single" w:sz="3" w:color="D9E2EC"/>
              <w:bottom w:val="single" w:sz="3" w:color="D9E2EC"/>
              <w:right w:val="single" w:sz="3" w:color="D9E2EC"/>
            </w:tcBorders>
            <w:vAlign w:val="top"/>
            <w:tcMar>
              <w:top w:w="90" w:type="dxa"/>
              <w:start w:w="100" w:type="dxa"/>
              <w:bottom w:w="90" w:type="dxa"/>
              <w:end w:w="100" w:type="dxa"/>
            </w:tcMar>
          </w:tcPr>
          <w:p>
            <w:pPr>
              <w:spacing w:after="0" w:line="252" w:lineRule="auto"/>
            </w:pPr>
            <w:r>
              <w:t>Select concepts directly required by the section; if none, collect concepts required by sections in the same chapter</w:t>
            </w:r>
          </w:p>
        </w:tc>
      </w:tr>
      <w:tr>
        <w:trPr>
          <w:cantSplit/>
        </w:trPr>
        <w:tc>
          <w:tcPr>
            <w:tcW w:type="dxa" w:w="2232"/>
            <w:shd w:fill="F4F7FA"/>
            <w:tcBorders>
              <w:top w:val="single" w:sz="3" w:color="D9E2EC"/>
              <w:left w:val="single" w:sz="3" w:color="D9E2EC"/>
              <w:bottom w:val="single" w:sz="3" w:color="D9E2EC"/>
              <w:right w:val="single" w:sz="3" w:color="D9E2EC"/>
            </w:tcBorders>
            <w:vAlign w:val="top"/>
            <w:tcMar>
              <w:top w:w="90" w:type="dxa"/>
              <w:start w:w="100" w:type="dxa"/>
              <w:bottom w:w="90" w:type="dxa"/>
              <w:end w:w="100" w:type="dxa"/>
            </w:tcMar>
          </w:tcPr>
          <w:p>
            <w:pPr>
              <w:spacing w:after="0" w:line="252" w:lineRule="auto"/>
            </w:pPr>
            <w:r>
              <w:t>Target resolution</w:t>
            </w:r>
          </w:p>
        </w:tc>
        <w:tc>
          <w:tcPr>
            <w:tcW w:type="dxa" w:w="4824"/>
            <w:shd w:fill="F4F7FA"/>
            <w:tcBorders>
              <w:top w:val="single" w:sz="3" w:color="D9E2EC"/>
              <w:left w:val="single" w:sz="3" w:color="D9E2EC"/>
              <w:bottom w:val="single" w:sz="3" w:color="D9E2EC"/>
              <w:right w:val="single" w:sz="3" w:color="D9E2EC"/>
            </w:tcBorders>
            <w:vAlign w:val="top"/>
            <w:tcMar>
              <w:top w:w="90" w:type="dxa"/>
              <w:start w:w="100" w:type="dxa"/>
              <w:bottom w:w="90" w:type="dxa"/>
              <w:end w:w="100" w:type="dxa"/>
            </w:tcMar>
          </w:tcPr>
          <w:p>
            <w:pPr>
              <w:spacing w:after="0" w:line="252" w:lineRule="auto"/>
            </w:pPr>
            <w:r>
              <w:t>Require the submitted subsection ID to belong to the requested section</w:t>
            </w:r>
          </w:p>
        </w:tc>
        <w:tc>
          <w:tcPr>
            <w:tcW w:type="dxa" w:w="2304"/>
            <w:shd w:fill="F4F7FA"/>
            <w:tcBorders>
              <w:top w:val="single" w:sz="3" w:color="D9E2EC"/>
              <w:left w:val="single" w:sz="3" w:color="D9E2EC"/>
              <w:bottom w:val="single" w:sz="3" w:color="D9E2EC"/>
              <w:right w:val="single" w:sz="3" w:color="D9E2EC"/>
            </w:tcBorders>
            <w:vAlign w:val="top"/>
            <w:tcMar>
              <w:top w:w="90" w:type="dxa"/>
              <w:start w:w="100" w:type="dxa"/>
              <w:bottom w:w="90" w:type="dxa"/>
              <w:end w:w="100" w:type="dxa"/>
            </w:tcMar>
          </w:tcPr>
          <w:p>
            <w:pPr>
              <w:spacing w:after="0" w:line="252" w:lineRule="auto"/>
            </w:pPr>
            <w:r>
              <w:t>No concept is needed to resolve or render the subsection; invalid membership returns 400</w:t>
            </w:r>
          </w:p>
        </w:tc>
      </w:tr>
      <w:tr>
        <w:trPr>
          <w:cantSplit/>
        </w:trPr>
        <w:tc>
          <w:tcPr>
            <w:tcW w:type="dxa" w:w="2232"/>
            <w:shd w:fill="FFFFFF"/>
            <w:tcBorders>
              <w:top w:val="single" w:sz="3" w:color="D9E2EC"/>
              <w:left w:val="single" w:sz="3" w:color="D9E2EC"/>
              <w:bottom w:val="single" w:sz="3" w:color="D9E2EC"/>
              <w:right w:val="single" w:sz="3" w:color="D9E2EC"/>
            </w:tcBorders>
            <w:vAlign w:val="top"/>
            <w:tcMar>
              <w:top w:w="90" w:type="dxa"/>
              <w:start w:w="100" w:type="dxa"/>
              <w:bottom w:w="90" w:type="dxa"/>
              <w:end w:w="100" w:type="dxa"/>
            </w:tcMar>
          </w:tcPr>
          <w:p>
            <w:pPr>
              <w:spacing w:after="0" w:line="252" w:lineRule="auto"/>
            </w:pPr>
            <w:r>
              <w:t>Question / MCQ generation</w:t>
            </w:r>
          </w:p>
        </w:tc>
        <w:tc>
          <w:tcPr>
            <w:tcW w:type="dxa" w:w="4824"/>
            <w:shd w:fill="FFFFFF"/>
            <w:tcBorders>
              <w:top w:val="single" w:sz="3" w:color="D9E2EC"/>
              <w:left w:val="single" w:sz="3" w:color="D9E2EC"/>
              <w:bottom w:val="single" w:sz="3" w:color="D9E2EC"/>
              <w:right w:val="single" w:sz="3" w:color="D9E2EC"/>
            </w:tcBorders>
            <w:vAlign w:val="top"/>
            <w:tcMar>
              <w:top w:w="90" w:type="dxa"/>
              <w:start w:w="100" w:type="dxa"/>
              <w:bottom w:w="90" w:type="dxa"/>
              <w:end w:w="100" w:type="dxa"/>
            </w:tcMar>
          </w:tcPr>
          <w:p>
            <w:pPr>
              <w:spacing w:after="0" w:line="252" w:lineRule="auto"/>
            </w:pPr>
            <w:r>
              <w:t>Target subsection content is primary; full section may clarify notation, definitions, or surrounding context</w:t>
            </w:r>
          </w:p>
        </w:tc>
        <w:tc>
          <w:tcPr>
            <w:tcW w:type="dxa" w:w="2304"/>
            <w:shd w:fill="FFFFFF"/>
            <w:tcBorders>
              <w:top w:val="single" w:sz="3" w:color="D9E2EC"/>
              <w:left w:val="single" w:sz="3" w:color="D9E2EC"/>
              <w:bottom w:val="single" w:sz="3" w:color="D9E2EC"/>
              <w:right w:val="single" w:sz="3" w:color="D9E2EC"/>
            </w:tcBorders>
            <w:vAlign w:val="top"/>
            <w:tcMar>
              <w:top w:w="90" w:type="dxa"/>
              <w:start w:w="100" w:type="dxa"/>
              <w:bottom w:w="90" w:type="dxa"/>
              <w:end w:w="100" w:type="dxa"/>
            </w:tcMar>
          </w:tcPr>
          <w:p>
            <w:pPr>
              <w:spacing w:after="0" w:line="252" w:lineRule="auto"/>
            </w:pPr>
            <w:r>
              <w:t>Concept IDs and names are excluded from the generation prompt and cache identity</w:t>
            </w:r>
          </w:p>
        </w:tc>
      </w:tr>
      <w:tr>
        <w:trPr>
          <w:cantSplit/>
        </w:trPr>
        <w:tc>
          <w:tcPr>
            <w:tcW w:type="dxa" w:w="2232"/>
            <w:shd w:fill="F4F7FA"/>
            <w:tcBorders>
              <w:top w:val="single" w:sz="3" w:color="D9E2EC"/>
              <w:left w:val="single" w:sz="3" w:color="D9E2EC"/>
              <w:bottom w:val="single" w:sz="3" w:color="D9E2EC"/>
              <w:right w:val="single" w:sz="3" w:color="D9E2EC"/>
            </w:tcBorders>
            <w:vAlign w:val="top"/>
            <w:tcMar>
              <w:top w:w="90" w:type="dxa"/>
              <w:start w:w="100" w:type="dxa"/>
              <w:bottom w:w="90" w:type="dxa"/>
              <w:end w:w="100" w:type="dxa"/>
            </w:tcMar>
          </w:tcPr>
          <w:p>
            <w:pPr>
              <w:spacing w:after="0" w:line="252" w:lineRule="auto"/>
            </w:pPr>
            <w:r>
              <w:t>Answer evaluation</w:t>
            </w:r>
          </w:p>
        </w:tc>
        <w:tc>
          <w:tcPr>
            <w:tcW w:type="dxa" w:w="4824"/>
            <w:shd w:fill="F4F7FA"/>
            <w:tcBorders>
              <w:top w:val="single" w:sz="3" w:color="D9E2EC"/>
              <w:left w:val="single" w:sz="3" w:color="D9E2EC"/>
              <w:bottom w:val="single" w:sz="3" w:color="D9E2EC"/>
              <w:right w:val="single" w:sz="3" w:color="D9E2EC"/>
            </w:tcBorders>
            <w:vAlign w:val="top"/>
            <w:tcMar>
              <w:top w:w="90" w:type="dxa"/>
              <w:start w:w="100" w:type="dxa"/>
              <w:bottom w:w="90" w:type="dxa"/>
              <w:end w:w="100" w:type="dxa"/>
            </w:tcMar>
          </w:tcPr>
          <w:p>
            <w:pPr>
              <w:spacing w:after="0" w:line="252" w:lineRule="auto"/>
            </w:pPr>
            <w:r>
              <w:t>Judge only against the target subsection; do not require sibling-only facts</w:t>
            </w:r>
          </w:p>
        </w:tc>
        <w:tc>
          <w:tcPr>
            <w:tcW w:type="dxa" w:w="2304"/>
            <w:shd w:fill="F4F7FA"/>
            <w:tcBorders>
              <w:top w:val="single" w:sz="3" w:color="D9E2EC"/>
              <w:left w:val="single" w:sz="3" w:color="D9E2EC"/>
              <w:bottom w:val="single" w:sz="3" w:color="D9E2EC"/>
              <w:right w:val="single" w:sz="3" w:color="D9E2EC"/>
            </w:tcBorders>
            <w:vAlign w:val="top"/>
            <w:tcMar>
              <w:top w:w="90" w:type="dxa"/>
              <w:start w:w="100" w:type="dxa"/>
              <w:bottom w:w="90" w:type="dxa"/>
              <w:end w:w="100" w:type="dxa"/>
            </w:tcMar>
          </w:tcPr>
          <w:p>
            <w:pPr>
              <w:spacing w:after="0" w:line="252" w:lineRule="auto"/>
            </w:pPr>
            <w:r>
              <w:t>Expose either direct-section candidates or explicitly labeled chapter-fallback candidates</w:t>
            </w:r>
          </w:p>
        </w:tc>
      </w:tr>
      <w:tr>
        <w:trPr>
          <w:cantSplit/>
        </w:trPr>
        <w:tc>
          <w:tcPr>
            <w:tcW w:type="dxa" w:w="2232"/>
            <w:shd w:fill="FFFFFF"/>
            <w:tcBorders>
              <w:top w:val="single" w:sz="3" w:color="D9E2EC"/>
              <w:left w:val="single" w:sz="3" w:color="D9E2EC"/>
              <w:bottom w:val="single" w:sz="3" w:color="D9E2EC"/>
              <w:right w:val="single" w:sz="3" w:color="D9E2EC"/>
            </w:tcBorders>
            <w:vAlign w:val="top"/>
            <w:tcMar>
              <w:top w:w="90" w:type="dxa"/>
              <w:start w:w="100" w:type="dxa"/>
              <w:bottom w:w="90" w:type="dxa"/>
              <w:end w:w="100" w:type="dxa"/>
            </w:tcMar>
          </w:tcPr>
          <w:p>
            <w:pPr>
              <w:spacing w:after="0" w:line="252" w:lineRule="auto"/>
            </w:pPr>
            <w:r>
              <w:t>Insight validation</w:t>
            </w:r>
          </w:p>
        </w:tc>
        <w:tc>
          <w:tcPr>
            <w:tcW w:type="dxa" w:w="4824"/>
            <w:shd w:fill="FFFFFF"/>
            <w:tcBorders>
              <w:top w:val="single" w:sz="3" w:color="D9E2EC"/>
              <w:left w:val="single" w:sz="3" w:color="D9E2EC"/>
              <w:bottom w:val="single" w:sz="3" w:color="D9E2EC"/>
              <w:right w:val="single" w:sz="3" w:color="D9E2EC"/>
            </w:tcBorders>
            <w:vAlign w:val="top"/>
            <w:tcMar>
              <w:top w:w="90" w:type="dxa"/>
              <w:start w:w="100" w:type="dxa"/>
              <w:bottom w:w="90" w:type="dxa"/>
              <w:end w:w="100" w:type="dxa"/>
            </w:tcMar>
          </w:tcPr>
          <w:p>
            <w:pPr>
              <w:spacing w:after="0" w:line="252" w:lineRule="auto"/>
            </w:pPr>
            <w:r>
              <w:t>Accept only evidence meaningfully supported by the tested question and learner answer</w:t>
            </w:r>
          </w:p>
        </w:tc>
        <w:tc>
          <w:tcPr>
            <w:tcW w:type="dxa" w:w="2304"/>
            <w:shd w:fill="FFFFFF"/>
            <w:tcBorders>
              <w:top w:val="single" w:sz="3" w:color="D9E2EC"/>
              <w:left w:val="single" w:sz="3" w:color="D9E2EC"/>
              <w:bottom w:val="single" w:sz="3" w:color="D9E2EC"/>
              <w:right w:val="single" w:sz="3" w:color="D9E2EC"/>
            </w:tcBorders>
            <w:vAlign w:val="top"/>
            <w:tcMar>
              <w:top w:w="90" w:type="dxa"/>
              <w:start w:w="100" w:type="dxa"/>
              <w:bottom w:w="90" w:type="dxa"/>
              <w:end w:w="100" w:type="dxa"/>
            </w:tcMar>
          </w:tcPr>
          <w:p>
            <w:pPr>
              <w:spacing w:after="0" w:line="252" w:lineRule="auto"/>
            </w:pPr>
            <w:r>
              <w:t>Reject concept IDs outside the resolved candidate set and invalid type/category values; an empty insight list is valid</w:t>
            </w:r>
          </w:p>
        </w:tc>
      </w:tr>
      <w:tr>
        <w:trPr>
          <w:cantSplit/>
        </w:trPr>
        <w:tc>
          <w:tcPr>
            <w:tcW w:type="dxa" w:w="2232"/>
            <w:shd w:fill="F4F7FA"/>
            <w:tcBorders>
              <w:top w:val="single" w:sz="3" w:color="D9E2EC"/>
              <w:left w:val="single" w:sz="3" w:color="D9E2EC"/>
              <w:bottom w:val="single" w:sz="3" w:color="D9E2EC"/>
              <w:right w:val="single" w:sz="3" w:color="D9E2EC"/>
            </w:tcBorders>
            <w:vAlign w:val="top"/>
            <w:tcMar>
              <w:top w:w="90" w:type="dxa"/>
              <w:start w:w="100" w:type="dxa"/>
              <w:bottom w:w="90" w:type="dxa"/>
              <w:end w:w="100" w:type="dxa"/>
            </w:tcMar>
          </w:tcPr>
          <w:p>
            <w:pPr>
              <w:spacing w:after="0" w:line="252" w:lineRule="auto"/>
            </w:pPr>
            <w:r>
              <w:t>Persistence</w:t>
            </w:r>
          </w:p>
        </w:tc>
        <w:tc>
          <w:tcPr>
            <w:tcW w:type="dxa" w:w="4824"/>
            <w:shd w:fill="F4F7FA"/>
            <w:tcBorders>
              <w:top w:val="single" w:sz="3" w:color="D9E2EC"/>
              <w:left w:val="single" w:sz="3" w:color="D9E2EC"/>
              <w:bottom w:val="single" w:sz="3" w:color="D9E2EC"/>
              <w:right w:val="single" w:sz="3" w:color="D9E2EC"/>
            </w:tcBorders>
            <w:vAlign w:val="top"/>
            <w:tcMar>
              <w:top w:w="90" w:type="dxa"/>
              <w:start w:w="100" w:type="dxa"/>
              <w:bottom w:w="90" w:type="dxa"/>
              <w:end w:w="100" w:type="dxa"/>
            </w:tcMar>
          </w:tcPr>
          <w:p>
            <w:pPr>
              <w:spacing w:after="0" w:line="252" w:lineRule="auto"/>
            </w:pPr>
            <w:r>
              <w:t>Force source_id to the validated target subsection</w:t>
            </w:r>
          </w:p>
        </w:tc>
        <w:tc>
          <w:tcPr>
            <w:tcW w:type="dxa" w:w="2304"/>
            <w:shd w:fill="F4F7FA"/>
            <w:tcBorders>
              <w:top w:val="single" w:sz="3" w:color="D9E2EC"/>
              <w:left w:val="single" w:sz="3" w:color="D9E2EC"/>
              <w:bottom w:val="single" w:sz="3" w:color="D9E2EC"/>
              <w:right w:val="single" w:sz="3" w:color="D9E2EC"/>
            </w:tcBorders>
            <w:vAlign w:val="top"/>
            <w:tcMar>
              <w:top w:w="90" w:type="dxa"/>
              <w:start w:w="100" w:type="dxa"/>
              <w:bottom w:w="90" w:type="dxa"/>
              <w:end w:w="100" w:type="dxa"/>
            </w:tcMar>
          </w:tcPr>
          <w:p>
            <w:pPr>
              <w:spacing w:after="0" w:line="252" w:lineRule="auto"/>
            </w:pPr>
            <w:r>
              <w:t>Persist only accepted concept links; unauthenticated or empty-insight cases are skipped without changing the evaluation result</w:t>
            </w:r>
          </w:p>
        </w:tc>
      </w:tr>
    </w:tbl>
    <w:p>
      <w:pPr>
        <w:spacing w:after="0"/>
      </w:pPr>
    </w:p>
    <w:p>
      <w:pPr>
        <w:pStyle w:val="Heading2"/>
      </w:pPr>
      <w:r>
        <w:t>Concept-scope selection</w:t>
      </w:r>
    </w:p>
    <w:p>
      <w:pPr>
        <w:pStyle w:val="ListBullet"/>
      </w:pPr>
      <w:r>
        <w:t>Direct scope: if the active section has one or more direct REQUIRES Concept relationships, only those concepts are candidates for assessment insights.</w:t>
      </w:r>
    </w:p>
    <w:p>
      <w:pPr>
        <w:pStyle w:val="ListBullet"/>
      </w:pPr>
      <w:r>
        <w:t>Chapter fallback: if the active section has no direct concepts, concepts required by other sections in the same chapter become evaluation-only candidates. This is the section 10.3 case.</w:t>
      </w:r>
    </w:p>
    <w:p>
      <w:pPr>
        <w:pStyle w:val="ListBullet"/>
      </w:pPr>
      <w:r>
        <w:t>No candidates: if neither direct nor chapter concepts exist, the answer can still be evaluated, but returned insights are filtered to an empty list.</w:t>
      </w:r>
    </w:p>
    <w:p>
      <w:pPr>
        <w:pStyle w:val="ListBullet"/>
      </w:pPr>
      <w:r>
        <w:t>Source integrity: every accepted insight receives the validated target subsection as source_id, regardless of what the model returns.</w:t>
      </w:r>
    </w:p>
    <w:p>
      <w:pPr>
        <w:pStyle w:val="Heading2"/>
      </w:pPr>
      <w:r>
        <w:t>Focused regression coverage</w:t>
      </w:r>
    </w:p>
    <w:p>
      <w:pPr>
        <w:spacing w:after="40"/>
      </w:pPr>
      <w:r>
        <w:rPr>
          <w:b/>
          <w:color w:val="627D98"/>
          <w:sz w:val="16"/>
        </w:rPr>
        <w:t>Current contract checks in backend/tests/test_assessment_context.py</w:t>
      </w:r>
    </w:p>
    <w:tbl>
      <w:tblPr>
        <w:tblW w:type="auto" w:w="0"/>
        <w:jc w:val="left"/>
        <w:tblLayout w:type="fixed"/>
        <w:tblLook w:firstColumn="1" w:firstRow="1" w:lastColumn="0" w:lastRow="0" w:noHBand="0" w:noVBand="1" w:val="04A0"/>
      </w:tblPr>
      <w:tblGrid>
        <w:gridCol w:w="9994"/>
      </w:tblGrid>
      <w:tr>
        <w:trPr>
          <w:tblHeader w:val="true"/>
        </w:trPr>
        <w:tc>
          <w:tcPr>
            <w:tcW w:type="dxa" w:w="9994"/>
            <w:shd w:fill="F0F4F8"/>
            <w:tcBorders>
              <w:top w:val="single" w:sz="4" w:color="D9E2EC"/>
              <w:left w:val="single" w:sz="4" w:color="D9E2EC"/>
              <w:bottom w:val="single" w:sz="4" w:color="D9E2EC"/>
              <w:right w:val="single" w:sz="4" w:color="D9E2EC"/>
            </w:tcBorders>
            <w:tcMar>
              <w:top w:w="110" w:type="dxa"/>
              <w:start w:w="130" w:type="dxa"/>
              <w:bottom w:w="110" w:type="dxa"/>
              <w:end w:w="130" w:type="dxa"/>
            </w:tcMar>
          </w:tcPr>
          <w:p>
            <w:pPr>
              <w:spacing w:after="0" w:line="240" w:lineRule="auto"/>
            </w:pPr>
            <w:r>
              <w:t>generation uses target content plus full-section reference and excludes concepts</w:t>
              <w:br/>
              <w:t>subsection IDs outside the section are rejected before model evaluation</w:t>
              <w:br/>
              <w:t>a section with no valid concepts evaluates successfully with empty insights</w:t>
              <w:br/>
              <w:t>MCQ evaluation accepts an insight from the declared chapter-fallback scope</w:t>
              <w:br/>
              <w:t>the curriculum concept route does not shadow the /test namespace</w:t>
              <w:br/>
              <w:t>verified locally: 7 focused tests passed</w:t>
            </w:r>
          </w:p>
        </w:tc>
      </w:tr>
    </w:tbl>
    <w:tbl>
      <w:tblPr>
        <w:tblW w:type="auto" w:w="0"/>
        <w:jc w:val="left"/>
        <w:tblLayout w:type="fixed"/>
        <w:tblLook w:firstColumn="1" w:firstRow="1" w:lastColumn="0" w:lastRow="0" w:noHBand="0" w:noVBand="1" w:val="04A0"/>
      </w:tblPr>
      <w:tblGrid>
        <w:gridCol w:w="9994"/>
      </w:tblGrid>
      <w:tr>
        <w:trPr>
          <w:tblHeader w:val="true"/>
        </w:trPr>
        <w:tc>
          <w:tcPr>
            <w:tcW w:type="dxa" w:w="9994"/>
            <w:shd w:fill="EAF2FF"/>
            <w:tcBorders>
              <w:top w:val="single" w:sz="7" w:color="82B7E8"/>
              <w:left w:val="single" w:sz="7" w:color="82B7E8"/>
              <w:bottom w:val="single" w:sz="7" w:color="82B7E8"/>
              <w:right w:val="single" w:sz="7" w:color="82B7E8"/>
            </w:tcBorders>
            <w:tcMar>
              <w:top w:w="120" w:type="dxa"/>
              <w:start w:w="140" w:type="dxa"/>
              <w:bottom w:w="120" w:type="dxa"/>
              <w:end w:w="140" w:type="dxa"/>
            </w:tcMar>
          </w:tcPr>
          <w:p>
            <w:pPr>
              <w:spacing w:after="40"/>
            </w:pPr>
            <w:r>
              <w:rPr>
                <w:b/>
                <w:color w:val="243B53"/>
                <w:sz w:val="17"/>
              </w:rPr>
              <w:t>Important boundary</w:t>
              <w:br/>
            </w:r>
            <w:r>
              <w:rPr>
                <w:b w:val="0"/>
                <w:color w:val="243B53"/>
                <w:sz w:val="17"/>
              </w:rPr>
              <w:t>The full section is sent because an individual subsection may omit definitions or nearby context. It is reference material, not permission to test sibling subsections. Likewise, chapter concepts are fallback labels for evaluation and insight creation; they do not broaden question generation.</w:t>
            </w:r>
          </w:p>
        </w:tc>
      </w:tr>
    </w:tbl>
    <w:p>
      <w:pPr>
        <w:pStyle w:val="Heading1"/>
      </w:pPr>
      <w:r>
        <w:t>13. Observability And OpenTelemetry</w:t>
      </w:r>
    </w:p>
    <w:p>
      <w:pPr/>
      <w:r>
        <w:t>LearnerOS combines always-available structured application logs with optional OpenTelemetry tracing and metrics. Request IDs correlate HTTP activity, LLM calls, assessment lifecycle stages, and background persistence. When enabled, telemetry is exported over OTLP HTTP to Phoenix or another compatible collector; the product database remains the source of truth for assessment records and insights.</w:t>
      </w:r>
    </w:p>
    <w:p>
      <w:pPr>
        <w:pStyle w:val="Heading2"/>
      </w:pPr>
      <w:r>
        <w:t>Signal and correlation model</w:t>
      </w:r>
    </w:p>
    <w:p>
      <w:pPr>
        <w:pStyle w:val="ListBullet"/>
      </w:pPr>
      <w:r>
        <w:t>Request correlation: middleware accepts a safe X-Request-ID matching [A-Za-z0-9_-]{8,128}, otherwise generates an opaque UUID-derived value. The ID is stored in a context variable, returned in the response header, and added to structured events and custom spans.</w:t>
      </w:r>
    </w:p>
    <w:p>
      <w:pPr>
        <w:pStyle w:val="ListBullet"/>
      </w:pPr>
      <w:r>
        <w:t>Structured logs: trace_event emits compact JSON with UTC timestamp, event, request_id, and bounded fields. trace_exception adds error type and a message capped at 500 characters while retaining the traceback in Fly logs.</w:t>
      </w:r>
    </w:p>
    <w:p>
      <w:pPr>
        <w:pStyle w:val="ListBullet"/>
      </w:pPr>
      <w:r>
        <w:t>Assessment correlation: each answer receives an opaque assessment:&lt;uuid&gt; identifier. Lifecycle events use this ID across context loading, model work, validation, queueing, background persistence, retries, dead-letter recording, and completion.</w:t>
      </w:r>
    </w:p>
    <w:p>
      <w:pPr>
        <w:pStyle w:val="Heading2"/>
      </w:pPr>
      <w:r>
        <w:t>Export pipeline and instrumentation</w:t>
      </w:r>
    </w:p>
    <w:tbl>
      <w:tblPr>
        <w:tblW w:type="auto" w:w="0"/>
        <w:jc w:val="left"/>
        <w:tblLayout w:type="fixed"/>
        <w:tblLook w:firstColumn="1" w:firstRow="1" w:lastColumn="0" w:lastRow="0" w:noHBand="0" w:noVBand="1" w:val="04A0"/>
      </w:tblPr>
      <w:tblGrid>
        <w:gridCol w:w="3331"/>
        <w:gridCol w:w="3331"/>
        <w:gridCol w:w="3331"/>
      </w:tblGrid>
      <w:tr>
        <w:trPr>
          <w:tblHeader w:val="true"/>
          <w:cantSplit/>
        </w:trPr>
        <w:tc>
          <w:tcPr>
            <w:tcW w:type="dxa" w:w="1800"/>
            <w:shd w:fill="102A43"/>
            <w:tcBorders>
              <w:top w:val="single" w:sz="4" w:color="102A43"/>
              <w:left w:val="single" w:sz="4" w:color="102A43"/>
              <w:bottom w:val="single" w:sz="4" w:color="102A43"/>
              <w:right w:val="single" w:sz="4" w:color="102A43"/>
            </w:tcBorders>
            <w:vAlign w:val="top"/>
            <w:tcMar>
              <w:top w:w="90" w:type="dxa"/>
              <w:start w:w="100" w:type="dxa"/>
              <w:bottom w:w="90" w:type="dxa"/>
              <w:end w:w="100" w:type="dxa"/>
            </w:tcMar>
          </w:tcPr>
          <w:p>
            <w:pPr>
              <w:spacing w:after="0" w:line="252" w:lineRule="auto"/>
            </w:pPr>
            <w:r>
              <w:rPr>
                <w:b/>
                <w:color w:val="FFFFFF"/>
              </w:rPr>
              <w:t>SIGNAL / PATH</w:t>
            </w:r>
          </w:p>
        </w:tc>
        <w:tc>
          <w:tcPr>
            <w:tcW w:type="dxa" w:w="4608"/>
            <w:shd w:fill="102A43"/>
            <w:tcBorders>
              <w:top w:val="single" w:sz="4" w:color="102A43"/>
              <w:left w:val="single" w:sz="4" w:color="102A43"/>
              <w:bottom w:val="single" w:sz="4" w:color="102A43"/>
              <w:right w:val="single" w:sz="4" w:color="102A43"/>
            </w:tcBorders>
            <w:vAlign w:val="top"/>
            <w:tcMar>
              <w:top w:w="90" w:type="dxa"/>
              <w:start w:w="100" w:type="dxa"/>
              <w:bottom w:w="90" w:type="dxa"/>
              <w:end w:w="100" w:type="dxa"/>
            </w:tcMar>
          </w:tcPr>
          <w:p>
            <w:pPr>
              <w:spacing w:after="0" w:line="252" w:lineRule="auto"/>
            </w:pPr>
            <w:r>
              <w:rPr>
                <w:b/>
                <w:color w:val="FFFFFF"/>
              </w:rPr>
              <w:t>IMPLEMENTATION</w:t>
            </w:r>
          </w:p>
        </w:tc>
        <w:tc>
          <w:tcPr>
            <w:tcW w:type="dxa" w:w="2951"/>
            <w:shd w:fill="102A43"/>
            <w:tcBorders>
              <w:top w:val="single" w:sz="4" w:color="102A43"/>
              <w:left w:val="single" w:sz="4" w:color="102A43"/>
              <w:bottom w:val="single" w:sz="4" w:color="102A43"/>
              <w:right w:val="single" w:sz="4" w:color="102A43"/>
            </w:tcBorders>
            <w:vAlign w:val="top"/>
            <w:tcMar>
              <w:top w:w="90" w:type="dxa"/>
              <w:start w:w="100" w:type="dxa"/>
              <w:bottom w:w="90" w:type="dxa"/>
              <w:end w:w="100" w:type="dxa"/>
            </w:tcMar>
          </w:tcPr>
          <w:p>
            <w:pPr>
              <w:spacing w:after="0" w:line="252" w:lineRule="auto"/>
            </w:pPr>
            <w:r>
              <w:rPr>
                <w:b/>
                <w:color w:val="FFFFFF"/>
              </w:rPr>
              <w:t>OPERATING EFFECT</w:t>
            </w:r>
          </w:p>
        </w:tc>
      </w:tr>
      <w:tr>
        <w:trPr>
          <w:cantSplit/>
        </w:trPr>
        <w:tc>
          <w:tcPr>
            <w:tcW w:type="dxa" w:w="1800"/>
            <w:shd w:fill="FFFFFF"/>
            <w:tcBorders>
              <w:top w:val="single" w:sz="3" w:color="D9E2EC"/>
              <w:left w:val="single" w:sz="3" w:color="D9E2EC"/>
              <w:bottom w:val="single" w:sz="3" w:color="D9E2EC"/>
              <w:right w:val="single" w:sz="3" w:color="D9E2EC"/>
            </w:tcBorders>
            <w:vAlign w:val="top"/>
            <w:tcMar>
              <w:top w:w="90" w:type="dxa"/>
              <w:start w:w="100" w:type="dxa"/>
              <w:bottom w:w="90" w:type="dxa"/>
              <w:end w:w="100" w:type="dxa"/>
            </w:tcMar>
          </w:tcPr>
          <w:p>
            <w:pPr>
              <w:spacing w:after="0" w:line="252" w:lineRule="auto"/>
            </w:pPr>
            <w:r>
              <w:t>HTTP requests</w:t>
            </w:r>
          </w:p>
        </w:tc>
        <w:tc>
          <w:tcPr>
            <w:tcW w:type="dxa" w:w="4608"/>
            <w:shd w:fill="FFFFFF"/>
            <w:tcBorders>
              <w:top w:val="single" w:sz="3" w:color="D9E2EC"/>
              <w:left w:val="single" w:sz="3" w:color="D9E2EC"/>
              <w:bottom w:val="single" w:sz="3" w:color="D9E2EC"/>
              <w:right w:val="single" w:sz="3" w:color="D9E2EC"/>
            </w:tcBorders>
            <w:vAlign w:val="top"/>
            <w:tcMar>
              <w:top w:w="90" w:type="dxa"/>
              <w:start w:w="100" w:type="dxa"/>
              <w:bottom w:w="90" w:type="dxa"/>
              <w:end w:w="100" w:type="dxa"/>
            </w:tcMar>
          </w:tcPr>
          <w:p>
            <w:pPr>
              <w:spacing w:after="0" w:line="252" w:lineRule="auto"/>
            </w:pPr>
            <w:r>
              <w:t>FastAPI instrumentation plus request-start, request-complete, latency, status, and unhandled-exception JSON events; /health is excluded from auto-instrumentation</w:t>
            </w:r>
          </w:p>
        </w:tc>
        <w:tc>
          <w:tcPr>
            <w:tcW w:type="dxa" w:w="2951"/>
            <w:shd w:fill="FFFFFF"/>
            <w:tcBorders>
              <w:top w:val="single" w:sz="3" w:color="D9E2EC"/>
              <w:left w:val="single" w:sz="3" w:color="D9E2EC"/>
              <w:bottom w:val="single" w:sz="3" w:color="D9E2EC"/>
              <w:right w:val="single" w:sz="3" w:color="D9E2EC"/>
            </w:tcBorders>
            <w:vAlign w:val="top"/>
            <w:tcMar>
              <w:top w:w="90" w:type="dxa"/>
              <w:start w:w="100" w:type="dxa"/>
              <w:bottom w:w="90" w:type="dxa"/>
              <w:end w:w="100" w:type="dxa"/>
            </w:tcMar>
          </w:tcPr>
          <w:p>
            <w:pPr>
              <w:spacing w:after="0" w:line="252" w:lineRule="auto"/>
            </w:pPr>
            <w:r>
              <w:t>Route spans and searchable Fly logs share request correlation without health-check noise</w:t>
            </w:r>
          </w:p>
        </w:tc>
      </w:tr>
      <w:tr>
        <w:trPr>
          <w:cantSplit/>
        </w:trPr>
        <w:tc>
          <w:tcPr>
            <w:tcW w:type="dxa" w:w="1800"/>
            <w:shd w:fill="F4F7FA"/>
            <w:tcBorders>
              <w:top w:val="single" w:sz="3" w:color="D9E2EC"/>
              <w:left w:val="single" w:sz="3" w:color="D9E2EC"/>
              <w:bottom w:val="single" w:sz="3" w:color="D9E2EC"/>
              <w:right w:val="single" w:sz="3" w:color="D9E2EC"/>
            </w:tcBorders>
            <w:vAlign w:val="top"/>
            <w:tcMar>
              <w:top w:w="90" w:type="dxa"/>
              <w:start w:w="100" w:type="dxa"/>
              <w:bottom w:w="90" w:type="dxa"/>
              <w:end w:w="100" w:type="dxa"/>
            </w:tcMar>
          </w:tcPr>
          <w:p>
            <w:pPr>
              <w:spacing w:after="0" w:line="252" w:lineRule="auto"/>
            </w:pPr>
            <w:r>
              <w:t>LLM generation</w:t>
            </w:r>
          </w:p>
        </w:tc>
        <w:tc>
          <w:tcPr>
            <w:tcW w:type="dxa" w:w="4608"/>
            <w:shd w:fill="F4F7FA"/>
            <w:tcBorders>
              <w:top w:val="single" w:sz="3" w:color="D9E2EC"/>
              <w:left w:val="single" w:sz="3" w:color="D9E2EC"/>
              <w:bottom w:val="single" w:sz="3" w:color="D9E2EC"/>
              <w:right w:val="single" w:sz="3" w:color="D9E2EC"/>
            </w:tcBorders>
            <w:vAlign w:val="top"/>
            <w:tcMar>
              <w:top w:w="90" w:type="dxa"/>
              <w:start w:w="100" w:type="dxa"/>
              <w:bottom w:w="90" w:type="dxa"/>
              <w:end w:w="100" w:type="dxa"/>
            </w:tcMar>
          </w:tcPr>
          <w:p>
            <w:pPr>
              <w:spacing w:after="0" w:line="252" w:lineRule="auto"/>
            </w:pPr>
            <w:r>
              <w:t>Custom llm.&lt;operation&gt; spans record provider, model, operation, input/output sizes, fingerprints, image count, latency, token usage when available, fallbacks, retries, and exceptions</w:t>
            </w:r>
          </w:p>
        </w:tc>
        <w:tc>
          <w:tcPr>
            <w:tcW w:type="dxa" w:w="2951"/>
            <w:shd w:fill="F4F7FA"/>
            <w:tcBorders>
              <w:top w:val="single" w:sz="3" w:color="D9E2EC"/>
              <w:left w:val="single" w:sz="3" w:color="D9E2EC"/>
              <w:bottom w:val="single" w:sz="3" w:color="D9E2EC"/>
              <w:right w:val="single" w:sz="3" w:color="D9E2EC"/>
            </w:tcBorders>
            <w:vAlign w:val="top"/>
            <w:tcMar>
              <w:top w:w="90" w:type="dxa"/>
              <w:start w:w="100" w:type="dxa"/>
              <w:bottom w:w="90" w:type="dxa"/>
              <w:end w:w="100" w:type="dxa"/>
            </w:tcMar>
          </w:tcPr>
          <w:p>
            <w:pPr>
              <w:spacing w:after="0" w:line="252" w:lineRule="auto"/>
            </w:pPr>
            <w:r>
              <w:t>Separates model latency and provider failure from the surrounding route</w:t>
            </w:r>
          </w:p>
        </w:tc>
      </w:tr>
      <w:tr>
        <w:trPr>
          <w:cantSplit/>
        </w:trPr>
        <w:tc>
          <w:tcPr>
            <w:tcW w:type="dxa" w:w="1800"/>
            <w:shd w:fill="FFFFFF"/>
            <w:tcBorders>
              <w:top w:val="single" w:sz="3" w:color="D9E2EC"/>
              <w:left w:val="single" w:sz="3" w:color="D9E2EC"/>
              <w:bottom w:val="single" w:sz="3" w:color="D9E2EC"/>
              <w:right w:val="single" w:sz="3" w:color="D9E2EC"/>
            </w:tcBorders>
            <w:vAlign w:val="top"/>
            <w:tcMar>
              <w:top w:w="90" w:type="dxa"/>
              <w:start w:w="100" w:type="dxa"/>
              <w:bottom w:w="90" w:type="dxa"/>
              <w:end w:w="100" w:type="dxa"/>
            </w:tcMar>
          </w:tcPr>
          <w:p>
            <w:pPr>
              <w:spacing w:after="0" w:line="252" w:lineRule="auto"/>
            </w:pPr>
            <w:r>
              <w:t>OpenAI-compatible calls</w:t>
            </w:r>
          </w:p>
        </w:tc>
        <w:tc>
          <w:tcPr>
            <w:tcW w:type="dxa" w:w="4608"/>
            <w:shd w:fill="FFFFFF"/>
            <w:tcBorders>
              <w:top w:val="single" w:sz="3" w:color="D9E2EC"/>
              <w:left w:val="single" w:sz="3" w:color="D9E2EC"/>
              <w:bottom w:val="single" w:sz="3" w:color="D9E2EC"/>
              <w:right w:val="single" w:sz="3" w:color="D9E2EC"/>
            </w:tcBorders>
            <w:vAlign w:val="top"/>
            <w:tcMar>
              <w:top w:w="90" w:type="dxa"/>
              <w:start w:w="100" w:type="dxa"/>
              <w:bottom w:w="90" w:type="dxa"/>
              <w:end w:w="100" w:type="dxa"/>
            </w:tcMar>
          </w:tcPr>
          <w:p>
            <w:pPr>
              <w:spacing w:after="0" w:line="252" w:lineRule="auto"/>
            </w:pPr>
            <w:r>
              <w:t>OpenInference OpenAI instrumentation is installed on the shared client path</w:t>
            </w:r>
          </w:p>
        </w:tc>
        <w:tc>
          <w:tcPr>
            <w:tcW w:type="dxa" w:w="2951"/>
            <w:shd w:fill="FFFFFF"/>
            <w:tcBorders>
              <w:top w:val="single" w:sz="3" w:color="D9E2EC"/>
              <w:left w:val="single" w:sz="3" w:color="D9E2EC"/>
              <w:bottom w:val="single" w:sz="3" w:color="D9E2EC"/>
              <w:right w:val="single" w:sz="3" w:color="D9E2EC"/>
            </w:tcBorders>
            <w:vAlign w:val="top"/>
            <w:tcMar>
              <w:top w:w="90" w:type="dxa"/>
              <w:start w:w="100" w:type="dxa"/>
              <w:bottom w:w="90" w:type="dxa"/>
              <w:end w:w="100" w:type="dxa"/>
            </w:tcMar>
          </w:tcPr>
          <w:p>
            <w:pPr>
              <w:spacing w:after="0" w:line="252" w:lineRule="auto"/>
            </w:pPr>
            <w:r>
              <w:t>Provides provider-call spans compatible with Phoenix and other OTLP backends</w:t>
            </w:r>
          </w:p>
        </w:tc>
      </w:tr>
      <w:tr>
        <w:trPr>
          <w:cantSplit/>
        </w:trPr>
        <w:tc>
          <w:tcPr>
            <w:tcW w:type="dxa" w:w="1800"/>
            <w:shd w:fill="F4F7FA"/>
            <w:tcBorders>
              <w:top w:val="single" w:sz="3" w:color="D9E2EC"/>
              <w:left w:val="single" w:sz="3" w:color="D9E2EC"/>
              <w:bottom w:val="single" w:sz="3" w:color="D9E2EC"/>
              <w:right w:val="single" w:sz="3" w:color="D9E2EC"/>
            </w:tcBorders>
            <w:vAlign w:val="top"/>
            <w:tcMar>
              <w:top w:w="90" w:type="dxa"/>
              <w:start w:w="100" w:type="dxa"/>
              <w:bottom w:w="90" w:type="dxa"/>
              <w:end w:w="100" w:type="dxa"/>
            </w:tcMar>
          </w:tcPr>
          <w:p>
            <w:pPr>
              <w:spacing w:after="0" w:line="252" w:lineRule="auto"/>
            </w:pPr>
            <w:r>
              <w:t>Assessment lifecycle</w:t>
            </w:r>
          </w:p>
        </w:tc>
        <w:tc>
          <w:tcPr>
            <w:tcW w:type="dxa" w:w="4608"/>
            <w:shd w:fill="F4F7FA"/>
            <w:tcBorders>
              <w:top w:val="single" w:sz="3" w:color="D9E2EC"/>
              <w:left w:val="single" w:sz="3" w:color="D9E2EC"/>
              <w:bottom w:val="single" w:sz="3" w:color="D9E2EC"/>
              <w:right w:val="single" w:sz="3" w:color="D9E2EC"/>
            </w:tcBorders>
            <w:vAlign w:val="top"/>
            <w:tcMar>
              <w:top w:w="90" w:type="dxa"/>
              <w:start w:w="100" w:type="dxa"/>
              <w:bottom w:w="90" w:type="dxa"/>
              <w:end w:w="100" w:type="dxa"/>
            </w:tcMar>
          </w:tcPr>
          <w:p>
            <w:pPr>
              <w:spacing w:after="0" w:line="252" w:lineRule="auto"/>
            </w:pPr>
            <w:r>
              <w:t>assessment.lifecycle log events and span events use scalar attributes; the active span receives assessment.id and assessment.status</w:t>
            </w:r>
          </w:p>
        </w:tc>
        <w:tc>
          <w:tcPr>
            <w:tcW w:type="dxa" w:w="2951"/>
            <w:shd w:fill="F4F7FA"/>
            <w:tcBorders>
              <w:top w:val="single" w:sz="3" w:color="D9E2EC"/>
              <w:left w:val="single" w:sz="3" w:color="D9E2EC"/>
              <w:bottom w:val="single" w:sz="3" w:color="D9E2EC"/>
              <w:right w:val="single" w:sz="3" w:color="D9E2EC"/>
            </w:tcBorders>
            <w:vAlign w:val="top"/>
            <w:tcMar>
              <w:top w:w="90" w:type="dxa"/>
              <w:start w:w="100" w:type="dxa"/>
              <w:bottom w:w="90" w:type="dxa"/>
              <w:end w:w="100" w:type="dxa"/>
            </w:tcMar>
          </w:tcPr>
          <w:p>
            <w:pPr>
              <w:spacing w:after="0" w:line="252" w:lineRule="auto"/>
            </w:pPr>
            <w:r>
              <w:t>One assessment can be followed through synchronous evaluation and background insight persistence</w:t>
            </w:r>
          </w:p>
        </w:tc>
      </w:tr>
      <w:tr>
        <w:trPr>
          <w:cantSplit/>
        </w:trPr>
        <w:tc>
          <w:tcPr>
            <w:tcW w:type="dxa" w:w="1800"/>
            <w:shd w:fill="FFFFFF"/>
            <w:tcBorders>
              <w:top w:val="single" w:sz="3" w:color="D9E2EC"/>
              <w:left w:val="single" w:sz="3" w:color="D9E2EC"/>
              <w:bottom w:val="single" w:sz="3" w:color="D9E2EC"/>
              <w:right w:val="single" w:sz="3" w:color="D9E2EC"/>
            </w:tcBorders>
            <w:vAlign w:val="top"/>
            <w:tcMar>
              <w:top w:w="90" w:type="dxa"/>
              <w:start w:w="100" w:type="dxa"/>
              <w:bottom w:w="90" w:type="dxa"/>
              <w:end w:w="100" w:type="dxa"/>
            </w:tcMar>
          </w:tcPr>
          <w:p>
            <w:pPr>
              <w:spacing w:after="0" w:line="252" w:lineRule="auto"/>
            </w:pPr>
            <w:r>
              <w:t>Assessment metrics</w:t>
            </w:r>
          </w:p>
        </w:tc>
        <w:tc>
          <w:tcPr>
            <w:tcW w:type="dxa" w:w="4608"/>
            <w:shd w:fill="FFFFFF"/>
            <w:tcBorders>
              <w:top w:val="single" w:sz="3" w:color="D9E2EC"/>
              <w:left w:val="single" w:sz="3" w:color="D9E2EC"/>
              <w:bottom w:val="single" w:sz="3" w:color="D9E2EC"/>
              <w:right w:val="single" w:sz="3" w:color="D9E2EC"/>
            </w:tcBorders>
            <w:vAlign w:val="top"/>
            <w:tcMar>
              <w:top w:w="90" w:type="dxa"/>
              <w:start w:w="100" w:type="dxa"/>
              <w:bottom w:w="90" w:type="dxa"/>
              <w:end w:w="100" w:type="dxa"/>
            </w:tcMar>
          </w:tcPr>
          <w:p>
            <w:pPr>
              <w:spacing w:after="0" w:line="252" w:lineRule="auto"/>
            </w:pPr>
            <w:r>
              <w:t>learneros.assessment.stage.duration histogram records milliseconds by bounded stage, assessment kind, result, and optional model</w:t>
            </w:r>
          </w:p>
        </w:tc>
        <w:tc>
          <w:tcPr>
            <w:tcW w:type="dxa" w:w="2951"/>
            <w:shd w:fill="FFFFFF"/>
            <w:tcBorders>
              <w:top w:val="single" w:sz="3" w:color="D9E2EC"/>
              <w:left w:val="single" w:sz="3" w:color="D9E2EC"/>
              <w:bottom w:val="single" w:sz="3" w:color="D9E2EC"/>
              <w:right w:val="single" w:sz="3" w:color="D9E2EC"/>
            </w:tcBorders>
            <w:vAlign w:val="top"/>
            <w:tcMar>
              <w:top w:w="90" w:type="dxa"/>
              <w:start w:w="100" w:type="dxa"/>
              <w:bottom w:w="90" w:type="dxa"/>
              <w:end w:w="100" w:type="dxa"/>
            </w:tcMar>
          </w:tcPr>
          <w:p>
            <w:pPr>
              <w:spacing w:after="0" w:line="252" w:lineRule="auto"/>
            </w:pPr>
            <w:r>
              <w:t>Supports latency and failure analysis without student, concept, or assessment IDs as metric labels</w:t>
            </w:r>
          </w:p>
        </w:tc>
      </w:tr>
      <w:tr>
        <w:trPr>
          <w:cantSplit/>
        </w:trPr>
        <w:tc>
          <w:tcPr>
            <w:tcW w:type="dxa" w:w="1800"/>
            <w:shd w:fill="F4F7FA"/>
            <w:tcBorders>
              <w:top w:val="single" w:sz="3" w:color="D9E2EC"/>
              <w:left w:val="single" w:sz="3" w:color="D9E2EC"/>
              <w:bottom w:val="single" w:sz="3" w:color="D9E2EC"/>
              <w:right w:val="single" w:sz="3" w:color="D9E2EC"/>
            </w:tcBorders>
            <w:vAlign w:val="top"/>
            <w:tcMar>
              <w:top w:w="90" w:type="dxa"/>
              <w:start w:w="100" w:type="dxa"/>
              <w:bottom w:w="90" w:type="dxa"/>
              <w:end w:w="100" w:type="dxa"/>
            </w:tcMar>
          </w:tcPr>
          <w:p>
            <w:pPr>
              <w:spacing w:after="0" w:line="252" w:lineRule="auto"/>
            </w:pPr>
            <w:r>
              <w:t>OTLP export</w:t>
            </w:r>
          </w:p>
        </w:tc>
        <w:tc>
          <w:tcPr>
            <w:tcW w:type="dxa" w:w="4608"/>
            <w:shd w:fill="F4F7FA"/>
            <w:tcBorders>
              <w:top w:val="single" w:sz="3" w:color="D9E2EC"/>
              <w:left w:val="single" w:sz="3" w:color="D9E2EC"/>
              <w:bottom w:val="single" w:sz="3" w:color="D9E2EC"/>
              <w:right w:val="single" w:sz="3" w:color="D9E2EC"/>
            </w:tcBorders>
            <w:vAlign w:val="top"/>
            <w:tcMar>
              <w:top w:w="90" w:type="dxa"/>
              <w:start w:w="100" w:type="dxa"/>
              <w:bottom w:w="90" w:type="dxa"/>
              <w:end w:w="100" w:type="dxa"/>
            </w:tcMar>
          </w:tcPr>
          <w:p>
            <w:pPr>
              <w:spacing w:after="0" w:line="252" w:lineRule="auto"/>
            </w:pPr>
            <w:r>
              <w:t>BatchSpanProcessor with OTLPSpanExporter; PeriodicExportingMetricReader with OTLPMetricExporter; shared URL-decoded headers; parent-based ratio sampling</w:t>
            </w:r>
          </w:p>
        </w:tc>
        <w:tc>
          <w:tcPr>
            <w:tcW w:type="dxa" w:w="2951"/>
            <w:shd w:fill="F4F7FA"/>
            <w:tcBorders>
              <w:top w:val="single" w:sz="3" w:color="D9E2EC"/>
              <w:left w:val="single" w:sz="3" w:color="D9E2EC"/>
              <w:bottom w:val="single" w:sz="3" w:color="D9E2EC"/>
              <w:right w:val="single" w:sz="3" w:color="D9E2EC"/>
            </w:tcBorders>
            <w:vAlign w:val="top"/>
            <w:tcMar>
              <w:top w:w="90" w:type="dxa"/>
              <w:start w:w="100" w:type="dxa"/>
              <w:bottom w:w="90" w:type="dxa"/>
              <w:end w:w="100" w:type="dxa"/>
            </w:tcMar>
          </w:tcPr>
          <w:p>
            <w:pPr>
              <w:spacing w:after="0" w:line="252" w:lineRule="auto"/>
            </w:pPr>
            <w:r>
              <w:t>Traces batch asynchronously; metrics export at the configured interval to an explicit metrics endpoint or a /v1/metrics endpoint derived from /v1/traces</w:t>
            </w:r>
          </w:p>
        </w:tc>
      </w:tr>
      <w:tr>
        <w:trPr>
          <w:cantSplit/>
        </w:trPr>
        <w:tc>
          <w:tcPr>
            <w:tcW w:type="dxa" w:w="1800"/>
            <w:shd w:fill="FFFFFF"/>
            <w:tcBorders>
              <w:top w:val="single" w:sz="3" w:color="D9E2EC"/>
              <w:left w:val="single" w:sz="3" w:color="D9E2EC"/>
              <w:bottom w:val="single" w:sz="3" w:color="D9E2EC"/>
              <w:right w:val="single" w:sz="3" w:color="D9E2EC"/>
            </w:tcBorders>
            <w:vAlign w:val="top"/>
            <w:tcMar>
              <w:top w:w="90" w:type="dxa"/>
              <w:start w:w="100" w:type="dxa"/>
              <w:bottom w:w="90" w:type="dxa"/>
              <w:end w:w="100" w:type="dxa"/>
            </w:tcMar>
          </w:tcPr>
          <w:p>
            <w:pPr>
              <w:spacing w:after="0" w:line="252" w:lineRule="auto"/>
            </w:pPr>
            <w:r>
              <w:t>Shutdown</w:t>
            </w:r>
          </w:p>
        </w:tc>
        <w:tc>
          <w:tcPr>
            <w:tcW w:type="dxa" w:w="4608"/>
            <w:shd w:fill="FFFFFF"/>
            <w:tcBorders>
              <w:top w:val="single" w:sz="3" w:color="D9E2EC"/>
              <w:left w:val="single" w:sz="3" w:color="D9E2EC"/>
              <w:bottom w:val="single" w:sz="3" w:color="D9E2EC"/>
              <w:right w:val="single" w:sz="3" w:color="D9E2EC"/>
            </w:tcBorders>
            <w:vAlign w:val="top"/>
            <w:tcMar>
              <w:top w:w="90" w:type="dxa"/>
              <w:start w:w="100" w:type="dxa"/>
              <w:bottom w:w="90" w:type="dxa"/>
              <w:end w:w="100" w:type="dxa"/>
            </w:tcMar>
          </w:tcPr>
          <w:p>
            <w:pPr>
              <w:spacing w:after="0" w:line="252" w:lineRule="auto"/>
            </w:pPr>
            <w:r>
              <w:t>Trace and metric providers force-flush with a 5-second timeout and then shut down during application lifespan cleanup</w:t>
            </w:r>
          </w:p>
        </w:tc>
        <w:tc>
          <w:tcPr>
            <w:tcW w:type="dxa" w:w="2951"/>
            <w:shd w:fill="FFFFFF"/>
            <w:tcBorders>
              <w:top w:val="single" w:sz="3" w:color="D9E2EC"/>
              <w:left w:val="single" w:sz="3" w:color="D9E2EC"/>
              <w:bottom w:val="single" w:sz="3" w:color="D9E2EC"/>
              <w:right w:val="single" w:sz="3" w:color="D9E2EC"/>
            </w:tcBorders>
            <w:vAlign w:val="top"/>
            <w:tcMar>
              <w:top w:w="90" w:type="dxa"/>
              <w:start w:w="100" w:type="dxa"/>
              <w:bottom w:w="90" w:type="dxa"/>
              <w:end w:w="100" w:type="dxa"/>
            </w:tcMar>
          </w:tcPr>
          <w:p>
            <w:pPr>
              <w:spacing w:after="0" w:line="252" w:lineRule="auto"/>
            </w:pPr>
            <w:r>
              <w:t>Reduces loss of buffered telemetry during a controlled stop</w:t>
            </w:r>
          </w:p>
        </w:tc>
      </w:tr>
    </w:tbl>
    <w:p>
      <w:pPr>
        <w:pStyle w:val="Heading2"/>
      </w:pPr>
      <w:r>
        <w:t>Configuration and privacy defaults</w:t>
      </w:r>
    </w:p>
    <w:p>
      <w:pPr>
        <w:pStyle w:val="ListBullet"/>
      </w:pPr>
      <w:r>
        <w:t>Enablement: OTEL_ENABLED defaults to false, making configure_telemetry a no-op. OTEL_SERVICE_NAME and ENVIRONMENT become resource attributes when enabled.</w:t>
      </w:r>
    </w:p>
    <w:p>
      <w:pPr>
        <w:pStyle w:val="ListBullet"/>
      </w:pPr>
      <w:r>
        <w:t>Destinations and cadence: OTEL_EXPORTER_OTLP_ENDPOINT configures traces; OTEL_EXPORTER_OTLP_METRICS_ENDPOINT can override metrics; OTEL_METRIC_EXPORT_INTERVAL_MS defaults to 60,000 ms; OTEL_SAMPLE_RATIO is constrained to 0.0-1.0.</w:t>
      </w:r>
    </w:p>
    <w:p>
      <w:pPr>
        <w:pStyle w:val="ListBullet"/>
      </w:pPr>
      <w:r>
        <w:t>Authentication headers: OTEL_EXPORTER_OTLP_HEADERS accepts comma-separated key=value pairs and URL-decodes values, allowing values such as Authorization=Bearer%20&lt;token&gt; without placing credentials in source code.</w:t>
      </w:r>
    </w:p>
    <w:p>
      <w:pPr>
        <w:pStyle w:val="ListBullet"/>
      </w:pPr>
      <w:r>
        <w:t>Content protection: OTEL_CAPTURE_CONTENT defaults to false. The initializer sets OpenInference flags to hide inputs, outputs, and input images; LearnerOS custom spans/logs use lengths and SHA-256-derived 16-character fingerprints instead of prompt or response bodies.</w:t>
      </w:r>
    </w:p>
    <w:tbl>
      <w:tblPr>
        <w:tblW w:type="auto" w:w="0"/>
        <w:jc w:val="left"/>
        <w:tblLayout w:type="fixed"/>
        <w:tblLook w:firstColumn="1" w:firstRow="1" w:lastColumn="0" w:lastRow="0" w:noHBand="0" w:noVBand="1" w:val="04A0"/>
      </w:tblPr>
      <w:tblGrid>
        <w:gridCol w:w="9994"/>
      </w:tblGrid>
      <w:tr>
        <w:trPr>
          <w:tblHeader w:val="true"/>
        </w:trPr>
        <w:tc>
          <w:tcPr>
            <w:tcW w:type="dxa" w:w="9994"/>
            <w:shd w:fill="EAF2FF"/>
            <w:tcBorders>
              <w:top w:val="single" w:sz="7" w:color="82B7E8"/>
              <w:left w:val="single" w:sz="7" w:color="82B7E8"/>
              <w:bottom w:val="single" w:sz="7" w:color="82B7E8"/>
              <w:right w:val="single" w:sz="7" w:color="82B7E8"/>
            </w:tcBorders>
            <w:tcMar>
              <w:top w:w="120" w:type="dxa"/>
              <w:start w:w="140" w:type="dxa"/>
              <w:bottom w:w="120" w:type="dxa"/>
              <w:end w:w="140" w:type="dxa"/>
            </w:tcMar>
          </w:tcPr>
          <w:p>
            <w:pPr>
              <w:spacing w:after="40"/>
            </w:pPr>
            <w:r>
              <w:rPr>
                <w:b/>
                <w:color w:val="243B53"/>
                <w:sz w:val="17"/>
              </w:rPr>
              <w:t>Privacy boundary</w:t>
              <w:br/>
            </w:r>
            <w:r>
              <w:rPr>
                <w:b w:val="0"/>
                <w:color w:val="243B53"/>
                <w:sz w:val="17"/>
              </w:rPr>
              <w:t>Structured assessment logs may still include operational identifiers such as section, concept, source, insight, and assessment IDs. Metric labels intentionally exclude high-cardinality student, concept, and assessment identifiers. Durable AssessmentAttempt records can contain question and text-answer content for authenticated students; image answers are represented by SHA-256 hashes rather than image data.</w:t>
            </w:r>
          </w:p>
        </w:tc>
      </w:tr>
    </w:tbl>
    <w:p>
      <w:pPr>
        <w:pStyle w:val="Heading2"/>
      </w:pPr>
      <w:r>
        <w:t>Durable assessment operations and verification</w:t>
      </w:r>
    </w:p>
    <w:p>
      <w:pPr>
        <w:pStyle w:val="ListBullet"/>
      </w:pPr>
      <w:r>
        <w:t>AssessmentAttempt nodes persist evaluation status, model/fallback state, scores or correctness, insight queue state, expected/persisted/failed counts, and timestamps. Persistence helpers catch database errors so observability writes do not replace the learner-facing result.</w:t>
      </w:r>
    </w:p>
    <w:p>
      <w:pPr>
        <w:pStyle w:val="ListBullet"/>
      </w:pPr>
      <w:r>
        <w:t>Focused tests cover OTLP header parsing, disabled no-op behavior, opaque assessment IDs, scalar-only span attributes, and bounded-cardinality duration metrics. Production assessment-flow tests separately exercise lifecycle and persistence behavior.</w:t>
      </w:r>
    </w:p>
    <w:p>
      <w:pPr>
        <w:pStyle w:val="ListBullet"/>
      </w:pPr>
      <w:r>
        <w:t>Current boundary: exporters run in batches and normal export failures occur outside the response path, but configure_telemetry itself has no protective try/except. A malformed initialization-time configuration can still prevent startup and should be guarded in a future hardening pass.</w:t>
      </w:r>
    </w:p>
    <w:p>
      <w:pPr>
        <w:pStyle w:val="Heading1"/>
      </w:pPr>
      <w:r>
        <w:t>14. Security And Privacy Controls</w:t>
      </w:r>
    </w:p>
    <w:p>
      <w:pPr>
        <w:pStyle w:val="ListBullet"/>
      </w:pPr>
      <w:r>
        <w:t>Firebase ID tokens are verified server-side; the backend never trusts a client-supplied UID, role, or institute for protected operations.</w:t>
      </w:r>
    </w:p>
    <w:p>
      <w:pPr>
        <w:pStyle w:val="ListBullet"/>
      </w:pPr>
      <w:r>
        <w:t>Teacher analytics always constrain Student and Insight queries by the teacher claim's institute_id.</w:t>
      </w:r>
    </w:p>
    <w:p>
      <w:pPr>
        <w:pStyle w:val="ListBullet"/>
      </w:pPr>
      <w:r>
        <w:t>Public curriculum routes exclude student-specific fields. Personalized routes are authenticated and should not be edge-cached publicly.</w:t>
      </w:r>
    </w:p>
    <w:p>
      <w:pPr>
        <w:pStyle w:val="ListBullet"/>
      </w:pPr>
      <w:r>
        <w:t>Raw exercise images are not persisted in AssessmentAttempt; only count and hashes are retained for audit/correlation.</w:t>
      </w:r>
    </w:p>
    <w:p>
      <w:pPr>
        <w:pStyle w:val="ListBullet"/>
      </w:pPr>
      <w:r>
        <w:t>Tutor conversations are student-specific Neo4j records and are not included in public retrieval.</w:t>
      </w:r>
    </w:p>
    <w:p>
      <w:pPr>
        <w:pStyle w:val="ListBullet"/>
      </w:pPr>
      <w:r>
        <w:t>R2 and provider credentials belong in deployment secrets, never in frontend bundles, committed source, or documentation.</w:t>
      </w:r>
    </w:p>
    <w:p>
      <w:pPr>
        <w:pStyle w:val="ListBullet"/>
      </w:pPr>
      <w:r>
        <w:t>Safe request IDs and hashed content fingerprints reduce accidental leakage in logs.</w:t>
      </w:r>
    </w:p>
    <w:p>
      <w:pPr>
        <w:pStyle w:val="ListBullet"/>
      </w:pPr>
      <w:r>
        <w:t>CORS is an origin control, not authentication. Production origins must be explicitly configured; wildcard origins with credentials would be unsafe.</w:t>
      </w:r>
    </w:p>
    <w:p>
      <w:pPr>
        <w:pStyle w:val="Heading2"/>
      </w:pPr>
      <w:r>
        <w:t>Security review priorities</w:t>
      </w:r>
    </w:p>
    <w:tbl>
      <w:tblPr>
        <w:tblW w:type="auto" w:w="0"/>
        <w:jc w:val="left"/>
        <w:tblLayout w:type="fixed"/>
        <w:tblLook w:firstColumn="1" w:firstRow="1" w:lastColumn="0" w:lastRow="0" w:noHBand="0" w:noVBand="1" w:val="04A0"/>
      </w:tblPr>
      <w:tblGrid>
        <w:gridCol w:w="4997"/>
        <w:gridCol w:w="4997"/>
      </w:tblGrid>
      <w:tr>
        <w:trPr>
          <w:tblHeader w:val="true"/>
        </w:trPr>
        <w:tc>
          <w:tcPr>
            <w:tcW w:type="dxa" w:w="1152"/>
            <w:shd w:fill="102A43"/>
            <w:tcBorders>
              <w:top w:val="single" w:sz="4" w:color="102A43"/>
              <w:left w:val="single" w:sz="4" w:color="102A43"/>
              <w:bottom w:val="single" w:sz="4" w:color="102A43"/>
              <w:right w:val="single" w:sz="4" w:color="102A43"/>
            </w:tcBorders>
            <w:vAlign w:val="top"/>
            <w:tcMar>
              <w:top w:w="90" w:type="dxa"/>
              <w:start w:w="100" w:type="dxa"/>
              <w:bottom w:w="90" w:type="dxa"/>
              <w:end w:w="100" w:type="dxa"/>
            </w:tcMar>
          </w:tcPr>
          <w:p>
            <w:pPr>
              <w:spacing w:after="0" w:line="252" w:lineRule="auto"/>
            </w:pPr>
            <w:r/>
            <w:r>
              <w:rPr>
                <w:rFonts w:ascii="Aptos" w:hAnsi="Aptos"/>
                <w:b/>
                <w:color w:val="FFFFFF"/>
                <w:sz w:val="14"/>
              </w:rPr>
              <w:t>PRIORITY</w:t>
            </w:r>
          </w:p>
        </w:tc>
        <w:tc>
          <w:tcPr>
            <w:tcW w:type="dxa" w:w="8208"/>
            <w:shd w:fill="102A43"/>
            <w:tcBorders>
              <w:top w:val="single" w:sz="4" w:color="102A43"/>
              <w:left w:val="single" w:sz="4" w:color="102A43"/>
              <w:bottom w:val="single" w:sz="4" w:color="102A43"/>
              <w:right w:val="single" w:sz="4" w:color="102A43"/>
            </w:tcBorders>
            <w:vAlign w:val="top"/>
            <w:tcMar>
              <w:top w:w="90" w:type="dxa"/>
              <w:start w:w="100" w:type="dxa"/>
              <w:bottom w:w="90" w:type="dxa"/>
              <w:end w:w="100" w:type="dxa"/>
            </w:tcMar>
          </w:tcPr>
          <w:p>
            <w:pPr>
              <w:spacing w:after="0" w:line="252" w:lineRule="auto"/>
            </w:pPr>
            <w:r/>
            <w:r>
              <w:rPr>
                <w:rFonts w:ascii="Aptos" w:hAnsi="Aptos"/>
                <w:b/>
                <w:color w:val="FFFFFF"/>
                <w:sz w:val="14"/>
              </w:rPr>
              <w:t>ACTION</w:t>
            </w:r>
          </w:p>
        </w:tc>
      </w:tr>
      <w:tr>
        <w:tc>
          <w:tcPr>
            <w:tcW w:type="dxa" w:w="1152"/>
            <w:shd w:fill="FFFFFF"/>
            <w:tcBorders>
              <w:top w:val="single" w:sz="3" w:color="D9E2EC"/>
              <w:left w:val="single" w:sz="3" w:color="D9E2EC"/>
              <w:bottom w:val="single" w:sz="3" w:color="D9E2EC"/>
              <w:right w:val="single" w:sz="3" w:color="D9E2EC"/>
            </w:tcBorders>
            <w:vAlign w:val="top"/>
            <w:tcMar>
              <w:top w:w="90" w:type="dxa"/>
              <w:start w:w="100" w:type="dxa"/>
              <w:bottom w:w="90" w:type="dxa"/>
              <w:end w:w="100" w:type="dxa"/>
            </w:tcMar>
          </w:tcPr>
          <w:p>
            <w:pPr>
              <w:spacing w:after="0" w:line="252" w:lineRule="auto"/>
            </w:pPr>
            <w:r/>
            <w:r>
              <w:rPr>
                <w:rFonts w:ascii="Aptos" w:hAnsi="Aptos"/>
                <w:b w:val="0"/>
                <w:color w:val="243B53"/>
                <w:sz w:val="15"/>
              </w:rPr>
              <w:t>High</w:t>
            </w:r>
          </w:p>
        </w:tc>
        <w:tc>
          <w:tcPr>
            <w:tcW w:type="dxa" w:w="8208"/>
            <w:shd w:fill="FFFFFF"/>
            <w:tcBorders>
              <w:top w:val="single" w:sz="3" w:color="D9E2EC"/>
              <w:left w:val="single" w:sz="3" w:color="D9E2EC"/>
              <w:bottom w:val="single" w:sz="3" w:color="D9E2EC"/>
              <w:right w:val="single" w:sz="3" w:color="D9E2EC"/>
            </w:tcBorders>
            <w:vAlign w:val="top"/>
            <w:tcMar>
              <w:top w:w="90" w:type="dxa"/>
              <w:start w:w="100" w:type="dxa"/>
              <w:bottom w:w="90" w:type="dxa"/>
              <w:end w:w="100" w:type="dxa"/>
            </w:tcMar>
          </w:tcPr>
          <w:p>
            <w:pPr>
              <w:spacing w:after="0" w:line="252" w:lineRule="auto"/>
            </w:pPr>
            <w:r/>
            <w:r>
              <w:rPr>
                <w:rFonts w:ascii="Aptos" w:hAnsi="Aptos"/>
                <w:b w:val="0"/>
                <w:color w:val="243B53"/>
                <w:sz w:val="15"/>
              </w:rPr>
              <w:t>Keep production CORS allowlist narrow and verify the deployed API response includes the exact frontend origin for OPTIONS and authenticated requests.</w:t>
            </w:r>
          </w:p>
        </w:tc>
      </w:tr>
      <w:tr>
        <w:tc>
          <w:tcPr>
            <w:tcW w:type="dxa" w:w="1152"/>
            <w:shd w:fill="F4F7FA"/>
            <w:tcBorders>
              <w:top w:val="single" w:sz="3" w:color="D9E2EC"/>
              <w:left w:val="single" w:sz="3" w:color="D9E2EC"/>
              <w:bottom w:val="single" w:sz="3" w:color="D9E2EC"/>
              <w:right w:val="single" w:sz="3" w:color="D9E2EC"/>
            </w:tcBorders>
            <w:vAlign w:val="top"/>
            <w:tcMar>
              <w:top w:w="90" w:type="dxa"/>
              <w:start w:w="100" w:type="dxa"/>
              <w:bottom w:w="90" w:type="dxa"/>
              <w:end w:w="100" w:type="dxa"/>
            </w:tcMar>
          </w:tcPr>
          <w:p>
            <w:pPr>
              <w:spacing w:after="0" w:line="252" w:lineRule="auto"/>
            </w:pPr>
            <w:r/>
            <w:r>
              <w:rPr>
                <w:rFonts w:ascii="Aptos" w:hAnsi="Aptos"/>
                <w:b w:val="0"/>
                <w:color w:val="243B53"/>
                <w:sz w:val="15"/>
              </w:rPr>
              <w:t>High</w:t>
            </w:r>
          </w:p>
        </w:tc>
        <w:tc>
          <w:tcPr>
            <w:tcW w:type="dxa" w:w="8208"/>
            <w:shd w:fill="F4F7FA"/>
            <w:tcBorders>
              <w:top w:val="single" w:sz="3" w:color="D9E2EC"/>
              <w:left w:val="single" w:sz="3" w:color="D9E2EC"/>
              <w:bottom w:val="single" w:sz="3" w:color="D9E2EC"/>
              <w:right w:val="single" w:sz="3" w:color="D9E2EC"/>
            </w:tcBorders>
            <w:vAlign w:val="top"/>
            <w:tcMar>
              <w:top w:w="90" w:type="dxa"/>
              <w:start w:w="100" w:type="dxa"/>
              <w:bottom w:w="90" w:type="dxa"/>
              <w:end w:w="100" w:type="dxa"/>
            </w:tcMar>
          </w:tcPr>
          <w:p>
            <w:pPr>
              <w:spacing w:after="0" w:line="252" w:lineRule="auto"/>
            </w:pPr>
            <w:r/>
            <w:r>
              <w:rPr>
                <w:rFonts w:ascii="Aptos" w:hAnsi="Aptos"/>
                <w:b w:val="0"/>
                <w:color w:val="243B53"/>
                <w:sz w:val="15"/>
              </w:rPr>
              <w:t>Rotate any provider/R2 token that has ever been pasted into chat, screenshots, shell history, or committed files.</w:t>
            </w:r>
          </w:p>
        </w:tc>
      </w:tr>
      <w:tr>
        <w:tc>
          <w:tcPr>
            <w:tcW w:type="dxa" w:w="1152"/>
            <w:shd w:fill="FFFFFF"/>
            <w:tcBorders>
              <w:top w:val="single" w:sz="3" w:color="D9E2EC"/>
              <w:left w:val="single" w:sz="3" w:color="D9E2EC"/>
              <w:bottom w:val="single" w:sz="3" w:color="D9E2EC"/>
              <w:right w:val="single" w:sz="3" w:color="D9E2EC"/>
            </w:tcBorders>
            <w:vAlign w:val="top"/>
            <w:tcMar>
              <w:top w:w="90" w:type="dxa"/>
              <w:start w:w="100" w:type="dxa"/>
              <w:bottom w:w="90" w:type="dxa"/>
              <w:end w:w="100" w:type="dxa"/>
            </w:tcMar>
          </w:tcPr>
          <w:p>
            <w:pPr>
              <w:spacing w:after="0" w:line="252" w:lineRule="auto"/>
            </w:pPr>
            <w:r/>
            <w:r>
              <w:rPr>
                <w:rFonts w:ascii="Aptos" w:hAnsi="Aptos"/>
                <w:b w:val="0"/>
                <w:color w:val="243B53"/>
                <w:sz w:val="15"/>
              </w:rPr>
              <w:t>High</w:t>
            </w:r>
          </w:p>
        </w:tc>
        <w:tc>
          <w:tcPr>
            <w:tcW w:type="dxa" w:w="8208"/>
            <w:shd w:fill="FFFFFF"/>
            <w:tcBorders>
              <w:top w:val="single" w:sz="3" w:color="D9E2EC"/>
              <w:left w:val="single" w:sz="3" w:color="D9E2EC"/>
              <w:bottom w:val="single" w:sz="3" w:color="D9E2EC"/>
              <w:right w:val="single" w:sz="3" w:color="D9E2EC"/>
            </w:tcBorders>
            <w:vAlign w:val="top"/>
            <w:tcMar>
              <w:top w:w="90" w:type="dxa"/>
              <w:start w:w="100" w:type="dxa"/>
              <w:bottom w:w="90" w:type="dxa"/>
              <w:end w:w="100" w:type="dxa"/>
            </w:tcMar>
          </w:tcPr>
          <w:p>
            <w:pPr>
              <w:spacing w:after="0" w:line="252" w:lineRule="auto"/>
            </w:pPr>
            <w:r/>
            <w:r>
              <w:rPr>
                <w:rFonts w:ascii="Aptos" w:hAnsi="Aptos"/>
                <w:b w:val="0"/>
                <w:color w:val="243B53"/>
                <w:sz w:val="15"/>
              </w:rPr>
              <w:t>Enforce authentication/authorization on every new personalized route before adding cache rules.</w:t>
            </w:r>
          </w:p>
        </w:tc>
      </w:tr>
      <w:tr>
        <w:tc>
          <w:tcPr>
            <w:tcW w:type="dxa" w:w="1152"/>
            <w:shd w:fill="F4F7FA"/>
            <w:tcBorders>
              <w:top w:val="single" w:sz="3" w:color="D9E2EC"/>
              <w:left w:val="single" w:sz="3" w:color="D9E2EC"/>
              <w:bottom w:val="single" w:sz="3" w:color="D9E2EC"/>
              <w:right w:val="single" w:sz="3" w:color="D9E2EC"/>
            </w:tcBorders>
            <w:vAlign w:val="top"/>
            <w:tcMar>
              <w:top w:w="90" w:type="dxa"/>
              <w:start w:w="100" w:type="dxa"/>
              <w:bottom w:w="90" w:type="dxa"/>
              <w:end w:w="100" w:type="dxa"/>
            </w:tcMar>
          </w:tcPr>
          <w:p>
            <w:pPr>
              <w:spacing w:after="0" w:line="252" w:lineRule="auto"/>
            </w:pPr>
            <w:r/>
            <w:r>
              <w:rPr>
                <w:rFonts w:ascii="Aptos" w:hAnsi="Aptos"/>
                <w:b w:val="0"/>
                <w:color w:val="243B53"/>
                <w:sz w:val="15"/>
              </w:rPr>
              <w:t>Medium</w:t>
            </w:r>
          </w:p>
        </w:tc>
        <w:tc>
          <w:tcPr>
            <w:tcW w:type="dxa" w:w="8208"/>
            <w:shd w:fill="F4F7FA"/>
            <w:tcBorders>
              <w:top w:val="single" w:sz="3" w:color="D9E2EC"/>
              <w:left w:val="single" w:sz="3" w:color="D9E2EC"/>
              <w:bottom w:val="single" w:sz="3" w:color="D9E2EC"/>
              <w:right w:val="single" w:sz="3" w:color="D9E2EC"/>
            </w:tcBorders>
            <w:vAlign w:val="top"/>
            <w:tcMar>
              <w:top w:w="90" w:type="dxa"/>
              <w:start w:w="100" w:type="dxa"/>
              <w:bottom w:w="90" w:type="dxa"/>
              <w:end w:w="100" w:type="dxa"/>
            </w:tcMar>
          </w:tcPr>
          <w:p>
            <w:pPr>
              <w:spacing w:after="0" w:line="252" w:lineRule="auto"/>
            </w:pPr>
            <w:r/>
            <w:r>
              <w:rPr>
                <w:rFonts w:ascii="Aptos" w:hAnsi="Aptos"/>
                <w:b w:val="0"/>
                <w:color w:val="243B53"/>
                <w:sz w:val="15"/>
              </w:rPr>
              <w:t>Add rate limits and request-size limits consistently to expensive LLM and image evaluation routes.</w:t>
            </w:r>
          </w:p>
        </w:tc>
      </w:tr>
      <w:tr>
        <w:tc>
          <w:tcPr>
            <w:tcW w:type="dxa" w:w="1152"/>
            <w:shd w:fill="FFFFFF"/>
            <w:tcBorders>
              <w:top w:val="single" w:sz="3" w:color="D9E2EC"/>
              <w:left w:val="single" w:sz="3" w:color="D9E2EC"/>
              <w:bottom w:val="single" w:sz="3" w:color="D9E2EC"/>
              <w:right w:val="single" w:sz="3" w:color="D9E2EC"/>
            </w:tcBorders>
            <w:vAlign w:val="top"/>
            <w:tcMar>
              <w:top w:w="90" w:type="dxa"/>
              <w:start w:w="100" w:type="dxa"/>
              <w:bottom w:w="90" w:type="dxa"/>
              <w:end w:w="100" w:type="dxa"/>
            </w:tcMar>
          </w:tcPr>
          <w:p>
            <w:pPr>
              <w:spacing w:after="0" w:line="252" w:lineRule="auto"/>
            </w:pPr>
            <w:r/>
            <w:r>
              <w:rPr>
                <w:rFonts w:ascii="Aptos" w:hAnsi="Aptos"/>
                <w:b w:val="0"/>
                <w:color w:val="243B53"/>
                <w:sz w:val="15"/>
              </w:rPr>
              <w:t>Medium</w:t>
            </w:r>
          </w:p>
        </w:tc>
        <w:tc>
          <w:tcPr>
            <w:tcW w:type="dxa" w:w="8208"/>
            <w:shd w:fill="FFFFFF"/>
            <w:tcBorders>
              <w:top w:val="single" w:sz="3" w:color="D9E2EC"/>
              <w:left w:val="single" w:sz="3" w:color="D9E2EC"/>
              <w:bottom w:val="single" w:sz="3" w:color="D9E2EC"/>
              <w:right w:val="single" w:sz="3" w:color="D9E2EC"/>
            </w:tcBorders>
            <w:vAlign w:val="top"/>
            <w:tcMar>
              <w:top w:w="90" w:type="dxa"/>
              <w:start w:w="100" w:type="dxa"/>
              <w:bottom w:w="90" w:type="dxa"/>
              <w:end w:w="100" w:type="dxa"/>
            </w:tcMar>
          </w:tcPr>
          <w:p>
            <w:pPr>
              <w:spacing w:after="0" w:line="252" w:lineRule="auto"/>
            </w:pPr>
            <w:r/>
            <w:r>
              <w:rPr>
                <w:rFonts w:ascii="Aptos" w:hAnsi="Aptos"/>
                <w:b w:val="0"/>
                <w:color w:val="243B53"/>
                <w:sz w:val="15"/>
              </w:rPr>
              <w:t>Add explicit schema validation for all persisted insight categories and source/concept linkage.</w:t>
            </w:r>
          </w:p>
        </w:tc>
      </w:tr>
    </w:tbl>
    <w:p>
      <w:pPr>
        <w:spacing w:after="0"/>
      </w:pPr>
    </w:p>
    <w:p>
      <w:pPr>
        <w:pStyle w:val="Heading1"/>
      </w:pPr>
      <w:r>
        <w:t>15. Configuration And Deployment</w:t>
      </w:r>
    </w:p>
    <w:p>
      <w:r>
        <w:t>Configuration is loaded by pydantic-settings in backend/app/config.py. The deployment image runs Uvicorn on 0.0.0.0:8000. Fly uses /health for service checks and currently has auto-stop disabled with one minimum machine in the repository configuration.</w:t>
      </w:r>
    </w:p>
    <w:tbl>
      <w:tblPr>
        <w:tblW w:type="auto" w:w="0"/>
        <w:jc w:val="left"/>
        <w:tblLayout w:type="fixed"/>
        <w:tblLook w:firstColumn="1" w:firstRow="1" w:lastColumn="0" w:lastRow="0" w:noHBand="0" w:noVBand="1" w:val="04A0"/>
      </w:tblPr>
      <w:tblGrid>
        <w:gridCol w:w="3331"/>
        <w:gridCol w:w="3331"/>
        <w:gridCol w:w="3331"/>
      </w:tblGrid>
      <w:tr>
        <w:trPr>
          <w:tblHeader w:val="true"/>
        </w:trPr>
        <w:tc>
          <w:tcPr>
            <w:tcW w:type="dxa" w:w="1800"/>
            <w:shd w:fill="102A43"/>
            <w:tcBorders>
              <w:top w:val="single" w:sz="4" w:color="102A43"/>
              <w:left w:val="single" w:sz="4" w:color="102A43"/>
              <w:bottom w:val="single" w:sz="4" w:color="102A43"/>
              <w:right w:val="single" w:sz="4" w:color="102A43"/>
            </w:tcBorders>
            <w:vAlign w:val="top"/>
            <w:tcMar>
              <w:top w:w="90" w:type="dxa"/>
              <w:start w:w="100" w:type="dxa"/>
              <w:bottom w:w="90" w:type="dxa"/>
              <w:end w:w="100" w:type="dxa"/>
            </w:tcMar>
          </w:tcPr>
          <w:p>
            <w:pPr>
              <w:spacing w:after="0" w:line="252" w:lineRule="auto"/>
            </w:pPr>
            <w:r/>
            <w:r>
              <w:rPr>
                <w:rFonts w:ascii="Aptos" w:hAnsi="Aptos"/>
                <w:b/>
                <w:color w:val="FFFFFF"/>
                <w:sz w:val="14"/>
              </w:rPr>
              <w:t>GROUP</w:t>
            </w:r>
          </w:p>
        </w:tc>
        <w:tc>
          <w:tcPr>
            <w:tcW w:type="dxa" w:w="4608"/>
            <w:shd w:fill="102A43"/>
            <w:tcBorders>
              <w:top w:val="single" w:sz="4" w:color="102A43"/>
              <w:left w:val="single" w:sz="4" w:color="102A43"/>
              <w:bottom w:val="single" w:sz="4" w:color="102A43"/>
              <w:right w:val="single" w:sz="4" w:color="102A43"/>
            </w:tcBorders>
            <w:vAlign w:val="top"/>
            <w:tcMar>
              <w:top w:w="90" w:type="dxa"/>
              <w:start w:w="100" w:type="dxa"/>
              <w:bottom w:w="90" w:type="dxa"/>
              <w:end w:w="100" w:type="dxa"/>
            </w:tcMar>
          </w:tcPr>
          <w:p>
            <w:pPr>
              <w:spacing w:after="0" w:line="252" w:lineRule="auto"/>
            </w:pPr>
            <w:r/>
            <w:r>
              <w:rPr>
                <w:rFonts w:ascii="Aptos" w:hAnsi="Aptos"/>
                <w:b/>
                <w:color w:val="FFFFFF"/>
                <w:sz w:val="14"/>
              </w:rPr>
              <w:t>VARIABLES</w:t>
            </w:r>
          </w:p>
        </w:tc>
        <w:tc>
          <w:tcPr>
            <w:tcW w:type="dxa" w:w="2951"/>
            <w:shd w:fill="102A43"/>
            <w:tcBorders>
              <w:top w:val="single" w:sz="4" w:color="102A43"/>
              <w:left w:val="single" w:sz="4" w:color="102A43"/>
              <w:bottom w:val="single" w:sz="4" w:color="102A43"/>
              <w:right w:val="single" w:sz="4" w:color="102A43"/>
            </w:tcBorders>
            <w:vAlign w:val="top"/>
            <w:tcMar>
              <w:top w:w="90" w:type="dxa"/>
              <w:start w:w="100" w:type="dxa"/>
              <w:bottom w:w="90" w:type="dxa"/>
              <w:end w:w="100" w:type="dxa"/>
            </w:tcMar>
          </w:tcPr>
          <w:p>
            <w:pPr>
              <w:spacing w:after="0" w:line="252" w:lineRule="auto"/>
            </w:pPr>
            <w:r/>
            <w:r>
              <w:rPr>
                <w:rFonts w:ascii="Aptos" w:hAnsi="Aptos"/>
                <w:b/>
                <w:color w:val="FFFFFF"/>
                <w:sz w:val="14"/>
              </w:rPr>
              <w:t>ROLE</w:t>
            </w:r>
          </w:p>
        </w:tc>
      </w:tr>
      <w:tr>
        <w:tc>
          <w:tcPr>
            <w:tcW w:type="dxa" w:w="1800"/>
            <w:shd w:fill="FFFFFF"/>
            <w:tcBorders>
              <w:top w:val="single" w:sz="3" w:color="D9E2EC"/>
              <w:left w:val="single" w:sz="3" w:color="D9E2EC"/>
              <w:bottom w:val="single" w:sz="3" w:color="D9E2EC"/>
              <w:right w:val="single" w:sz="3" w:color="D9E2EC"/>
            </w:tcBorders>
            <w:vAlign w:val="top"/>
            <w:tcMar>
              <w:top w:w="90" w:type="dxa"/>
              <w:start w:w="100" w:type="dxa"/>
              <w:bottom w:w="90" w:type="dxa"/>
              <w:end w:w="100" w:type="dxa"/>
            </w:tcMar>
          </w:tcPr>
          <w:p>
            <w:pPr>
              <w:spacing w:after="0" w:line="252" w:lineRule="auto"/>
            </w:pPr>
            <w:r/>
            <w:r>
              <w:rPr>
                <w:rFonts w:ascii="Aptos" w:hAnsi="Aptos"/>
                <w:b w:val="0"/>
                <w:color w:val="243B53"/>
                <w:sz w:val="15"/>
              </w:rPr>
              <w:t>Neo4j</w:t>
            </w:r>
          </w:p>
        </w:tc>
        <w:tc>
          <w:tcPr>
            <w:tcW w:type="dxa" w:w="4608"/>
            <w:shd w:fill="FFFFFF"/>
            <w:tcBorders>
              <w:top w:val="single" w:sz="3" w:color="D9E2EC"/>
              <w:left w:val="single" w:sz="3" w:color="D9E2EC"/>
              <w:bottom w:val="single" w:sz="3" w:color="D9E2EC"/>
              <w:right w:val="single" w:sz="3" w:color="D9E2EC"/>
            </w:tcBorders>
            <w:vAlign w:val="top"/>
            <w:tcMar>
              <w:top w:w="90" w:type="dxa"/>
              <w:start w:w="100" w:type="dxa"/>
              <w:bottom w:w="90" w:type="dxa"/>
              <w:end w:w="100" w:type="dxa"/>
            </w:tcMar>
          </w:tcPr>
          <w:p>
            <w:pPr>
              <w:spacing w:after="0" w:line="252" w:lineRule="auto"/>
            </w:pPr>
            <w:r/>
            <w:r>
              <w:rPr>
                <w:rFonts w:ascii="Aptos" w:hAnsi="Aptos"/>
                <w:b w:val="0"/>
                <w:color w:val="243B53"/>
                <w:sz w:val="15"/>
              </w:rPr>
              <w:t>NEO4J_URI, NEO4J_USER, NEO4J_PASSWORD</w:t>
            </w:r>
          </w:p>
        </w:tc>
        <w:tc>
          <w:tcPr>
            <w:tcW w:type="dxa" w:w="2951"/>
            <w:shd w:fill="FFFFFF"/>
            <w:tcBorders>
              <w:top w:val="single" w:sz="3" w:color="D9E2EC"/>
              <w:left w:val="single" w:sz="3" w:color="D9E2EC"/>
              <w:bottom w:val="single" w:sz="3" w:color="D9E2EC"/>
              <w:right w:val="single" w:sz="3" w:color="D9E2EC"/>
            </w:tcBorders>
            <w:vAlign w:val="top"/>
            <w:tcMar>
              <w:top w:w="90" w:type="dxa"/>
              <w:start w:w="100" w:type="dxa"/>
              <w:bottom w:w="90" w:type="dxa"/>
              <w:end w:w="100" w:type="dxa"/>
            </w:tcMar>
          </w:tcPr>
          <w:p>
            <w:pPr>
              <w:spacing w:after="0" w:line="252" w:lineRule="auto"/>
            </w:pPr>
            <w:r/>
            <w:r>
              <w:rPr>
                <w:rFonts w:ascii="Aptos" w:hAnsi="Aptos"/>
                <w:b w:val="0"/>
                <w:color w:val="243B53"/>
                <w:sz w:val="15"/>
              </w:rPr>
              <w:t>Graph database connection</w:t>
            </w:r>
          </w:p>
        </w:tc>
      </w:tr>
      <w:tr>
        <w:tc>
          <w:tcPr>
            <w:tcW w:type="dxa" w:w="1800"/>
            <w:shd w:fill="F4F7FA"/>
            <w:tcBorders>
              <w:top w:val="single" w:sz="3" w:color="D9E2EC"/>
              <w:left w:val="single" w:sz="3" w:color="D9E2EC"/>
              <w:bottom w:val="single" w:sz="3" w:color="D9E2EC"/>
              <w:right w:val="single" w:sz="3" w:color="D9E2EC"/>
            </w:tcBorders>
            <w:vAlign w:val="top"/>
            <w:tcMar>
              <w:top w:w="90" w:type="dxa"/>
              <w:start w:w="100" w:type="dxa"/>
              <w:bottom w:w="90" w:type="dxa"/>
              <w:end w:w="100" w:type="dxa"/>
            </w:tcMar>
          </w:tcPr>
          <w:p>
            <w:pPr>
              <w:spacing w:after="0" w:line="252" w:lineRule="auto"/>
            </w:pPr>
            <w:r/>
            <w:r>
              <w:rPr>
                <w:rFonts w:ascii="Aptos" w:hAnsi="Aptos"/>
                <w:b w:val="0"/>
                <w:color w:val="243B53"/>
                <w:sz w:val="15"/>
              </w:rPr>
              <w:t>Firebase</w:t>
            </w:r>
          </w:p>
        </w:tc>
        <w:tc>
          <w:tcPr>
            <w:tcW w:type="dxa" w:w="4608"/>
            <w:shd w:fill="F4F7FA"/>
            <w:tcBorders>
              <w:top w:val="single" w:sz="3" w:color="D9E2EC"/>
              <w:left w:val="single" w:sz="3" w:color="D9E2EC"/>
              <w:bottom w:val="single" w:sz="3" w:color="D9E2EC"/>
              <w:right w:val="single" w:sz="3" w:color="D9E2EC"/>
            </w:tcBorders>
            <w:vAlign w:val="top"/>
            <w:tcMar>
              <w:top w:w="90" w:type="dxa"/>
              <w:start w:w="100" w:type="dxa"/>
              <w:bottom w:w="90" w:type="dxa"/>
              <w:end w:w="100" w:type="dxa"/>
            </w:tcMar>
          </w:tcPr>
          <w:p>
            <w:pPr>
              <w:spacing w:after="0" w:line="252" w:lineRule="auto"/>
            </w:pPr>
            <w:r/>
            <w:r>
              <w:rPr>
                <w:rFonts w:ascii="Aptos" w:hAnsi="Aptos"/>
                <w:b w:val="0"/>
                <w:color w:val="243B53"/>
                <w:sz w:val="15"/>
              </w:rPr>
              <w:t>FIREBASE_SERVICE_ACCOUNT or FIREBASE_SERVICE_ACCOUNT_JSON</w:t>
            </w:r>
          </w:p>
        </w:tc>
        <w:tc>
          <w:tcPr>
            <w:tcW w:type="dxa" w:w="2951"/>
            <w:shd w:fill="F4F7FA"/>
            <w:tcBorders>
              <w:top w:val="single" w:sz="3" w:color="D9E2EC"/>
              <w:left w:val="single" w:sz="3" w:color="D9E2EC"/>
              <w:bottom w:val="single" w:sz="3" w:color="D9E2EC"/>
              <w:right w:val="single" w:sz="3" w:color="D9E2EC"/>
            </w:tcBorders>
            <w:vAlign w:val="top"/>
            <w:tcMar>
              <w:top w:w="90" w:type="dxa"/>
              <w:start w:w="100" w:type="dxa"/>
              <w:bottom w:w="90" w:type="dxa"/>
              <w:end w:w="100" w:type="dxa"/>
            </w:tcMar>
          </w:tcPr>
          <w:p>
            <w:pPr>
              <w:spacing w:after="0" w:line="252" w:lineRule="auto"/>
            </w:pPr>
            <w:r/>
            <w:r>
              <w:rPr>
                <w:rFonts w:ascii="Aptos" w:hAnsi="Aptos"/>
                <w:b w:val="0"/>
                <w:color w:val="243B53"/>
                <w:sz w:val="15"/>
              </w:rPr>
              <w:t>Server-side token verification and claims administration</w:t>
            </w:r>
          </w:p>
        </w:tc>
      </w:tr>
      <w:tr>
        <w:tc>
          <w:tcPr>
            <w:tcW w:type="dxa" w:w="1800"/>
            <w:shd w:fill="FFFFFF"/>
            <w:tcBorders>
              <w:top w:val="single" w:sz="3" w:color="D9E2EC"/>
              <w:left w:val="single" w:sz="3" w:color="D9E2EC"/>
              <w:bottom w:val="single" w:sz="3" w:color="D9E2EC"/>
              <w:right w:val="single" w:sz="3" w:color="D9E2EC"/>
            </w:tcBorders>
            <w:vAlign w:val="top"/>
            <w:tcMar>
              <w:top w:w="90" w:type="dxa"/>
              <w:start w:w="100" w:type="dxa"/>
              <w:bottom w:w="90" w:type="dxa"/>
              <w:end w:w="100" w:type="dxa"/>
            </w:tcMar>
          </w:tcPr>
          <w:p>
            <w:pPr>
              <w:spacing w:after="0" w:line="252" w:lineRule="auto"/>
            </w:pPr>
            <w:r/>
            <w:r>
              <w:rPr>
                <w:rFonts w:ascii="Aptos" w:hAnsi="Aptos"/>
                <w:b w:val="0"/>
                <w:color w:val="243B53"/>
                <w:sz w:val="15"/>
              </w:rPr>
              <w:t>LLM</w:t>
            </w:r>
          </w:p>
        </w:tc>
        <w:tc>
          <w:tcPr>
            <w:tcW w:type="dxa" w:w="4608"/>
            <w:shd w:fill="FFFFFF"/>
            <w:tcBorders>
              <w:top w:val="single" w:sz="3" w:color="D9E2EC"/>
              <w:left w:val="single" w:sz="3" w:color="D9E2EC"/>
              <w:bottom w:val="single" w:sz="3" w:color="D9E2EC"/>
              <w:right w:val="single" w:sz="3" w:color="D9E2EC"/>
            </w:tcBorders>
            <w:vAlign w:val="top"/>
            <w:tcMar>
              <w:top w:w="90" w:type="dxa"/>
              <w:start w:w="100" w:type="dxa"/>
              <w:bottom w:w="90" w:type="dxa"/>
              <w:end w:w="100" w:type="dxa"/>
            </w:tcMar>
          </w:tcPr>
          <w:p>
            <w:pPr>
              <w:spacing w:after="0" w:line="252" w:lineRule="auto"/>
            </w:pPr>
            <w:r/>
            <w:r>
              <w:rPr>
                <w:rFonts w:ascii="Aptos" w:hAnsi="Aptos"/>
                <w:b w:val="0"/>
                <w:color w:val="243B53"/>
                <w:sz w:val="15"/>
              </w:rPr>
              <w:t>GEMINI_API_KEY, FIREWORKS_API_KEY, FIREWORKS_API_KEY_EMBEDDINGS, CEREBRAS_API_KEY plus base URLs/models</w:t>
            </w:r>
          </w:p>
        </w:tc>
        <w:tc>
          <w:tcPr>
            <w:tcW w:type="dxa" w:w="2951"/>
            <w:shd w:fill="FFFFFF"/>
            <w:tcBorders>
              <w:top w:val="single" w:sz="3" w:color="D9E2EC"/>
              <w:left w:val="single" w:sz="3" w:color="D9E2EC"/>
              <w:bottom w:val="single" w:sz="3" w:color="D9E2EC"/>
              <w:right w:val="single" w:sz="3" w:color="D9E2EC"/>
            </w:tcBorders>
            <w:vAlign w:val="top"/>
            <w:tcMar>
              <w:top w:w="90" w:type="dxa"/>
              <w:start w:w="100" w:type="dxa"/>
              <w:bottom w:w="90" w:type="dxa"/>
              <w:end w:w="100" w:type="dxa"/>
            </w:tcMar>
          </w:tcPr>
          <w:p>
            <w:pPr>
              <w:spacing w:after="0" w:line="252" w:lineRule="auto"/>
            </w:pPr>
            <w:r/>
            <w:r>
              <w:rPr>
                <w:rFonts w:ascii="Aptos" w:hAnsi="Aptos"/>
                <w:b w:val="0"/>
                <w:color w:val="243B53"/>
                <w:sz w:val="15"/>
              </w:rPr>
              <w:t>Generation, evaluation, and embeddings</w:t>
            </w:r>
          </w:p>
        </w:tc>
      </w:tr>
      <w:tr>
        <w:tc>
          <w:tcPr>
            <w:tcW w:type="dxa" w:w="1800"/>
            <w:shd w:fill="F4F7FA"/>
            <w:tcBorders>
              <w:top w:val="single" w:sz="3" w:color="D9E2EC"/>
              <w:left w:val="single" w:sz="3" w:color="D9E2EC"/>
              <w:bottom w:val="single" w:sz="3" w:color="D9E2EC"/>
              <w:right w:val="single" w:sz="3" w:color="D9E2EC"/>
            </w:tcBorders>
            <w:vAlign w:val="top"/>
            <w:tcMar>
              <w:top w:w="90" w:type="dxa"/>
              <w:start w:w="100" w:type="dxa"/>
              <w:bottom w:w="90" w:type="dxa"/>
              <w:end w:w="100" w:type="dxa"/>
            </w:tcMar>
          </w:tcPr>
          <w:p>
            <w:pPr>
              <w:spacing w:after="0" w:line="252" w:lineRule="auto"/>
            </w:pPr>
            <w:r/>
            <w:r>
              <w:rPr>
                <w:rFonts w:ascii="Aptos" w:hAnsi="Aptos"/>
                <w:b w:val="0"/>
                <w:color w:val="243B53"/>
                <w:sz w:val="15"/>
              </w:rPr>
              <w:t>Telemetry</w:t>
            </w:r>
          </w:p>
        </w:tc>
        <w:tc>
          <w:tcPr>
            <w:tcW w:type="dxa" w:w="4608"/>
            <w:shd w:fill="F4F7FA"/>
            <w:tcBorders>
              <w:top w:val="single" w:sz="3" w:color="D9E2EC"/>
              <w:left w:val="single" w:sz="3" w:color="D9E2EC"/>
              <w:bottom w:val="single" w:sz="3" w:color="D9E2EC"/>
              <w:right w:val="single" w:sz="3" w:color="D9E2EC"/>
            </w:tcBorders>
            <w:vAlign w:val="top"/>
            <w:tcMar>
              <w:top w:w="90" w:type="dxa"/>
              <w:start w:w="100" w:type="dxa"/>
              <w:bottom w:w="90" w:type="dxa"/>
              <w:end w:w="100" w:type="dxa"/>
            </w:tcMar>
          </w:tcPr>
          <w:p>
            <w:pPr>
              <w:spacing w:after="0" w:line="252" w:lineRule="auto"/>
            </w:pPr>
            <w:r>
              <w:t>OTEL_ENABLED, OTEL_SERVICE_NAME, OTEL_EXPORTER_OTLP_ENDPOINT, OTEL_EXPORTER_OTLP_METRICS_ENDPOINT, OTEL_EXPORTER_OTLP_HEADERS, OTEL_METRIC_EXPORT_INTERVAL_MS, OTEL_SAMPLE_RATIO, OTEL_CAPTURE_CONTENT</w:t>
            </w:r>
          </w:p>
        </w:tc>
        <w:tc>
          <w:tcPr>
            <w:tcW w:type="dxa" w:w="2951"/>
            <w:shd w:fill="F4F7FA"/>
            <w:tcBorders>
              <w:top w:val="single" w:sz="3" w:color="D9E2EC"/>
              <w:left w:val="single" w:sz="3" w:color="D9E2EC"/>
              <w:bottom w:val="single" w:sz="3" w:color="D9E2EC"/>
              <w:right w:val="single" w:sz="3" w:color="D9E2EC"/>
            </w:tcBorders>
            <w:vAlign w:val="top"/>
            <w:tcMar>
              <w:top w:w="90" w:type="dxa"/>
              <w:start w:w="100" w:type="dxa"/>
              <w:bottom w:w="90" w:type="dxa"/>
              <w:end w:w="100" w:type="dxa"/>
            </w:tcMar>
          </w:tcPr>
          <w:p>
            <w:pPr>
              <w:spacing w:after="0" w:line="252" w:lineRule="auto"/>
            </w:pPr>
            <w:r>
              <w:t>Optional OpenTelemetry/OpenInference traces and stage-duration metrics over OTLP HTTP</w:t>
            </w:r>
          </w:p>
        </w:tc>
      </w:tr>
      <w:tr>
        <w:tc>
          <w:tcPr>
            <w:tcW w:type="dxa" w:w="1800"/>
            <w:shd w:fill="FFFFFF"/>
            <w:tcBorders>
              <w:top w:val="single" w:sz="3" w:color="D9E2EC"/>
              <w:left w:val="single" w:sz="3" w:color="D9E2EC"/>
              <w:bottom w:val="single" w:sz="3" w:color="D9E2EC"/>
              <w:right w:val="single" w:sz="3" w:color="D9E2EC"/>
            </w:tcBorders>
            <w:vAlign w:val="top"/>
            <w:tcMar>
              <w:top w:w="90" w:type="dxa"/>
              <w:start w:w="100" w:type="dxa"/>
              <w:bottom w:w="90" w:type="dxa"/>
              <w:end w:w="100" w:type="dxa"/>
            </w:tcMar>
          </w:tcPr>
          <w:p>
            <w:pPr>
              <w:spacing w:after="0" w:line="252" w:lineRule="auto"/>
            </w:pPr>
            <w:r/>
            <w:r>
              <w:rPr>
                <w:rFonts w:ascii="Aptos" w:hAnsi="Aptos"/>
                <w:b w:val="0"/>
                <w:color w:val="243B53"/>
                <w:sz w:val="15"/>
              </w:rPr>
              <w:t>Generation cache</w:t>
            </w:r>
          </w:p>
        </w:tc>
        <w:tc>
          <w:tcPr>
            <w:tcW w:type="dxa" w:w="4608"/>
            <w:shd w:fill="FFFFFF"/>
            <w:tcBorders>
              <w:top w:val="single" w:sz="3" w:color="D9E2EC"/>
              <w:left w:val="single" w:sz="3" w:color="D9E2EC"/>
              <w:bottom w:val="single" w:sz="3" w:color="D9E2EC"/>
              <w:right w:val="single" w:sz="3" w:color="D9E2EC"/>
            </w:tcBorders>
            <w:vAlign w:val="top"/>
            <w:tcMar>
              <w:top w:w="90" w:type="dxa"/>
              <w:start w:w="100" w:type="dxa"/>
              <w:bottom w:w="90" w:type="dxa"/>
              <w:end w:w="100" w:type="dxa"/>
            </w:tcMar>
          </w:tcPr>
          <w:p>
            <w:pPr>
              <w:spacing w:after="0" w:line="252" w:lineRule="auto"/>
            </w:pPr>
            <w:r/>
            <w:r>
              <w:rPr>
                <w:rFonts w:ascii="Aptos" w:hAnsi="Aptos"/>
                <w:b w:val="0"/>
                <w:color w:val="243B53"/>
                <w:sz w:val="15"/>
              </w:rPr>
              <w:t>GEN_CACHE_TTL_SECONDS, GEN_CACHE_MAX_ENTRIES, GEN_PROMPT_VERSION</w:t>
            </w:r>
          </w:p>
        </w:tc>
        <w:tc>
          <w:tcPr>
            <w:tcW w:type="dxa" w:w="2951"/>
            <w:shd w:fill="FFFFFF"/>
            <w:tcBorders>
              <w:top w:val="single" w:sz="3" w:color="D9E2EC"/>
              <w:left w:val="single" w:sz="3" w:color="D9E2EC"/>
              <w:bottom w:val="single" w:sz="3" w:color="D9E2EC"/>
              <w:right w:val="single" w:sz="3" w:color="D9E2EC"/>
            </w:tcBorders>
            <w:vAlign w:val="top"/>
            <w:tcMar>
              <w:top w:w="90" w:type="dxa"/>
              <w:start w:w="100" w:type="dxa"/>
              <w:bottom w:w="90" w:type="dxa"/>
              <w:end w:w="100" w:type="dxa"/>
            </w:tcMar>
          </w:tcPr>
          <w:p>
            <w:pPr>
              <w:spacing w:after="0" w:line="252" w:lineRule="auto"/>
            </w:pPr>
            <w:r/>
            <w:r>
              <w:rPr>
                <w:rFonts w:ascii="Aptos" w:hAnsi="Aptos"/>
                <w:b w:val="0"/>
                <w:color w:val="243B53"/>
                <w:sz w:val="15"/>
              </w:rPr>
              <w:t>Local/remote generation cache policy</w:t>
            </w:r>
          </w:p>
        </w:tc>
      </w:tr>
      <w:tr>
        <w:tc>
          <w:tcPr>
            <w:tcW w:type="dxa" w:w="1800"/>
            <w:shd w:fill="F4F7FA"/>
            <w:tcBorders>
              <w:top w:val="single" w:sz="3" w:color="D9E2EC"/>
              <w:left w:val="single" w:sz="3" w:color="D9E2EC"/>
              <w:bottom w:val="single" w:sz="3" w:color="D9E2EC"/>
              <w:right w:val="single" w:sz="3" w:color="D9E2EC"/>
            </w:tcBorders>
            <w:vAlign w:val="top"/>
            <w:tcMar>
              <w:top w:w="90" w:type="dxa"/>
              <w:start w:w="100" w:type="dxa"/>
              <w:bottom w:w="90" w:type="dxa"/>
              <w:end w:w="100" w:type="dxa"/>
            </w:tcMar>
          </w:tcPr>
          <w:p>
            <w:pPr>
              <w:spacing w:after="0" w:line="252" w:lineRule="auto"/>
            </w:pPr>
            <w:r/>
            <w:r>
              <w:rPr>
                <w:rFonts w:ascii="Aptos" w:hAnsi="Aptos"/>
                <w:b w:val="0"/>
                <w:color w:val="243B53"/>
                <w:sz w:val="15"/>
              </w:rPr>
              <w:t>Upstash</w:t>
            </w:r>
          </w:p>
        </w:tc>
        <w:tc>
          <w:tcPr>
            <w:tcW w:type="dxa" w:w="4608"/>
            <w:shd w:fill="F4F7FA"/>
            <w:tcBorders>
              <w:top w:val="single" w:sz="3" w:color="D9E2EC"/>
              <w:left w:val="single" w:sz="3" w:color="D9E2EC"/>
              <w:bottom w:val="single" w:sz="3" w:color="D9E2EC"/>
              <w:right w:val="single" w:sz="3" w:color="D9E2EC"/>
            </w:tcBorders>
            <w:vAlign w:val="top"/>
            <w:tcMar>
              <w:top w:w="90" w:type="dxa"/>
              <w:start w:w="100" w:type="dxa"/>
              <w:bottom w:w="90" w:type="dxa"/>
              <w:end w:w="100" w:type="dxa"/>
            </w:tcMar>
          </w:tcPr>
          <w:p>
            <w:pPr>
              <w:spacing w:after="0" w:line="252" w:lineRule="auto"/>
            </w:pPr>
            <w:r/>
            <w:r>
              <w:rPr>
                <w:rFonts w:ascii="Aptos" w:hAnsi="Aptos"/>
                <w:b w:val="0"/>
                <w:color w:val="243B53"/>
                <w:sz w:val="15"/>
              </w:rPr>
              <w:t>UPSTASH_REDIS_REST_URL, UPSTASH_REDIS_REST_TOKEN</w:t>
            </w:r>
          </w:p>
        </w:tc>
        <w:tc>
          <w:tcPr>
            <w:tcW w:type="dxa" w:w="2951"/>
            <w:shd w:fill="F4F7FA"/>
            <w:tcBorders>
              <w:top w:val="single" w:sz="3" w:color="D9E2EC"/>
              <w:left w:val="single" w:sz="3" w:color="D9E2EC"/>
              <w:bottom w:val="single" w:sz="3" w:color="D9E2EC"/>
              <w:right w:val="single" w:sz="3" w:color="D9E2EC"/>
            </w:tcBorders>
            <w:vAlign w:val="top"/>
            <w:tcMar>
              <w:top w:w="90" w:type="dxa"/>
              <w:start w:w="100" w:type="dxa"/>
              <w:bottom w:w="90" w:type="dxa"/>
              <w:end w:w="100" w:type="dxa"/>
            </w:tcMar>
          </w:tcPr>
          <w:p>
            <w:pPr>
              <w:spacing w:after="0" w:line="252" w:lineRule="auto"/>
            </w:pPr>
            <w:r/>
            <w:r>
              <w:rPr>
                <w:rFonts w:ascii="Aptos" w:hAnsi="Aptos"/>
                <w:b w:val="0"/>
                <w:color w:val="243B53"/>
                <w:sz w:val="15"/>
              </w:rPr>
              <w:t>Optional shared generation cache</w:t>
            </w:r>
          </w:p>
        </w:tc>
      </w:tr>
      <w:tr>
        <w:tc>
          <w:tcPr>
            <w:tcW w:type="dxa" w:w="1800"/>
            <w:shd w:fill="FFFFFF"/>
            <w:tcBorders>
              <w:top w:val="single" w:sz="3" w:color="D9E2EC"/>
              <w:left w:val="single" w:sz="3" w:color="D9E2EC"/>
              <w:bottom w:val="single" w:sz="3" w:color="D9E2EC"/>
              <w:right w:val="single" w:sz="3" w:color="D9E2EC"/>
            </w:tcBorders>
            <w:vAlign w:val="top"/>
            <w:tcMar>
              <w:top w:w="90" w:type="dxa"/>
              <w:start w:w="100" w:type="dxa"/>
              <w:bottom w:w="90" w:type="dxa"/>
              <w:end w:w="100" w:type="dxa"/>
            </w:tcMar>
          </w:tcPr>
          <w:p>
            <w:pPr>
              <w:spacing w:after="0" w:line="252" w:lineRule="auto"/>
            </w:pPr>
            <w:r/>
            <w:r>
              <w:rPr>
                <w:rFonts w:ascii="Aptos" w:hAnsi="Aptos"/>
                <w:b w:val="0"/>
                <w:color w:val="243B53"/>
                <w:sz w:val="15"/>
              </w:rPr>
              <w:t>Frontend/CORS</w:t>
            </w:r>
          </w:p>
        </w:tc>
        <w:tc>
          <w:tcPr>
            <w:tcW w:type="dxa" w:w="4608"/>
            <w:shd w:fill="FFFFFF"/>
            <w:tcBorders>
              <w:top w:val="single" w:sz="3" w:color="D9E2EC"/>
              <w:left w:val="single" w:sz="3" w:color="D9E2EC"/>
              <w:bottom w:val="single" w:sz="3" w:color="D9E2EC"/>
              <w:right w:val="single" w:sz="3" w:color="D9E2EC"/>
            </w:tcBorders>
            <w:vAlign w:val="top"/>
            <w:tcMar>
              <w:top w:w="90" w:type="dxa"/>
              <w:start w:w="100" w:type="dxa"/>
              <w:bottom w:w="90" w:type="dxa"/>
              <w:end w:w="100" w:type="dxa"/>
            </w:tcMar>
          </w:tcPr>
          <w:p>
            <w:pPr>
              <w:spacing w:after="0" w:line="252" w:lineRule="auto"/>
            </w:pPr>
            <w:r/>
            <w:r>
              <w:rPr>
                <w:rFonts w:ascii="Aptos" w:hAnsi="Aptos"/>
                <w:b w:val="0"/>
                <w:color w:val="243B53"/>
                <w:sz w:val="15"/>
              </w:rPr>
              <w:t>FRONTEND_URL, CORS_ORIGINS</w:t>
            </w:r>
          </w:p>
        </w:tc>
        <w:tc>
          <w:tcPr>
            <w:tcW w:type="dxa" w:w="2951"/>
            <w:shd w:fill="FFFFFF"/>
            <w:tcBorders>
              <w:top w:val="single" w:sz="3" w:color="D9E2EC"/>
              <w:left w:val="single" w:sz="3" w:color="D9E2EC"/>
              <w:bottom w:val="single" w:sz="3" w:color="D9E2EC"/>
              <w:right w:val="single" w:sz="3" w:color="D9E2EC"/>
            </w:tcBorders>
            <w:vAlign w:val="top"/>
            <w:tcMar>
              <w:top w:w="90" w:type="dxa"/>
              <w:start w:w="100" w:type="dxa"/>
              <w:bottom w:w="90" w:type="dxa"/>
              <w:end w:w="100" w:type="dxa"/>
            </w:tcMar>
          </w:tcPr>
          <w:p>
            <w:pPr>
              <w:spacing w:after="0" w:line="252" w:lineRule="auto"/>
            </w:pPr>
            <w:r/>
            <w:r>
              <w:rPr>
                <w:rFonts w:ascii="Aptos" w:hAnsi="Aptos"/>
                <w:b w:val="0"/>
                <w:color w:val="243B53"/>
                <w:sz w:val="15"/>
              </w:rPr>
              <w:t>Allowed browser origins and deployment integration</w:t>
            </w:r>
          </w:p>
        </w:tc>
      </w:tr>
      <w:tr>
        <w:tc>
          <w:tcPr>
            <w:tcW w:type="dxa" w:w="1800"/>
            <w:shd w:fill="F4F7FA"/>
            <w:tcBorders>
              <w:top w:val="single" w:sz="3" w:color="D9E2EC"/>
              <w:left w:val="single" w:sz="3" w:color="D9E2EC"/>
              <w:bottom w:val="single" w:sz="3" w:color="D9E2EC"/>
              <w:right w:val="single" w:sz="3" w:color="D9E2EC"/>
            </w:tcBorders>
            <w:vAlign w:val="top"/>
            <w:tcMar>
              <w:top w:w="90" w:type="dxa"/>
              <w:start w:w="100" w:type="dxa"/>
              <w:bottom w:w="90" w:type="dxa"/>
              <w:end w:w="100" w:type="dxa"/>
            </w:tcMar>
          </w:tcPr>
          <w:p>
            <w:pPr>
              <w:spacing w:after="0" w:line="252" w:lineRule="auto"/>
            </w:pPr>
            <w:r/>
            <w:r>
              <w:rPr>
                <w:rFonts w:ascii="Aptos" w:hAnsi="Aptos"/>
                <w:b w:val="0"/>
                <w:color w:val="243B53"/>
                <w:sz w:val="15"/>
              </w:rPr>
              <w:t>R2 assets</w:t>
            </w:r>
          </w:p>
        </w:tc>
        <w:tc>
          <w:tcPr>
            <w:tcW w:type="dxa" w:w="4608"/>
            <w:shd w:fill="F4F7FA"/>
            <w:tcBorders>
              <w:top w:val="single" w:sz="3" w:color="D9E2EC"/>
              <w:left w:val="single" w:sz="3" w:color="D9E2EC"/>
              <w:bottom w:val="single" w:sz="3" w:color="D9E2EC"/>
              <w:right w:val="single" w:sz="3" w:color="D9E2EC"/>
            </w:tcBorders>
            <w:vAlign w:val="top"/>
            <w:tcMar>
              <w:top w:w="90" w:type="dxa"/>
              <w:start w:w="100" w:type="dxa"/>
              <w:bottom w:w="90" w:type="dxa"/>
              <w:end w:w="100" w:type="dxa"/>
            </w:tcMar>
          </w:tcPr>
          <w:p>
            <w:pPr>
              <w:spacing w:after="0" w:line="252" w:lineRule="auto"/>
            </w:pPr>
            <w:r/>
            <w:r>
              <w:rPr>
                <w:rFonts w:ascii="Aptos" w:hAnsi="Aptos"/>
                <w:b w:val="0"/>
                <w:color w:val="243B53"/>
                <w:sz w:val="15"/>
              </w:rPr>
              <w:t>ANIMATIONS_R2_PUBLIC_BASE_URL, CHAPTER_COVERS_ASSETS_DOMAIN, CHAPTER_COVERS_PREFIX</w:t>
            </w:r>
          </w:p>
        </w:tc>
        <w:tc>
          <w:tcPr>
            <w:tcW w:type="dxa" w:w="2951"/>
            <w:shd w:fill="F4F7FA"/>
            <w:tcBorders>
              <w:top w:val="single" w:sz="3" w:color="D9E2EC"/>
              <w:left w:val="single" w:sz="3" w:color="D9E2EC"/>
              <w:bottom w:val="single" w:sz="3" w:color="D9E2EC"/>
              <w:right w:val="single" w:sz="3" w:color="D9E2EC"/>
            </w:tcBorders>
            <w:vAlign w:val="top"/>
            <w:tcMar>
              <w:top w:w="90" w:type="dxa"/>
              <w:start w:w="100" w:type="dxa"/>
              <w:bottom w:w="90" w:type="dxa"/>
              <w:end w:w="100" w:type="dxa"/>
            </w:tcMar>
          </w:tcPr>
          <w:p>
            <w:pPr>
              <w:spacing w:after="0" w:line="252" w:lineRule="auto"/>
            </w:pPr>
            <w:r/>
            <w:r>
              <w:rPr>
                <w:rFonts w:ascii="Aptos" w:hAnsi="Aptos"/>
                <w:b w:val="0"/>
                <w:color w:val="243B53"/>
                <w:sz w:val="15"/>
              </w:rPr>
              <w:t>Public curriculum media URLs</w:t>
            </w:r>
          </w:p>
        </w:tc>
      </w:tr>
    </w:tbl>
    <w:p>
      <w:pPr>
        <w:spacing w:after="0"/>
      </w:pPr>
    </w:p>
    <w:p>
      <w:pPr>
        <w:spacing w:after="40"/>
      </w:pPr>
      <w:r>
        <w:rPr>
          <w:b/>
          <w:color w:val="627D98"/>
          <w:sz w:val="16"/>
        </w:rPr>
        <w:t>Current Fly service shape</w:t>
      </w:r>
    </w:p>
    <w:tbl>
      <w:tblPr>
        <w:tblW w:type="auto" w:w="0"/>
        <w:jc w:val="left"/>
        <w:tblLayout w:type="fixed"/>
        <w:tblLook w:firstColumn="1" w:firstRow="1" w:lastColumn="0" w:lastRow="0" w:noHBand="0" w:noVBand="1" w:val="04A0"/>
      </w:tblPr>
      <w:tblGrid>
        <w:gridCol w:w="9994"/>
      </w:tblGrid>
      <w:tr>
        <w:trPr>
          <w:tblHeader w:val="true"/>
        </w:trPr>
        <w:tc>
          <w:tcPr>
            <w:tcW w:type="dxa" w:w="9994"/>
            <w:shd w:fill="F0F4F8"/>
            <w:tcBorders>
              <w:top w:val="single" w:sz="4" w:color="D9E2EC"/>
              <w:left w:val="single" w:sz="4" w:color="D9E2EC"/>
              <w:bottom w:val="single" w:sz="4" w:color="D9E2EC"/>
              <w:right w:val="single" w:sz="4" w:color="D9E2EC"/>
            </w:tcBorders>
            <w:tcMar>
              <w:top w:w="110" w:type="dxa"/>
              <w:start w:w="130" w:type="dxa"/>
              <w:bottom w:w="110" w:type="dxa"/>
              <w:end w:w="130" w:type="dxa"/>
            </w:tcMar>
          </w:tcPr>
          <w:p>
            <w:pPr>
              <w:spacing w:after="0" w:line="240" w:lineRule="auto"/>
            </w:pPr>
            <w:r/>
            <w:r>
              <w:rPr>
                <w:rFonts w:ascii="Consolas" w:hAnsi="Consolas"/>
                <w:color w:val="243B53"/>
                <w:sz w:val="15"/>
              </w:rPr>
              <w:t>[http_service]</w:t>
            </w:r>
          </w:p>
          <w:p>
            <w:pPr>
              <w:spacing w:after="0" w:line="240" w:lineRule="auto"/>
            </w:pPr>
            <w:r>
              <w:rPr>
                <w:rFonts w:ascii="Consolas" w:hAnsi="Consolas"/>
                <w:color w:val="243B53"/>
                <w:sz w:val="15"/>
              </w:rPr>
              <w:t xml:space="preserve">  internal_port = 8000</w:t>
            </w:r>
          </w:p>
          <w:p>
            <w:pPr>
              <w:spacing w:after="0" w:line="240" w:lineRule="auto"/>
            </w:pPr>
            <w:r>
              <w:rPr>
                <w:rFonts w:ascii="Consolas" w:hAnsi="Consolas"/>
                <w:color w:val="243B53"/>
                <w:sz w:val="15"/>
              </w:rPr>
              <w:t xml:space="preserve">  force_https = true</w:t>
            </w:r>
          </w:p>
          <w:p>
            <w:pPr>
              <w:spacing w:after="0" w:line="240" w:lineRule="auto"/>
            </w:pPr>
            <w:r>
              <w:rPr>
                <w:rFonts w:ascii="Consolas" w:hAnsi="Consolas"/>
                <w:color w:val="243B53"/>
                <w:sz w:val="15"/>
              </w:rPr>
              <w:t xml:space="preserve">  auto_stop_machines = 'off'</w:t>
            </w:r>
          </w:p>
          <w:p>
            <w:pPr>
              <w:spacing w:after="0" w:line="240" w:lineRule="auto"/>
            </w:pPr>
            <w:r>
              <w:rPr>
                <w:rFonts w:ascii="Consolas" w:hAnsi="Consolas"/>
                <w:color w:val="243B53"/>
                <w:sz w:val="15"/>
              </w:rPr>
              <w:t xml:space="preserve">  auto_start_machines = true</w:t>
            </w:r>
          </w:p>
          <w:p>
            <w:pPr>
              <w:spacing w:after="0" w:line="240" w:lineRule="auto"/>
            </w:pPr>
            <w:r>
              <w:rPr>
                <w:rFonts w:ascii="Consolas" w:hAnsi="Consolas"/>
                <w:color w:val="243B53"/>
                <w:sz w:val="15"/>
              </w:rPr>
              <w:t xml:space="preserve">  min_machines_running = 1</w:t>
            </w:r>
          </w:p>
          <w:p>
            <w:pPr>
              <w:spacing w:after="0" w:line="240" w:lineRule="auto"/>
            </w:pPr>
            <w:r>
              <w:rPr>
                <w:rFonts w:ascii="Consolas" w:hAnsi="Consolas"/>
                <w:color w:val="243B53"/>
                <w:sz w:val="15"/>
              </w:rPr>
            </w:r>
          </w:p>
          <w:p>
            <w:pPr>
              <w:spacing w:after="0" w:line="240" w:lineRule="auto"/>
            </w:pPr>
            <w:r>
              <w:rPr>
                <w:rFonts w:ascii="Consolas" w:hAnsi="Consolas"/>
                <w:color w:val="243B53"/>
                <w:sz w:val="15"/>
              </w:rPr>
              <w:t>[[http_service.checks]]</w:t>
            </w:r>
          </w:p>
          <w:p>
            <w:pPr>
              <w:spacing w:after="0" w:line="240" w:lineRule="auto"/>
            </w:pPr>
            <w:r>
              <w:rPr>
                <w:rFonts w:ascii="Consolas" w:hAnsi="Consolas"/>
                <w:color w:val="243B53"/>
                <w:sz w:val="15"/>
              </w:rPr>
              <w:t xml:space="preserve">  method = 'GET'</w:t>
            </w:r>
          </w:p>
          <w:p>
            <w:pPr>
              <w:spacing w:after="0" w:line="240" w:lineRule="auto"/>
            </w:pPr>
            <w:r>
              <w:rPr>
                <w:rFonts w:ascii="Consolas" w:hAnsi="Consolas"/>
                <w:color w:val="243B53"/>
                <w:sz w:val="15"/>
              </w:rPr>
              <w:t xml:space="preserve">  path = '/health'</w:t>
            </w:r>
          </w:p>
          <w:p>
            <w:pPr>
              <w:spacing w:after="0" w:line="240" w:lineRule="auto"/>
            </w:pPr>
            <w:r>
              <w:rPr>
                <w:rFonts w:ascii="Consolas" w:hAnsi="Consolas"/>
                <w:color w:val="243B53"/>
                <w:sz w:val="15"/>
              </w:rPr>
              <w:t xml:space="preserve">  interval = '30s'</w:t>
            </w:r>
          </w:p>
          <w:p>
            <w:pPr>
              <w:spacing w:after="0" w:line="240" w:lineRule="auto"/>
            </w:pPr>
            <w:r>
              <w:rPr>
                <w:rFonts w:ascii="Consolas" w:hAnsi="Consolas"/>
                <w:color w:val="243B53"/>
                <w:sz w:val="15"/>
              </w:rPr>
              <w:t xml:space="preserve">  timeout = '15s'</w:t>
            </w:r>
          </w:p>
        </w:tc>
      </w:tr>
    </w:tbl>
    <w:p>
      <w:pPr>
        <w:pStyle w:val="Heading2"/>
      </w:pPr>
      <w:r>
        <w:t>Deployment dependencies</w:t>
      </w:r>
    </w:p>
    <w:p>
      <w:pPr>
        <w:pStyle w:val="ListBullet"/>
      </w:pPr>
      <w:r>
        <w:t>Neo4j connectivity from Fly must be stable; a sleeping or cold remote database can create connection timeouts on the first request.</w:t>
      </w:r>
    </w:p>
    <w:p>
      <w:pPr>
        <w:pStyle w:val="ListBullet"/>
      </w:pPr>
      <w:r>
        <w:t>The runtime image must listen on 0.0.0.0:8000, not localhost. Fly's health check is the first diagnostic for port/startup failures.</w:t>
      </w:r>
    </w:p>
    <w:p>
      <w:pPr>
        <w:pStyle w:val="ListBullet"/>
      </w:pPr>
      <w:r>
        <w:t>Production CORS must include the exact deployed frontend origin(s), including custom domains and worker domains where both are used.</w:t>
      </w:r>
    </w:p>
    <w:p>
      <w:pPr>
        <w:pStyle w:val="ListBullet"/>
      </w:pPr>
      <w:r>
        <w:t>R2 public domains are independent of backend deploys. Adding a new asset does not require a backend rebuild if the deterministic URL convention remains unchanged.</w:t>
      </w:r>
    </w:p>
    <w:p>
      <w:pPr>
        <w:pStyle w:val="ListBullet"/>
      </w:pPr>
      <w:r>
        <w:t>OpenTelemetry is disabled by default, and normal batch-export failures remain outside the learner-facing response path. Initialization is not currently guarded, so validate OTLP endpoints and headers before enabling it in production.</w:t>
      </w:r>
    </w:p>
    <w:p>
      <w:pPr>
        <w:pStyle w:val="Heading1"/>
      </w:pPr>
      <w:r>
        <w:t>16. Operational Runbook And Known Gaps</w:t>
      </w:r>
    </w:p>
    <w:p>
      <w:pPr>
        <w:pStyle w:val="Heading2"/>
      </w:pPr>
      <w:r>
        <w:t>First checks when the app is slow or failing</w:t>
      </w:r>
    </w:p>
    <w:p>
      <w:pPr>
        <w:pStyle w:val="ListBullet"/>
      </w:pPr>
      <w:r>
        <w:t>Check /health and Fly machine logs to distinguish process/port failure from a slow dependency.</w:t>
      </w:r>
    </w:p>
    <w:p>
      <w:pPr>
        <w:pStyle w:val="ListBullet"/>
      </w:pPr>
      <w:r>
        <w:t>Inspect request latency and route in structured logs using X-Request-ID.</w:t>
      </w:r>
    </w:p>
    <w:p>
      <w:pPr>
        <w:pStyle w:val="ListBullet"/>
      </w:pPr>
      <w:r>
        <w:t>Check Neo4j connection timeout/retry messages before changing frontend behavior.</w:t>
      </w:r>
    </w:p>
    <w:p>
      <w:pPr>
        <w:pStyle w:val="ListBullet"/>
      </w:pPr>
      <w:r>
        <w:t>Check LLM provider/model configuration and retry counts for generation or evaluation failures.</w:t>
      </w:r>
    </w:p>
    <w:p>
      <w:pPr>
        <w:pStyle w:val="ListBullet"/>
      </w:pPr>
      <w:r>
        <w:t>Check cache headers and X-Gen-Cache for non-personalized generation; do not add public cache rules to authenticated routes.</w:t>
      </w:r>
    </w:p>
    <w:p>
      <w:pPr>
        <w:pStyle w:val="ListBullet"/>
      </w:pPr>
      <w:r>
        <w:t>For missing teacher clusters, inspect the cluster build report, eligible student count, algorithm status, and snapshot database identity.</w:t>
      </w:r>
    </w:p>
    <w:p>
      <w:pPr>
        <w:pStyle w:val="Heading2"/>
      </w:pPr>
      <w:r>
        <w:t>Current implementation caveats</w:t>
      </w:r>
    </w:p>
    <w:tbl>
      <w:tblPr>
        <w:tblW w:type="auto" w:w="0"/>
        <w:jc w:val="left"/>
        <w:tblLayout w:type="fixed"/>
        <w:tblLook w:firstColumn="1" w:firstRow="1" w:lastColumn="0" w:lastRow="0" w:noHBand="0" w:noVBand="1" w:val="04A0"/>
      </w:tblPr>
      <w:tblGrid>
        <w:gridCol w:w="3331"/>
        <w:gridCol w:w="3331"/>
        <w:gridCol w:w="3331"/>
      </w:tblGrid>
      <w:tr>
        <w:trPr>
          <w:tblHeader w:val="true"/>
        </w:trPr>
        <w:tc>
          <w:tcPr>
            <w:tcW w:type="dxa" w:w="1944"/>
            <w:shd w:fill="102A43"/>
            <w:tcBorders>
              <w:top w:val="single" w:sz="4" w:color="102A43"/>
              <w:left w:val="single" w:sz="4" w:color="102A43"/>
              <w:bottom w:val="single" w:sz="4" w:color="102A43"/>
              <w:right w:val="single" w:sz="4" w:color="102A43"/>
            </w:tcBorders>
            <w:vAlign w:val="top"/>
            <w:tcMar>
              <w:top w:w="90" w:type="dxa"/>
              <w:start w:w="100" w:type="dxa"/>
              <w:bottom w:w="90" w:type="dxa"/>
              <w:end w:w="100" w:type="dxa"/>
            </w:tcMar>
          </w:tcPr>
          <w:p>
            <w:pPr>
              <w:spacing w:after="0" w:line="252" w:lineRule="auto"/>
            </w:pPr>
            <w:r/>
            <w:r>
              <w:rPr>
                <w:rFonts w:ascii="Aptos" w:hAnsi="Aptos"/>
                <w:b/>
                <w:color w:val="FFFFFF"/>
                <w:sz w:val="14"/>
              </w:rPr>
              <w:t>AREA</w:t>
            </w:r>
          </w:p>
        </w:tc>
        <w:tc>
          <w:tcPr>
            <w:tcW w:type="dxa" w:w="4464"/>
            <w:shd w:fill="102A43"/>
            <w:tcBorders>
              <w:top w:val="single" w:sz="4" w:color="102A43"/>
              <w:left w:val="single" w:sz="4" w:color="102A43"/>
              <w:bottom w:val="single" w:sz="4" w:color="102A43"/>
              <w:right w:val="single" w:sz="4" w:color="102A43"/>
            </w:tcBorders>
            <w:vAlign w:val="top"/>
            <w:tcMar>
              <w:top w:w="90" w:type="dxa"/>
              <w:start w:w="100" w:type="dxa"/>
              <w:bottom w:w="90" w:type="dxa"/>
              <w:end w:w="100" w:type="dxa"/>
            </w:tcMar>
          </w:tcPr>
          <w:p>
            <w:pPr>
              <w:spacing w:after="0" w:line="252" w:lineRule="auto"/>
            </w:pPr>
            <w:r/>
            <w:r>
              <w:rPr>
                <w:rFonts w:ascii="Aptos" w:hAnsi="Aptos"/>
                <w:b/>
                <w:color w:val="FFFFFF"/>
                <w:sz w:val="14"/>
              </w:rPr>
              <w:t>CURRENT CAVEAT</w:t>
            </w:r>
          </w:p>
        </w:tc>
        <w:tc>
          <w:tcPr>
            <w:tcW w:type="dxa" w:w="2951"/>
            <w:shd w:fill="102A43"/>
            <w:tcBorders>
              <w:top w:val="single" w:sz="4" w:color="102A43"/>
              <w:left w:val="single" w:sz="4" w:color="102A43"/>
              <w:bottom w:val="single" w:sz="4" w:color="102A43"/>
              <w:right w:val="single" w:sz="4" w:color="102A43"/>
            </w:tcBorders>
            <w:vAlign w:val="top"/>
            <w:tcMar>
              <w:top w:w="90" w:type="dxa"/>
              <w:start w:w="100" w:type="dxa"/>
              <w:bottom w:w="90" w:type="dxa"/>
              <w:end w:w="100" w:type="dxa"/>
            </w:tcMar>
          </w:tcPr>
          <w:p>
            <w:pPr>
              <w:spacing w:after="0" w:line="252" w:lineRule="auto"/>
            </w:pPr>
            <w:r/>
            <w:r>
              <w:rPr>
                <w:rFonts w:ascii="Aptos" w:hAnsi="Aptos"/>
                <w:b/>
                <w:color w:val="FFFFFF"/>
                <w:sz w:val="14"/>
              </w:rPr>
              <w:t>PRACTICAL EFFECT</w:t>
            </w:r>
          </w:p>
        </w:tc>
      </w:tr>
      <w:tr>
        <w:tc>
          <w:tcPr>
            <w:tcW w:type="dxa" w:w="1944"/>
            <w:shd w:fill="FFFFFF"/>
            <w:tcBorders>
              <w:top w:val="single" w:sz="3" w:color="D9E2EC"/>
              <w:left w:val="single" w:sz="3" w:color="D9E2EC"/>
              <w:bottom w:val="single" w:sz="3" w:color="D9E2EC"/>
              <w:right w:val="single" w:sz="3" w:color="D9E2EC"/>
            </w:tcBorders>
            <w:vAlign w:val="top"/>
            <w:tcMar>
              <w:top w:w="90" w:type="dxa"/>
              <w:start w:w="100" w:type="dxa"/>
              <w:bottom w:w="90" w:type="dxa"/>
              <w:end w:w="100" w:type="dxa"/>
            </w:tcMar>
          </w:tcPr>
          <w:p>
            <w:pPr>
              <w:spacing w:after="0" w:line="252" w:lineRule="auto"/>
            </w:pPr>
            <w:r/>
            <w:r>
              <w:rPr>
                <w:rFonts w:ascii="Aptos" w:hAnsi="Aptos"/>
                <w:b w:val="0"/>
                <w:color w:val="243B53"/>
                <w:sz w:val="15"/>
              </w:rPr>
              <w:t>LLM backoff</w:t>
            </w:r>
          </w:p>
        </w:tc>
        <w:tc>
          <w:tcPr>
            <w:tcW w:type="dxa" w:w="4464"/>
            <w:shd w:fill="FFFFFF"/>
            <w:tcBorders>
              <w:top w:val="single" w:sz="3" w:color="D9E2EC"/>
              <w:left w:val="single" w:sz="3" w:color="D9E2EC"/>
              <w:bottom w:val="single" w:sz="3" w:color="D9E2EC"/>
              <w:right w:val="single" w:sz="3" w:color="D9E2EC"/>
            </w:tcBorders>
            <w:vAlign w:val="top"/>
            <w:tcMar>
              <w:top w:w="90" w:type="dxa"/>
              <w:start w:w="100" w:type="dxa"/>
              <w:bottom w:w="90" w:type="dxa"/>
              <w:end w:w="100" w:type="dxa"/>
            </w:tcMar>
          </w:tcPr>
          <w:p>
            <w:pPr>
              <w:spacing w:after="0" w:line="252" w:lineRule="auto"/>
            </w:pPr>
            <w:r/>
            <w:r>
              <w:rPr>
                <w:rFonts w:ascii="Aptos" w:hAnsi="Aptos"/>
                <w:b w:val="0"/>
                <w:color w:val="243B53"/>
                <w:sz w:val="15"/>
              </w:rPr>
              <w:t>Retries are immediate, not exponential</w:t>
            </w:r>
          </w:p>
        </w:tc>
        <w:tc>
          <w:tcPr>
            <w:tcW w:type="dxa" w:w="2951"/>
            <w:shd w:fill="FFFFFF"/>
            <w:tcBorders>
              <w:top w:val="single" w:sz="3" w:color="D9E2EC"/>
              <w:left w:val="single" w:sz="3" w:color="D9E2EC"/>
              <w:bottom w:val="single" w:sz="3" w:color="D9E2EC"/>
              <w:right w:val="single" w:sz="3" w:color="D9E2EC"/>
            </w:tcBorders>
            <w:vAlign w:val="top"/>
            <w:tcMar>
              <w:top w:w="90" w:type="dxa"/>
              <w:start w:w="100" w:type="dxa"/>
              <w:bottom w:w="90" w:type="dxa"/>
              <w:end w:w="100" w:type="dxa"/>
            </w:tcMar>
          </w:tcPr>
          <w:p>
            <w:pPr>
              <w:spacing w:after="0" w:line="252" w:lineRule="auto"/>
            </w:pPr>
            <w:r/>
            <w:r>
              <w:rPr>
                <w:rFonts w:ascii="Aptos" w:hAnsi="Aptos"/>
                <w:b w:val="0"/>
                <w:color w:val="243B53"/>
                <w:sz w:val="15"/>
              </w:rPr>
              <w:t>Provider incidents can increase latency and rate-limit pressure</w:t>
            </w:r>
          </w:p>
        </w:tc>
      </w:tr>
      <w:tr>
        <w:tc>
          <w:tcPr>
            <w:tcW w:type="dxa" w:w="1944"/>
            <w:shd w:fill="F4F7FA"/>
            <w:tcBorders>
              <w:top w:val="single" w:sz="3" w:color="D9E2EC"/>
              <w:left w:val="single" w:sz="3" w:color="D9E2EC"/>
              <w:bottom w:val="single" w:sz="3" w:color="D9E2EC"/>
              <w:right w:val="single" w:sz="3" w:color="D9E2EC"/>
            </w:tcBorders>
            <w:vAlign w:val="top"/>
            <w:tcMar>
              <w:top w:w="90" w:type="dxa"/>
              <w:start w:w="100" w:type="dxa"/>
              <w:bottom w:w="90" w:type="dxa"/>
              <w:end w:w="100" w:type="dxa"/>
            </w:tcMar>
          </w:tcPr>
          <w:p>
            <w:pPr>
              <w:spacing w:after="0" w:line="252" w:lineRule="auto"/>
            </w:pPr>
            <w:r/>
            <w:r>
              <w:rPr>
                <w:rFonts w:ascii="Aptos" w:hAnsi="Aptos"/>
                <w:b w:val="0"/>
                <w:color w:val="243B53"/>
                <w:sz w:val="15"/>
              </w:rPr>
              <w:t>Generation cache</w:t>
            </w:r>
          </w:p>
        </w:tc>
        <w:tc>
          <w:tcPr>
            <w:tcW w:type="dxa" w:w="4464"/>
            <w:shd w:fill="F4F7FA"/>
            <w:tcBorders>
              <w:top w:val="single" w:sz="3" w:color="D9E2EC"/>
              <w:left w:val="single" w:sz="3" w:color="D9E2EC"/>
              <w:bottom w:val="single" w:sz="3" w:color="D9E2EC"/>
              <w:right w:val="single" w:sz="3" w:color="D9E2EC"/>
            </w:tcBorders>
            <w:vAlign w:val="top"/>
            <w:tcMar>
              <w:top w:w="90" w:type="dxa"/>
              <w:start w:w="100" w:type="dxa"/>
              <w:bottom w:w="90" w:type="dxa"/>
              <w:end w:w="100" w:type="dxa"/>
            </w:tcMar>
          </w:tcPr>
          <w:p>
            <w:pPr>
              <w:spacing w:after="0" w:line="252" w:lineRule="auto"/>
            </w:pPr>
            <w:r/>
            <w:r>
              <w:rPr>
                <w:rFonts w:ascii="Aptos" w:hAnsi="Aptos"/>
                <w:b w:val="0"/>
                <w:color w:val="243B53"/>
                <w:sz w:val="15"/>
              </w:rPr>
              <w:t>In-memory cache is per Fly machine; Upstash is optional</w:t>
            </w:r>
          </w:p>
        </w:tc>
        <w:tc>
          <w:tcPr>
            <w:tcW w:type="dxa" w:w="2951"/>
            <w:shd w:fill="F4F7FA"/>
            <w:tcBorders>
              <w:top w:val="single" w:sz="3" w:color="D9E2EC"/>
              <w:left w:val="single" w:sz="3" w:color="D9E2EC"/>
              <w:bottom w:val="single" w:sz="3" w:color="D9E2EC"/>
              <w:right w:val="single" w:sz="3" w:color="D9E2EC"/>
            </w:tcBorders>
            <w:vAlign w:val="top"/>
            <w:tcMar>
              <w:top w:w="90" w:type="dxa"/>
              <w:start w:w="100" w:type="dxa"/>
              <w:bottom w:w="90" w:type="dxa"/>
              <w:end w:w="100" w:type="dxa"/>
            </w:tcMar>
          </w:tcPr>
          <w:p>
            <w:pPr>
              <w:spacing w:after="0" w:line="252" w:lineRule="auto"/>
            </w:pPr>
            <w:r/>
            <w:r>
              <w:rPr>
                <w:rFonts w:ascii="Aptos" w:hAnsi="Aptos"/>
                <w:b w:val="0"/>
                <w:color w:val="243B53"/>
                <w:sz w:val="15"/>
              </w:rPr>
              <w:t>Multiple machines can have cold local caches; shared hit rate depends on Upstash configuration</w:t>
            </w:r>
          </w:p>
        </w:tc>
      </w:tr>
      <w:tr>
        <w:tc>
          <w:tcPr>
            <w:tcW w:type="dxa" w:w="1944"/>
            <w:shd w:fill="FFFFFF"/>
            <w:tcBorders>
              <w:top w:val="single" w:sz="3" w:color="D9E2EC"/>
              <w:left w:val="single" w:sz="3" w:color="D9E2EC"/>
              <w:bottom w:val="single" w:sz="3" w:color="D9E2EC"/>
              <w:right w:val="single" w:sz="3" w:color="D9E2EC"/>
            </w:tcBorders>
            <w:vAlign w:val="top"/>
            <w:tcMar>
              <w:top w:w="90" w:type="dxa"/>
              <w:start w:w="100" w:type="dxa"/>
              <w:bottom w:w="90" w:type="dxa"/>
              <w:end w:w="100" w:type="dxa"/>
            </w:tcMar>
          </w:tcPr>
          <w:p>
            <w:pPr>
              <w:spacing w:after="0" w:line="252" w:lineRule="auto"/>
            </w:pPr>
            <w:r/>
            <w:r>
              <w:rPr>
                <w:rFonts w:ascii="Aptos" w:hAnsi="Aptos"/>
                <w:b w:val="0"/>
                <w:color w:val="243B53"/>
                <w:sz w:val="15"/>
              </w:rPr>
              <w:t>Cluster snapshots</w:t>
            </w:r>
          </w:p>
        </w:tc>
        <w:tc>
          <w:tcPr>
            <w:tcW w:type="dxa" w:w="4464"/>
            <w:shd w:fill="FFFFFF"/>
            <w:tcBorders>
              <w:top w:val="single" w:sz="3" w:color="D9E2EC"/>
              <w:left w:val="single" w:sz="3" w:color="D9E2EC"/>
              <w:bottom w:val="single" w:sz="3" w:color="D9E2EC"/>
              <w:right w:val="single" w:sz="3" w:color="D9E2EC"/>
            </w:tcBorders>
            <w:vAlign w:val="top"/>
            <w:tcMar>
              <w:top w:w="90" w:type="dxa"/>
              <w:start w:w="100" w:type="dxa"/>
              <w:bottom w:w="90" w:type="dxa"/>
              <w:end w:w="100" w:type="dxa"/>
            </w:tcMar>
          </w:tcPr>
          <w:p>
            <w:pPr>
              <w:spacing w:after="0" w:line="252" w:lineRule="auto"/>
            </w:pPr>
            <w:r/>
            <w:r>
              <w:rPr>
                <w:rFonts w:ascii="Aptos" w:hAnsi="Aptos"/>
                <w:b w:val="0"/>
                <w:color w:val="243B53"/>
                <w:sz w:val="15"/>
              </w:rPr>
              <w:t>Built by manual/cron pipeline, not synchronously by dashboard</w:t>
            </w:r>
          </w:p>
        </w:tc>
        <w:tc>
          <w:tcPr>
            <w:tcW w:type="dxa" w:w="2951"/>
            <w:shd w:fill="FFFFFF"/>
            <w:tcBorders>
              <w:top w:val="single" w:sz="3" w:color="D9E2EC"/>
              <w:left w:val="single" w:sz="3" w:color="D9E2EC"/>
              <w:bottom w:val="single" w:sz="3" w:color="D9E2EC"/>
              <w:right w:val="single" w:sz="3" w:color="D9E2EC"/>
            </w:tcBorders>
            <w:vAlign w:val="top"/>
            <w:tcMar>
              <w:top w:w="90" w:type="dxa"/>
              <w:start w:w="100" w:type="dxa"/>
              <w:bottom w:w="90" w:type="dxa"/>
              <w:end w:w="100" w:type="dxa"/>
            </w:tcMar>
          </w:tcPr>
          <w:p>
            <w:pPr>
              <w:spacing w:after="0" w:line="252" w:lineRule="auto"/>
            </w:pPr>
            <w:r/>
            <w:r>
              <w:rPr>
                <w:rFonts w:ascii="Aptos" w:hAnsi="Aptos"/>
                <w:b w:val="0"/>
                <w:color w:val="243B53"/>
                <w:sz w:val="15"/>
              </w:rPr>
              <w:t>A working dashboard does not imply a snapshot exists</w:t>
            </w:r>
          </w:p>
        </w:tc>
      </w:tr>
      <w:tr>
        <w:tc>
          <w:tcPr>
            <w:tcW w:type="dxa" w:w="1944"/>
            <w:shd w:fill="F4F7FA"/>
            <w:tcBorders>
              <w:top w:val="single" w:sz="3" w:color="D9E2EC"/>
              <w:left w:val="single" w:sz="3" w:color="D9E2EC"/>
              <w:bottom w:val="single" w:sz="3" w:color="D9E2EC"/>
              <w:right w:val="single" w:sz="3" w:color="D9E2EC"/>
            </w:tcBorders>
            <w:vAlign w:val="top"/>
            <w:tcMar>
              <w:top w:w="90" w:type="dxa"/>
              <w:start w:w="100" w:type="dxa"/>
              <w:bottom w:w="90" w:type="dxa"/>
              <w:end w:w="100" w:type="dxa"/>
            </w:tcMar>
          </w:tcPr>
          <w:p>
            <w:pPr>
              <w:spacing w:after="0" w:line="252" w:lineRule="auto"/>
            </w:pPr>
            <w:r>
              <w:t>Chapter concept fallback</w:t>
            </w:r>
          </w:p>
        </w:tc>
        <w:tc>
          <w:tcPr>
            <w:tcW w:type="dxa" w:w="4464"/>
            <w:shd w:fill="F4F7FA"/>
            <w:tcBorders>
              <w:top w:val="single" w:sz="3" w:color="D9E2EC"/>
              <w:left w:val="single" w:sz="3" w:color="D9E2EC"/>
              <w:bottom w:val="single" w:sz="3" w:color="D9E2EC"/>
              <w:right w:val="single" w:sz="3" w:color="D9E2EC"/>
            </w:tcBorders>
            <w:vAlign w:val="top"/>
            <w:tcMar>
              <w:top w:w="90" w:type="dxa"/>
              <w:start w:w="100" w:type="dxa"/>
              <w:bottom w:w="90" w:type="dxa"/>
              <w:end w:w="100" w:type="dxa"/>
            </w:tcMar>
          </w:tcPr>
          <w:p>
            <w:pPr>
              <w:spacing w:after="0" w:line="252" w:lineRule="auto"/>
            </w:pPr>
            <w:r>
              <w:t>Fallback candidates can be broader than direct section links</w:t>
            </w:r>
          </w:p>
        </w:tc>
        <w:tc>
          <w:tcPr>
            <w:tcW w:type="dxa" w:w="2951"/>
            <w:shd w:fill="F4F7FA"/>
            <w:tcBorders>
              <w:top w:val="single" w:sz="3" w:color="D9E2EC"/>
              <w:left w:val="single" w:sz="3" w:color="D9E2EC"/>
              <w:bottom w:val="single" w:sz="3" w:color="D9E2EC"/>
              <w:right w:val="single" w:sz="3" w:color="D9E2EC"/>
            </w:tcBorders>
            <w:vAlign w:val="top"/>
            <w:tcMar>
              <w:top w:w="90" w:type="dxa"/>
              <w:start w:w="100" w:type="dxa"/>
              <w:bottom w:w="90" w:type="dxa"/>
              <w:end w:w="100" w:type="dxa"/>
            </w:tcMar>
          </w:tcPr>
          <w:p>
            <w:pPr>
              <w:spacing w:after="0" w:line="252" w:lineRule="auto"/>
            </w:pPr>
            <w:r>
              <w:t>Strict prompt and exact-ID validation are required; empty insights are a valid outcome</w:t>
            </w:r>
          </w:p>
        </w:tc>
      </w:tr>
      <w:tr>
        <w:tc>
          <w:tcPr>
            <w:tcW w:type="dxa" w:w="1944"/>
            <w:shd w:fill="FFFFFF"/>
            <w:tcBorders>
              <w:top w:val="single" w:sz="3" w:color="D9E2EC"/>
              <w:left w:val="single" w:sz="3" w:color="D9E2EC"/>
              <w:bottom w:val="single" w:sz="3" w:color="D9E2EC"/>
              <w:right w:val="single" w:sz="3" w:color="D9E2EC"/>
            </w:tcBorders>
            <w:vAlign w:val="top"/>
            <w:tcMar>
              <w:top w:w="90" w:type="dxa"/>
              <w:start w:w="100" w:type="dxa"/>
              <w:bottom w:w="90" w:type="dxa"/>
              <w:end w:w="100" w:type="dxa"/>
            </w:tcMar>
          </w:tcPr>
          <w:p>
            <w:pPr>
              <w:spacing w:after="0" w:line="252" w:lineRule="auto"/>
            </w:pPr>
            <w:r/>
            <w:r>
              <w:rPr>
                <w:rFonts w:ascii="Aptos" w:hAnsi="Aptos"/>
                <w:b w:val="0"/>
                <w:color w:val="243B53"/>
                <w:sz w:val="15"/>
              </w:rPr>
              <w:t>Teacher/admin roles</w:t>
            </w:r>
          </w:p>
        </w:tc>
        <w:tc>
          <w:tcPr>
            <w:tcW w:type="dxa" w:w="4464"/>
            <w:shd w:fill="FFFFFF"/>
            <w:tcBorders>
              <w:top w:val="single" w:sz="3" w:color="D9E2EC"/>
              <w:left w:val="single" w:sz="3" w:color="D9E2EC"/>
              <w:bottom w:val="single" w:sz="3" w:color="D9E2EC"/>
              <w:right w:val="single" w:sz="3" w:color="D9E2EC"/>
            </w:tcBorders>
            <w:vAlign w:val="top"/>
            <w:tcMar>
              <w:top w:w="90" w:type="dxa"/>
              <w:start w:w="100" w:type="dxa"/>
              <w:bottom w:w="90" w:type="dxa"/>
              <w:end w:w="100" w:type="dxa"/>
            </w:tcMar>
          </w:tcPr>
          <w:p>
            <w:pPr>
              <w:spacing w:after="0" w:line="252" w:lineRule="auto"/>
            </w:pPr>
            <w:r/>
            <w:r>
              <w:rPr>
                <w:rFonts w:ascii="Aptos" w:hAnsi="Aptos"/>
                <w:b w:val="0"/>
                <w:color w:val="243B53"/>
                <w:sz w:val="15"/>
              </w:rPr>
              <w:t>Dependencies use a single role value</w:t>
            </w:r>
          </w:p>
        </w:tc>
        <w:tc>
          <w:tcPr>
            <w:tcW w:type="dxa" w:w="2951"/>
            <w:shd w:fill="FFFFFF"/>
            <w:tcBorders>
              <w:top w:val="single" w:sz="3" w:color="D9E2EC"/>
              <w:left w:val="single" w:sz="3" w:color="D9E2EC"/>
              <w:bottom w:val="single" w:sz="3" w:color="D9E2EC"/>
              <w:right w:val="single" w:sz="3" w:color="D9E2EC"/>
            </w:tcBorders>
            <w:vAlign w:val="top"/>
            <w:tcMar>
              <w:top w:w="90" w:type="dxa"/>
              <w:start w:w="100" w:type="dxa"/>
              <w:bottom w:w="90" w:type="dxa"/>
              <w:end w:w="100" w:type="dxa"/>
            </w:tcMar>
          </w:tcPr>
          <w:p>
            <w:pPr>
              <w:spacing w:after="0" w:line="252" w:lineRule="auto"/>
            </w:pPr>
            <w:r/>
            <w:r>
              <w:rPr>
                <w:rFonts w:ascii="Aptos" w:hAnsi="Aptos"/>
                <w:b w:val="0"/>
                <w:color w:val="243B53"/>
                <w:sz w:val="15"/>
              </w:rPr>
              <w:t>A user with only admin role cannot automatically pass teacher dependency</w:t>
            </w:r>
          </w:p>
        </w:tc>
      </w:tr>
      <w:tr>
        <w:tc>
          <w:tcPr>
            <w:tcW w:type="dxa" w:w="1944"/>
            <w:shd w:fill="F4F7FA"/>
            <w:tcBorders>
              <w:top w:val="single" w:sz="3" w:color="D9E2EC"/>
              <w:left w:val="single" w:sz="3" w:color="D9E2EC"/>
              <w:bottom w:val="single" w:sz="3" w:color="D9E2EC"/>
              <w:right w:val="single" w:sz="3" w:color="D9E2EC"/>
            </w:tcBorders>
            <w:vAlign w:val="top"/>
            <w:tcMar>
              <w:top w:w="90" w:type="dxa"/>
              <w:start w:w="100" w:type="dxa"/>
              <w:bottom w:w="90" w:type="dxa"/>
              <w:end w:w="100" w:type="dxa"/>
            </w:tcMar>
          </w:tcPr>
          <w:p>
            <w:pPr>
              <w:spacing w:after="0" w:line="252" w:lineRule="auto"/>
            </w:pPr>
            <w:r/>
            <w:r>
              <w:rPr>
                <w:rFonts w:ascii="Aptos" w:hAnsi="Aptos"/>
                <w:b w:val="0"/>
                <w:color w:val="243B53"/>
                <w:sz w:val="15"/>
              </w:rPr>
              <w:t>Neo4j property warnings</w:t>
            </w:r>
          </w:p>
        </w:tc>
        <w:tc>
          <w:tcPr>
            <w:tcW w:type="dxa" w:w="4464"/>
            <w:shd w:fill="F4F7FA"/>
            <w:tcBorders>
              <w:top w:val="single" w:sz="3" w:color="D9E2EC"/>
              <w:left w:val="single" w:sz="3" w:color="D9E2EC"/>
              <w:bottom w:val="single" w:sz="3" w:color="D9E2EC"/>
              <w:right w:val="single" w:sz="3" w:color="D9E2EC"/>
            </w:tcBorders>
            <w:vAlign w:val="top"/>
            <w:tcMar>
              <w:top w:w="90" w:type="dxa"/>
              <w:start w:w="100" w:type="dxa"/>
              <w:bottom w:w="90" w:type="dxa"/>
              <w:end w:w="100" w:type="dxa"/>
            </w:tcMar>
          </w:tcPr>
          <w:p>
            <w:pPr>
              <w:spacing w:after="0" w:line="252" w:lineRule="auto"/>
            </w:pPr>
            <w:r/>
            <w:r>
              <w:rPr>
                <w:rFonts w:ascii="Aptos" w:hAnsi="Aptos"/>
                <w:b w:val="0"/>
                <w:color w:val="243B53"/>
                <w:sz w:val="15"/>
              </w:rPr>
              <w:t>Queries may reference optional properties not present on every node, such as logo</w:t>
            </w:r>
          </w:p>
        </w:tc>
        <w:tc>
          <w:tcPr>
            <w:tcW w:type="dxa" w:w="2951"/>
            <w:shd w:fill="F4F7FA"/>
            <w:tcBorders>
              <w:top w:val="single" w:sz="3" w:color="D9E2EC"/>
              <w:left w:val="single" w:sz="3" w:color="D9E2EC"/>
              <w:bottom w:val="single" w:sz="3" w:color="D9E2EC"/>
              <w:right w:val="single" w:sz="3" w:color="D9E2EC"/>
            </w:tcBorders>
            <w:vAlign w:val="top"/>
            <w:tcMar>
              <w:top w:w="90" w:type="dxa"/>
              <w:start w:w="100" w:type="dxa"/>
              <w:bottom w:w="90" w:type="dxa"/>
              <w:end w:w="100" w:type="dxa"/>
            </w:tcMar>
          </w:tcPr>
          <w:p>
            <w:pPr>
              <w:spacing w:after="0" w:line="252" w:lineRule="auto"/>
            </w:pPr>
            <w:r/>
            <w:r>
              <w:rPr>
                <w:rFonts w:ascii="Aptos" w:hAnsi="Aptos"/>
                <w:b w:val="0"/>
                <w:color w:val="243B53"/>
                <w:sz w:val="15"/>
              </w:rPr>
              <w:t>Warnings are usually non-fatal but schema cleanup is advisable</w:t>
            </w:r>
          </w:p>
        </w:tc>
      </w:tr>
      <w:tr>
        <w:tc>
          <w:tcPr>
            <w:tcW w:type="dxa" w:w="1944"/>
            <w:shd w:fill="FFFFFF"/>
            <w:tcBorders>
              <w:top w:val="single" w:sz="3" w:color="D9E2EC"/>
              <w:left w:val="single" w:sz="3" w:color="D9E2EC"/>
              <w:bottom w:val="single" w:sz="3" w:color="D9E2EC"/>
              <w:right w:val="single" w:sz="3" w:color="D9E2EC"/>
            </w:tcBorders>
            <w:vAlign w:val="top"/>
            <w:tcMar>
              <w:top w:w="90" w:type="dxa"/>
              <w:start w:w="100" w:type="dxa"/>
              <w:bottom w:w="90" w:type="dxa"/>
              <w:end w:w="100" w:type="dxa"/>
            </w:tcMar>
          </w:tcPr>
          <w:p>
            <w:pPr>
              <w:spacing w:after="0" w:line="252" w:lineRule="auto"/>
            </w:pPr>
            <w:r/>
            <w:r>
              <w:rPr>
                <w:rFonts w:ascii="Aptos" w:hAnsi="Aptos"/>
                <w:b w:val="0"/>
                <w:color w:val="243B53"/>
                <w:sz w:val="15"/>
              </w:rPr>
              <w:t>Global tutor</w:t>
            </w:r>
          </w:p>
        </w:tc>
        <w:tc>
          <w:tcPr>
            <w:tcW w:type="dxa" w:w="4464"/>
            <w:shd w:fill="FFFFFF"/>
            <w:tcBorders>
              <w:top w:val="single" w:sz="3" w:color="D9E2EC"/>
              <w:left w:val="single" w:sz="3" w:color="D9E2EC"/>
              <w:bottom w:val="single" w:sz="3" w:color="D9E2EC"/>
              <w:right w:val="single" w:sz="3" w:color="D9E2EC"/>
            </w:tcBorders>
            <w:vAlign w:val="top"/>
            <w:tcMar>
              <w:top w:w="90" w:type="dxa"/>
              <w:start w:w="100" w:type="dxa"/>
              <w:bottom w:w="90" w:type="dxa"/>
              <w:end w:w="100" w:type="dxa"/>
            </w:tcMar>
          </w:tcPr>
          <w:p>
            <w:pPr>
              <w:spacing w:after="0" w:line="252" w:lineRule="auto"/>
            </w:pPr>
            <w:r/>
            <w:r>
              <w:rPr>
                <w:rFonts w:ascii="Aptos" w:hAnsi="Aptos"/>
                <w:b w:val="0"/>
                <w:color w:val="243B53"/>
                <w:sz w:val="15"/>
              </w:rPr>
              <w:t>Insight retrieval is semantic and threshold/top-k dependent</w:t>
            </w:r>
          </w:p>
        </w:tc>
        <w:tc>
          <w:tcPr>
            <w:tcW w:type="dxa" w:w="2951"/>
            <w:shd w:fill="FFFFFF"/>
            <w:tcBorders>
              <w:top w:val="single" w:sz="3" w:color="D9E2EC"/>
              <w:left w:val="single" w:sz="3" w:color="D9E2EC"/>
              <w:bottom w:val="single" w:sz="3" w:color="D9E2EC"/>
              <w:right w:val="single" w:sz="3" w:color="D9E2EC"/>
            </w:tcBorders>
            <w:vAlign w:val="top"/>
            <w:tcMar>
              <w:top w:w="90" w:type="dxa"/>
              <w:start w:w="100" w:type="dxa"/>
              <w:bottom w:w="90" w:type="dxa"/>
              <w:end w:w="100" w:type="dxa"/>
            </w:tcMar>
          </w:tcPr>
          <w:p>
            <w:pPr>
              <w:spacing w:after="0" w:line="252" w:lineRule="auto"/>
            </w:pPr>
            <w:r/>
            <w:r>
              <w:rPr>
                <w:rFonts w:ascii="Aptos" w:hAnsi="Aptos"/>
                <w:b w:val="0"/>
                <w:color w:val="243B53"/>
                <w:sz w:val="15"/>
              </w:rPr>
              <w:t>No match is a valid result; the tutor should not invent personalization</w:t>
            </w:r>
          </w:p>
        </w:tc>
      </w:tr>
    </w:tbl>
    <w:p>
      <w:pPr>
        <w:spacing w:after="0"/>
      </w:pPr>
    </w:p>
    <w:p>
      <w:pPr>
        <w:pStyle w:val="Heading2"/>
      </w:pPr>
      <w:r>
        <w:t>Recommended next hardening steps</w:t>
      </w:r>
    </w:p>
    <w:p>
      <w:pPr>
        <w:pStyle w:val="ListBullet"/>
      </w:pPr>
      <w:r>
        <w:t>Introduce a shared retry policy with exponential backoff, jitter, total deadline, and provider-specific retryability rules.</w:t>
      </w:r>
    </w:p>
    <w:p>
      <w:pPr>
        <w:pStyle w:val="ListBullet"/>
      </w:pPr>
      <w:r>
        <w:t>Add explicit OpenTelemetry spans around Neo4j reads/writes and cache layers so dependency time is separated from route time; also guard telemetry initialization so a malformed optional exporter cannot block application startup.</w:t>
      </w:r>
    </w:p>
    <w:p>
      <w:pPr>
        <w:pStyle w:val="ListBullet"/>
      </w:pPr>
      <w:r>
        <w:t>Add snapshot freshness and last-success metadata to the teacher API so the UI can distinguish empty data from stale pipeline data.</w:t>
      </w:r>
    </w:p>
    <w:p>
      <w:pPr>
        <w:pStyle w:val="ListBullet"/>
      </w:pPr>
      <w:r>
        <w:t>Add a schema/relationship audit for direct section concepts and chapter-fallback coverage, including sections that intentionally have no concept links.</w:t>
      </w:r>
    </w:p>
    <w:p>
      <w:pPr>
        <w:pStyle w:val="ListBullet"/>
      </w:pPr>
      <w:r>
        <w:t>Keep production-like route tests for both direct-concept and chapter-fallback sections, including the no-candidate case and cache-version changes.</w:t>
      </w:r>
    </w:p>
    <w:p>
      <w:pPr>
        <w:pStyle w:val="ListBullet"/>
      </w:pPr>
      <w:r>
        <w:t>Keep public curriculum cache rules separate from authenticated API routes at the Cloudflare layer.</w:t>
      </w:r>
    </w:p>
    <w:tbl>
      <w:tblPr>
        <w:tblW w:type="auto" w:w="0"/>
        <w:jc w:val="left"/>
        <w:tblLayout w:type="fixed"/>
        <w:tblLook w:firstColumn="1" w:firstRow="1" w:lastColumn="0" w:lastRow="0" w:noHBand="0" w:noVBand="1" w:val="04A0"/>
      </w:tblPr>
      <w:tblGrid>
        <w:gridCol w:w="9994"/>
      </w:tblGrid>
      <w:tr>
        <w:trPr>
          <w:tblHeader w:val="true"/>
        </w:trPr>
        <w:tc>
          <w:tcPr>
            <w:tcW w:type="dxa" w:w="9994"/>
            <w:shd w:fill="F4F7FA"/>
            <w:tcBorders>
              <w:top w:val="single" w:sz="7" w:color="D9E2EC"/>
              <w:left w:val="single" w:sz="7" w:color="D9E2EC"/>
              <w:bottom w:val="single" w:sz="7" w:color="D9E2EC"/>
              <w:right w:val="single" w:sz="7" w:color="D9E2EC"/>
            </w:tcBorders>
            <w:tcMar>
              <w:top w:w="120" w:type="dxa"/>
              <w:start w:w="140" w:type="dxa"/>
              <w:bottom w:w="120" w:type="dxa"/>
              <w:end w:w="140" w:type="dxa"/>
            </w:tcMar>
          </w:tcPr>
          <w:p>
            <w:pPr>
              <w:spacing w:after="40"/>
            </w:pPr>
            <w:r>
              <w:rPr>
                <w:b/>
                <w:color w:val="243B53"/>
                <w:sz w:val="17"/>
              </w:rPr>
              <w:t>Source files</w:t>
              <w:br/>
            </w:r>
            <w:r>
              <w:rPr>
                <w:b w:val="0"/>
                <w:color w:val="243B53"/>
                <w:sz w:val="17"/>
              </w:rPr>
              <w:t>Primary implementation sources referenced by this document include backend/app/main.py, auth.py, config.py, database.py, observability.py, telemetry.py, assessment_observability.py, routers/curriculum.py, routers/test.py, routers/tutor.py, services/llm.py, services/generation_cache.py, services/assessment_attempts.py, services/semantic_clustering.py, services/clustering_runner.py, teacher_analytics.py, backend/.env.example, backend/tests/test_telemetry.py, backend/tests/test_assessment_observability.py, backend/tests/test_production_assessment_flow.py, and backend/tests/test_assessment_context.py. Unrelated evaluation, export, and promotion scripts are not used as behavioral evidence in this revision.</w:t>
            </w:r>
          </w:p>
        </w:tc>
      </w:tr>
    </w:tbl>
    <w:sectPr w:rsidR="00FC693F" w:rsidRPr="0006063C" w:rsidSect="00034616">
      <w:headerReference w:type="default" r:id="rId9"/>
      <w:footerReference w:type="default" r:id="rId10"/>
      <w:pgSz w:w="12240" w:h="15840"/>
      <w:pgMar w:top="1037" w:right="1123" w:bottom="1008" w:left="1123" w:header="461" w:footer="461"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center"/>
    </w:pPr>
    <w:r>
      <w:rPr>
        <w:rFonts w:ascii="Aptos" w:hAnsi="Aptos"/>
        <w:color w:val="627D98"/>
        <w:sz w:val="15"/>
      </w:rPr>
      <w:t xml:space="preserve">LearnerOS backend reference  |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Aptos" w:hAnsi="Aptos"/>
        <w:b/>
        <w:color w:val="627D98"/>
        <w:sz w:val="15"/>
      </w:rPr>
      <w:t>LEARNEROS  /  BACKEND ARCHITECTURE &amp; OPERATIONS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color w:val="243B53"/>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40"/>
      <w:outlineLvl w:val="0"/>
    </w:pPr>
    <w:rPr>
      <w:rFonts w:asciiTheme="majorHAnsi" w:eastAsiaTheme="majorEastAsia" w:hAnsiTheme="majorHAnsi" w:cstheme="majorBidi" w:ascii="Aptos Display" w:hAnsi="Aptos Display"/>
      <w:b/>
      <w:bCs/>
      <w:color w:val="102A43"/>
      <w:sz w:val="32"/>
      <w:szCs w:val="28"/>
    </w:rPr>
  </w:style>
  <w:style w:type="paragraph" w:styleId="Heading2">
    <w:name w:val="heading 2"/>
    <w:basedOn w:val="Normal"/>
    <w:next w:val="Normal"/>
    <w:link w:val="Heading2Char"/>
    <w:uiPriority w:val="9"/>
    <w:unhideWhenUsed/>
    <w:qFormat/>
    <w:rsid w:val="00FC693F"/>
    <w:pPr>
      <w:keepNext/>
      <w:keepLines/>
      <w:spacing w:before="220" w:after="80"/>
      <w:outlineLvl w:val="1"/>
    </w:pPr>
    <w:rPr>
      <w:rFonts w:asciiTheme="majorHAnsi" w:eastAsiaTheme="majorEastAsia" w:hAnsiTheme="majorHAnsi" w:cstheme="majorBidi" w:ascii="Aptos Display" w:hAnsi="Aptos Display"/>
      <w:b/>
      <w:bCs/>
      <w:color w:val="0E8A8A"/>
      <w:sz w:val="25"/>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Aptos" w:hAnsi="Aptos"/>
      <w:b/>
      <w:bCs/>
      <w:color w:val="243B53"/>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40" w:lineRule="auto" w:before="0"/>
      <w:contextualSpacing/>
    </w:pPr>
    <w:rPr>
      <w:rFonts w:asciiTheme="majorHAnsi" w:eastAsiaTheme="majorEastAsia" w:hAnsiTheme="majorHAnsi" w:cstheme="majorBidi" w:ascii="Aptos Display" w:hAnsi="Aptos Display"/>
      <w:b/>
      <w:color w:val="102A43"/>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ind w:left="317" w:hanging="173"/>
      <w:contextualSpacing/>
    </w:pPr>
    <w:rPr>
      <w:rFonts w:ascii="Aptos" w:hAnsi="Aptos"/>
      <w:color w:val="243B53"/>
      <w:sz w:val="18"/>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40"/>
      <w:ind w:left="317" w:hanging="173"/>
      <w:contextualSpacing/>
    </w:pPr>
    <w:rPr>
      <w:rFonts w:ascii="Aptos" w:hAnsi="Aptos"/>
      <w:color w:val="243B53"/>
      <w:sz w:val="18"/>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