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ptos" w:hAnsi="Aptos"/>
          <w:b/>
          <w:color w:val="0E8A8A"/>
          <w:sz w:val="18"/>
        </w:rPr>
        <w:t>LEARNEROS</w:t>
      </w:r>
    </w:p>
    <w:p>
      <w:pPr>
        <w:pStyle w:val="Title"/>
      </w:pPr>
      <w:r>
        <w:t>Backend Architecture</w:t>
        <w:br/>
        <w:t>&amp; Operations</w:t>
      </w:r>
    </w:p>
    <w:p>
      <w:pPr>
        <w:spacing w:after="260"/>
      </w:pPr>
      <w:r>
        <w:rPr>
          <w:rFonts w:ascii="Aptos" w:hAnsi="Aptos"/>
          <w:color w:val="627D98"/>
          <w:sz w:val="24"/>
        </w:rPr>
        <w:t>Routing, APIs, persistence, assessment context, insight lifecycle, LLM orchestration, caching, and deployment</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SYSTEM</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LearnerOS adaptive learning backend</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REPOSITORY</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/Users/srichandrasamanapalli/code/AI TUTOR/learneros/backend</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REFERENCE DATE</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2026-08-10</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STATUS</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t>Code-grounded implementation reference; assessment behavior updated after the subsection/concept-scope changes</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E6FFFA"/>
            <w:tcBorders>
              <w:top w:val="single" w:sz="8" w:color="8ADBD3"/>
              <w:left w:val="single" w:sz="8" w:color="8ADBD3"/>
              <w:bottom w:val="single" w:sz="8" w:color="8ADBD3"/>
              <w:right w:val="single" w:sz="8" w:color="8ADBD3"/>
            </w:tcBorders>
            <w:tcMar>
              <w:top w:w="150" w:type="dxa"/>
              <w:start w:w="160" w:type="dxa"/>
              <w:bottom w:w="150" w:type="dxa"/>
              <w:end w:w="160" w:type="dxa"/>
            </w:tcMar>
          </w:tcPr>
          <w:p>
            <w:pPr>
              <w:spacing w:after="40"/>
            </w:pPr>
            <w:r>
              <w:rPr>
                <w:b/>
                <w:color w:val="0E8A8A"/>
                <w:sz w:val="19"/>
              </w:rPr>
              <w:t>Reading guide</w:t>
              <w:br/>
            </w:r>
            <w:r>
              <w:rPr>
                <w:b w:val="0"/>
                <w:color w:val="0E8A8A"/>
                <w:sz w:val="19"/>
              </w:rPr>
              <w:t>This document describes the backend currently represented by the source tree. Assessment behavior is grounded in the production router and its focused regression tests. Unrelated evaluation, export, promotion, and observability scripts are outside the scope of this revision.</w:t>
            </w:r>
          </w:p>
        </w:tc>
      </w:tr>
    </w:tbl>
    <w:p/>
    <w:p>
      <w:pPr>
        <w:pStyle w:val="Heading1"/>
      </w:pPr>
      <w:r>
        <w:t>Contents</w:t>
      </w:r>
    </w:p>
    <w:p>
      <w:pPr>
        <w:pStyle w:val="ListBullet"/>
      </w:pPr>
      <w:r>
        <w:t>1. System role and architecture</w:t>
      </w:r>
    </w:p>
    <w:p>
      <w:pPr>
        <w:pStyle w:val="ListBullet"/>
      </w:pPr>
      <w:r>
        <w:t>2. Runtime request lifecycle</w:t>
      </w:r>
    </w:p>
    <w:p>
      <w:pPr>
        <w:pStyle w:val="ListBullet"/>
      </w:pPr>
      <w:r>
        <w:t>3. Routing and API surface</w:t>
      </w:r>
    </w:p>
    <w:p>
      <w:pPr>
        <w:pStyle w:val="ListBullet"/>
      </w:pPr>
      <w:r>
        <w:t>4. Authentication, authorization, and tenant isolation</w:t>
      </w:r>
    </w:p>
    <w:p>
      <w:pPr>
        <w:pStyle w:val="ListBullet"/>
      </w:pPr>
      <w:r>
        <w:t>5. Neo4j data model and persistence</w:t>
      </w:r>
    </w:p>
    <w:p>
      <w:pPr>
        <w:pStyle w:val="ListBullet"/>
      </w:pPr>
      <w:r>
        <w:t>6. Insight lifecycle and reconciliation</w:t>
      </w:r>
    </w:p>
    <w:p>
      <w:pPr>
        <w:pStyle w:val="ListBullet"/>
      </w:pPr>
      <w:r>
        <w:t>7. LLM orchestration and prompt paths</w:t>
      </w:r>
    </w:p>
    <w:p>
      <w:pPr>
        <w:pStyle w:val="ListBullet"/>
      </w:pPr>
      <w:r>
        <w:t>8. Retry, timeout, and failure semantics</w:t>
      </w:r>
    </w:p>
    <w:p>
      <w:pPr>
        <w:pStyle w:val="ListBullet"/>
      </w:pPr>
      <w:r>
        <w:t>9. Caching and content delivery</w:t>
      </w:r>
    </w:p>
    <w:p>
      <w:pPr>
        <w:pStyle w:val="ListBullet"/>
      </w:pPr>
      <w:r>
        <w:t>10. AI tutor and LangGraph state</w:t>
      </w:r>
    </w:p>
    <w:p>
      <w:pPr>
        <w:pStyle w:val="ListBullet"/>
      </w:pPr>
      <w:r>
        <w:t>11. Teacher analytics and semantic clustering</w:t>
      </w:r>
    </w:p>
    <w:p>
      <w:pPr>
        <w:pStyle w:val="ListBullet"/>
      </w:pPr>
      <w:r>
        <w:t>12. Assessment context, concept fallback, and insight scope</w:t>
      </w:r>
    </w:p>
    <w:p>
      <w:pPr>
        <w:pStyle w:val="ListBullet"/>
      </w:pPr>
      <w:r>
        <w:t>13. Security and privacy controls</w:t>
      </w:r>
    </w:p>
    <w:p>
      <w:pPr>
        <w:pStyle w:val="ListBullet"/>
      </w:pPr>
      <w:r>
        <w:t>14. Configuration and deployment</w:t>
      </w:r>
    </w:p>
    <w:p>
      <w:pPr>
        <w:pStyle w:val="ListBullet"/>
      </w:pPr>
      <w:r>
        <w:t>15. Operational runbook and known gaps</w:t>
      </w:r>
    </w:p>
    <w:p>
      <w:pPr>
        <w:pStyle w:val="Heading1"/>
      </w:pPr>
      <w:r>
        <w:t>1. System Role And Architecture</w:t>
      </w:r>
    </w:p>
    <w:p>
      <w:r>
        <w:t>LearnerOS is an adaptive learning backend. It combines a curriculum knowledge graph with a student-specific evidence layer. The curriculum graph describes grades, subjects, textbooks, chapters, sections, subsections, concepts, prerequisite edges, and related learning paths. The evidence layer records what a particular student appears to understand, misunderstand, or partially understand after assessments and tutoring interactions.</w:t>
      </w:r>
    </w:p>
    <w:p>
      <w:r>
        <w:t>The backend is a FastAPI service backed by Neo4j. LLM calls use OpenAI-compatible clients for Fireworks, Cerebras, and Gemini. Firebase Authentication supplies identity and role claims. OpenTelemetry is optional and exports traces and metrics through OTLP when enabled. The service is deployed as a single Uvicorn process on Fly.io with a health check on port 8000.</w:t>
      </w:r>
    </w:p>
    <w:p>
      <w:pPr>
        <w:pStyle w:val="ListBullet"/>
      </w:pPr>
      <w:r>
        <w:rPr>
          <w:b/>
        </w:rPr>
        <w:t xml:space="preserve">Curriculum graph: </w:t>
      </w:r>
      <w:r>
        <w:t>stable, non-personalized learning structure used for textbook navigation, prerequisite-aware teaching, graph views, and retrieval.</w:t>
      </w:r>
    </w:p>
    <w:p>
      <w:pPr>
        <w:pStyle w:val="ListBullet"/>
      </w:pPr>
      <w:r>
        <w:rPr>
          <w:b/>
        </w:rPr>
        <w:t xml:space="preserve">Student evidence graph: </w:t>
      </w:r>
      <w:r>
        <w:t>student-scoped insights, supersession chains, embeddings, assessment attempts, and tutor conversations.</w:t>
      </w:r>
    </w:p>
    <w:p>
      <w:pPr>
        <w:pStyle w:val="ListBullet"/>
      </w:pPr>
      <w:r>
        <w:rPr>
          <w:b/>
        </w:rPr>
        <w:t xml:space="preserve">Generation layer: </w:t>
      </w:r>
      <w:r>
        <w:rPr>
          <w:b w:val="0"/>
        </w:rPr>
        <w:t>written-question and MCQ generation are target-subsection scoped; evaluation uses the target subsection plus full-section reference context and then creates validated, concept-linked insights.</w:t>
      </w:r>
    </w:p>
    <w:p>
      <w:pPr>
        <w:pStyle w:val="ListBullet"/>
      </w:pPr>
      <w:r>
        <w:rPr>
          <w:b/>
        </w:rPr>
        <w:t xml:space="preserve">Analytics layer: </w:t>
      </w:r>
      <w:r>
        <w:t>risk scoring, institute-scoped teacher dashboards, active insight summaries, and semantic student clusters.</w:t>
      </w:r>
    </w:p>
    <w:p>
      <w:pPr>
        <w:spacing w:after="40"/>
      </w:pPr>
      <w:r>
        <w:rPr>
          <w:b/>
          <w:color w:val="627D98"/>
          <w:sz w:val="16"/>
        </w:rPr>
        <w:t>Runtime topology</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FastAPI -&gt; routers -&gt; services -&gt; Neo4j / LLM providers / OTLP</w:t>
            </w:r>
          </w:p>
          <w:p>
            <w:pPr>
              <w:spacing w:after="0" w:line="240" w:lineRule="auto"/>
            </w:pPr>
            <w:r>
              <w:rPr>
                <w:rFonts w:ascii="Consolas" w:hAnsi="Consolas"/>
                <w:color w:val="243B53"/>
                <w:sz w:val="15"/>
              </w:rPr>
              <w:t xml:space="preserve">                   |</w:t>
            </w:r>
          </w:p>
          <w:p>
            <w:pPr>
              <w:spacing w:after="0" w:line="240" w:lineRule="auto"/>
            </w:pPr>
            <w:r>
              <w:rPr>
                <w:rFonts w:ascii="Consolas" w:hAnsi="Consolas"/>
                <w:color w:val="243B53"/>
                <w:sz w:val="15"/>
              </w:rPr>
              <w:t xml:space="preserve">                   +-&gt; R2/public asset redirects for animations and chapter covers</w:t>
            </w:r>
          </w:p>
        </w:tc>
      </w:tr>
    </w:tbl>
    <w:p>
      <w:pPr>
        <w:pStyle w:val="Heading1"/>
      </w:pPr>
      <w:r>
        <w:t>2. Runtime Request Lifecycle</w:t>
      </w:r>
    </w:p>
    <w:p>
      <w:r>
        <w:t>Every request enters through the FastAPI application in backend/app/main.py. Middleware establishes or propagates an X-Request-ID, emits structured request-start and request-complete events, and records total latency. Unhandled exceptions are logged with a bounded message and traceback and are converted into a generic 500 response by FastAPI.</w:t>
      </w:r>
    </w:p>
    <w:p>
      <w:pPr>
        <w:pStyle w:val="ListBullet"/>
      </w:pPr>
      <w:r>
        <w:t>Request ID: accepts a safe caller-provided value matching [A-Za-z0-9_-]{8,128}; otherwise generates a UUID-derived ID.</w:t>
      </w:r>
    </w:p>
    <w:p>
      <w:pPr>
        <w:pStyle w:val="ListBullet"/>
      </w:pPr>
      <w:r>
        <w:t>CORS: configured from FRONTEND_URL and CORS_ORIGINS, with localhost development origins included. Authorization, content type, accept, and origin headers are allowed; X-Request-ID is exposed.</w:t>
      </w:r>
    </w:p>
    <w:p>
      <w:pPr>
        <w:pStyle w:val="ListBullet"/>
      </w:pPr>
      <w:r>
        <w:t>Telemetry: configure_telemetry(app) runs at import time. If OTEL_ENABLED is false, the instrumentation path is a no-op.</w:t>
      </w:r>
    </w:p>
    <w:p>
      <w:pPr>
        <w:pStyle w:val="ListBullet"/>
      </w:pPr>
      <w:r>
        <w:t>Database: the Neo4j driver is lazy and shared as a singleton. Startup does not require a successful database query, so a later request can be the first connection attempt.</w:t>
      </w:r>
    </w:p>
    <w:p>
      <w:pPr>
        <w:pStyle w:val="ListBullet"/>
      </w:pPr>
      <w:r>
        <w:t>Shutdown: closes the Neo4j driver and flushes OpenTelemetry providers.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1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STAGE</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WHAT HAPPENS</w:t>
            </w:r>
          </w:p>
        </w:tc>
        <w:tc>
          <w:tcPr>
            <w:tcW w:type="dxa" w:w="381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FAILURE BEHAVIOR</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HTTP entry</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CORS, request ID, structured start event</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CORS rejection occurs before application logic; request ID remains available for logs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Auth dependency</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 bearer token verification and role/institute checks</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401 for missing/invalid token; 403 for insufficient role or missing institute claim</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Context load</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Neo4j read of section/subsection content plus direct-section or chapter-fallback concept candidates</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Missing section content returns 404; a subsection outside the section returns 400; zero valid concept candidates is allowed</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stage</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OpenAI-compatible provider request and schema parsing</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Configured retries; provider fallback only where the operation supplies fallback targets</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writes for attempts, insights, conversations, embeddings, and clusters</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 persistence is designed to be non-fatal to learner-facing evaluation; failures are recorded in telemetry</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Response</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JSON payload plus cache and request headers where applicable</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Completion event includes status and latency</w:t>
            </w:r>
          </w:p>
        </w:tc>
      </w:tr>
    </w:tbl>
    <w:p>
      <w:pPr>
        <w:spacing w:after="0"/>
      </w:pPr>
    </w:p>
    <w:p>
      <w:pPr>
        <w:pStyle w:val="Heading1"/>
      </w:pPr>
      <w:r>
        <w:t>3. Routing And API Surface</w:t>
      </w:r>
    </w:p>
    <w:p>
      <w:r>
        <w:t>The route registration source of truth is backend/app/main.py. Router modules group endpoints by domain. Most Neo4j identifiers use the :path converter. The section-concepts route deliberately uses /sections/{section_id}/concepts without :path so it cannot absorb the /sections/{id}/test/... namespace; section IDs contain colons but no slash.</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1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DOMAIN</w:t>
            </w:r>
          </w:p>
        </w:tc>
        <w:tc>
          <w:tcPr>
            <w:tcW w:type="dxa" w:w="432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REPRESENTATIVE ROUTES</w:t>
            </w:r>
          </w:p>
        </w:tc>
        <w:tc>
          <w:tcPr>
            <w:tcW w:type="dxa" w:w="352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Health</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/health</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Fly health check and basic liveness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Auth</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/auth/me; DELETE /auth/me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Current Firebase identity and profile deletion</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Curriculum</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/api/grades; /grades/{grade}/subjects; /chapters/{id}/graph</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textbook structure and graph reads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Lineage</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/api/concepts/{concept_id}/lineage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Concept -&gt; grade -&gt; subject -&gt; chapter lineage, capped for performance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 insights</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/api/students/me/insights; /search; /concept/{id}</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student insight retrieval</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actions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/api/students/me/insights/{id}/explain; /test/mcq; /test/mcq/evaluate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Remediation and insight-specific testing</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/api/sections/{id}/test/question; /test/mcq; POST .../evaluate</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Target-subsection question/MCQ generation; personalized evaluation with validated insight scope</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/api/sections/{id}/test/exercises/evaluate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Image or text exercise evaluation and assessment persistence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tutor</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/api/sections/{id}/tutor/chat</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Subsection/section-context tutor</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/api/tutor/chat; GET /api/tutor/sessions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Textbook-agnostic tutor with active insight retrieval</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Institutes</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/api/institutes; PATCH /api/students/me/institute</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 association and profile context</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applications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/api/teachers/apply; admin review routes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access request and approval workflow</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dashboard</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/api/teachers/me/dashboard/{overview,students,clusters}</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Institute-scoped analytics and cluster reads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Admin</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/api/admin/institutes; users/claims; rebuild-clusters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 Firebase claim, and cluster administration</w:t>
            </w:r>
          </w:p>
        </w:tc>
      </w:tr>
    </w:tbl>
    <w:p>
      <w:pPr>
        <w:spacing w:after="0"/>
      </w:pPr>
    </w:p>
    <w:p>
      <w:pPr>
        <w:pStyle w:val="Heading2"/>
      </w:pPr>
      <w:r>
        <w:t>Public and personalized boundaries</w:t>
      </w:r>
    </w:p>
    <w:p>
      <w:pPr>
        <w:pStyle w:val="ListBullet"/>
      </w:pPr>
      <w:r>
        <w:rPr>
          <w:b/>
        </w:rPr>
        <w:t xml:space="preserve">Public curriculum reads: </w:t>
      </w:r>
      <w:r>
        <w:t>grades, subjects, chapters, sections, graph structure, concept lineage, exercises, and non-personalized content are readable without student identity.</w:t>
      </w:r>
    </w:p>
    <w:p>
      <w:pPr>
        <w:pStyle w:val="ListBullet"/>
      </w:pPr>
      <w:r>
        <w:rPr>
          <w:b/>
        </w:rPr>
        <w:t xml:space="preserve">Student-scoped reads/writes: </w:t>
      </w:r>
      <w:r>
        <w:t>student insights, tutor sessions, test evaluation, exercise evaluation, institute/profile changes, and assessment attempts require the current student identity.</w:t>
      </w:r>
    </w:p>
    <w:p>
      <w:pPr>
        <w:pStyle w:val="ListBullet"/>
      </w:pPr>
      <w:r>
        <w:rPr>
          <w:b/>
        </w:rPr>
        <w:t xml:space="preserve">Teacher-scoped reads: </w:t>
      </w:r>
      <w:r>
        <w:t>teacher dashboard routes require role=teacher and an institute_id Firebase claim; every analytics query is constrained to the claim institute.</w:t>
      </w:r>
    </w:p>
    <w:p>
      <w:pPr>
        <w:pStyle w:val="ListBullet"/>
      </w:pPr>
      <w:r>
        <w:rPr>
          <w:b/>
        </w:rPr>
        <w:t xml:space="preserve">Admin-scoped writes: </w:t>
      </w:r>
      <w:r>
        <w:t>institute administration, role claims, teacher application decisions, and cluster rebuild triggers require role=admin or role=superadmin.</w:t>
      </w:r>
    </w:p>
    <w:p>
      <w:pPr>
        <w:pStyle w:val="Heading1"/>
      </w:pPr>
      <w:r>
        <w:t>4. Authentication, Authorization, And Tenant Isolation</w:t>
      </w:r>
    </w:p>
    <w:p>
      <w:r>
        <w:t>backend/app/auth.py is the authentication boundary. Firebase Admin verifies bearer ID tokens. The token claims, not a user-provided request field, determine identity and role. Domain dependencies then map the verified token to a student, teacher, or admin context.</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DEPENDENCY</w:t>
            </w:r>
          </w:p>
        </w:tc>
        <w:tc>
          <w:tcPr>
            <w:tcW w:type="dxa" w:w="309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REQUIRED CLAIMS</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SIDE EFFECTS / SCOPE</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get_current_user</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Valid token; role missing, empty, or student</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Ensures Student node with id student:{uid}; returns student identity</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get_authenticated_user</w:t>
            </w:r>
          </w:p>
        </w:tc>
        <w:tc>
          <w:tcPr>
            <w:tcW w:type="dxa" w:w="309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Valid token</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Role-neutral identity for flows that must not create student side effects</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get_optional_user</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No token allowed; valid student token optional</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Anonymous is supported; elevated role is not silently treated as a student</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get_current_teacher</w:t>
            </w:r>
          </w:p>
        </w:tc>
        <w:tc>
          <w:tcPr>
            <w:tcW w:type="dxa" w:w="309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role=teacher and institute_id</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Ensures Teacher audit node; returns teacher_id and institute_id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get_current_admin</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role=admin or superadmin</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Returns admin identity for administrative actions</w:t>
            </w:r>
          </w:p>
        </w:tc>
      </w:tr>
    </w:tbl>
    <w:p>
      <w:pPr>
        <w:spacing w:after="0"/>
      </w:pPr>
    </w:p>
    <w:p>
      <w:pPr>
        <w:pStyle w:val="ListBullet"/>
      </w:pPr>
      <w:r>
        <w:t>Student identity is normalized as student:{firebase_uid}; teacher identity as teacher:{firebase_uid}.</w:t>
      </w:r>
    </w:p>
    <w:p>
      <w:pPr>
        <w:pStyle w:val="ListBullet"/>
      </w:pPr>
      <w:r>
        <w:t>Teacher analytics never trusts institute_id from query parameters or request bodies; it uses the verified claim.</w:t>
      </w:r>
    </w:p>
    <w:p>
      <w:pPr>
        <w:pStyle w:val="ListBullet"/>
      </w:pPr>
      <w:r>
        <w:t>Student detail routes verify that the target Student node belongs to the teacher's institute before returning data.</w:t>
      </w:r>
    </w:p>
    <w:p>
      <w:pPr>
        <w:pStyle w:val="ListBullet"/>
      </w:pPr>
      <w:r>
        <w:t>The backend does not treat an admin claim as a teacher claim. A dual-role account needs an explicit role policy; the current teacher dependency expects role=teacher.</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EAF2FF"/>
            <w:tcBorders>
              <w:top w:val="single" w:sz="7" w:color="82B7E8"/>
              <w:left w:val="single" w:sz="7" w:color="82B7E8"/>
              <w:bottom w:val="single" w:sz="7" w:color="82B7E8"/>
              <w:right w:val="single" w:sz="7" w:color="82B7E8"/>
            </w:tcBorders>
            <w:tcMar>
              <w:top w:w="120" w:type="dxa"/>
              <w:start w:w="140" w:type="dxa"/>
              <w:bottom w:w="120" w:type="dxa"/>
              <w:end w:w="140" w:type="dxa"/>
            </w:tcMar>
          </w:tcPr>
          <w:p>
            <w:pPr>
              <w:spacing w:after="40"/>
            </w:pPr>
            <w:r>
              <w:rPr>
                <w:b/>
                <w:color w:val="243B53"/>
                <w:sz w:val="17"/>
              </w:rPr>
              <w:t>Operational requirement</w:t>
            </w:r>
          </w:p>
          <w:p>
            <w:pPr>
              <w:spacing w:after="0"/>
            </w:pPr>
            <w:r>
              <w:rPr>
                <w:sz w:val="16"/>
              </w:rPr>
              <w:t>Firebase custom claims must be refreshed in the client after an admin changes a role. The old ID token continues to carry the old claims until refresh or reauthentication.</w:t>
            </w:r>
          </w:p>
        </w:tc>
      </w:tr>
    </w:tbl>
    <w:p>
      <w:pPr>
        <w:pStyle w:val="Heading1"/>
      </w:pPr>
      <w:r>
        <w:t>5. Neo4j Data Model And Persistence</w:t>
      </w:r>
    </w:p>
    <w:p>
      <w:r>
        <w:t>Neo4j is the system of record for curriculum structure and learner state. backend/app/database.py creates one shared driver with 30-second connection and acquisition timeouts, a 30-second transaction retry window, one-hour connection lifetime, keep-alive, and a pool size of 50.</w:t>
      </w:r>
    </w:p>
    <w:p>
      <w:pPr>
        <w:pStyle w:val="Heading2"/>
      </w:pPr>
      <w:r>
        <w:t>Core curriculum nodes and relationships</w:t>
      </w:r>
    </w:p>
    <w:p>
      <w:pPr>
        <w:pStyle w:val="ListBullet"/>
      </w:pPr>
      <w:r>
        <w:t>Grade -&gt; Subject -&gt; Textbook -&gt; Chapter -&gt; Section -&gt; Subsection is the primary navigation hierarchy.</w:t>
      </w:r>
    </w:p>
    <w:p>
      <w:pPr>
        <w:pStyle w:val="ListBullet"/>
      </w:pPr>
      <w:r>
        <w:t>Sections connect to Concept nodes through REQUIRES. Assessment first uses concepts directly required by the active section; if none exist, it collects concepts required by sections in the same chapter as evaluation-only fallback candidates.</w:t>
      </w:r>
    </w:p>
    <w:p>
      <w:pPr>
        <w:pStyle w:val="ListBullet"/>
      </w:pPr>
      <w:r>
        <w:t>Exercises belong to sections and may be associated with concepts where the curriculum data provides that linkage.</w:t>
      </w:r>
    </w:p>
    <w:p>
      <w:pPr>
        <w:pStyle w:val="Heading2"/>
      </w:pPr>
      <w:r>
        <w:t>Learner-state nodes and relationships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ENTITY</w:t>
            </w:r>
          </w:p>
        </w:tc>
        <w:tc>
          <w:tcPr>
            <w:tcW w:type="dxa" w:w="338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KEY FIELDS</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RELATIONSHIPS / USE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uid, name, email, role, grade, institute_id</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ENROLLED_IN Institute; SUBMITTED AssessmentAttempt; owns Insight and tutor sessions</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type, category, content, is_active, embedding, created_at</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ABOUT_CONCEPT, ABOUT_SOURCE, ABOUT_SUBSECTION; SUPERSEDES prior insight</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AssessmentAttempt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mode, answer metadata, status, scores, timestamps</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SUBMITTED by Student; ABOUT_SECTION/SUBSECTION/EXERCISE; ASSESSED Concept</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TutorConversation / Message</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session, role, content, timestamps</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Student-owned conversation history; loaded into LangGraph state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StudentClusterSnapshot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institute_id, run_at, algorithm, quality_json</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Contains StudentCluster nodes; historical snapshots retained</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StudentCluster</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label, size, risk metadata, explanations</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IN_SNAPSHOT; Student -[:IN_CLUSTER]-&gt; cluster with confidence/distance</w:t>
            </w:r>
          </w:p>
        </w:tc>
      </w:tr>
    </w:tbl>
    <w:p>
      <w:pPr>
        <w:spacing w:after="0"/>
      </w:pPr>
    </w:p>
    <w:p>
      <w:pPr>
        <w:pStyle w:val="Heading2"/>
      </w:pPr>
      <w:r>
        <w:t>Persistence patterns</w:t>
      </w:r>
    </w:p>
    <w:p>
      <w:pPr>
        <w:pStyle w:val="ListBullet"/>
      </w:pPr>
      <w:r>
        <w:t>Read queries use session.execute_read; write queries use session.execute_write, allowing the Neo4j driver to apply transaction retries.</w:t>
      </w:r>
    </w:p>
    <w:p>
      <w:pPr>
        <w:pStyle w:val="ListBullet"/>
      </w:pPr>
      <w:r>
        <w:t>Insight writes create a new evidence record and connect it to the relevant source/concept/subsection. Reconciliation then changes active state and creates lineage metadata rather than deleting history.</w:t>
      </w:r>
    </w:p>
    <w:p>
      <w:pPr>
        <w:pStyle w:val="ListBullet"/>
      </w:pPr>
      <w:r>
        <w:t>Assessment attempts are privacy-conscious: image answers persist count and SHA-256 hashes rather than raw image bytes; text is not stored for image-mode answers.</w:t>
      </w:r>
    </w:p>
    <w:p>
      <w:pPr>
        <w:pStyle w:val="ListBullet"/>
      </w:pPr>
      <w:r>
        <w:t>Assessment persistence is queued/attempted outside the critical learner response path. A persistence failure is observable and should not make a successful model evaluation look like a model failure.</w:t>
      </w:r>
    </w:p>
    <w:p>
      <w:pPr>
        <w:pStyle w:val="Heading1"/>
      </w:pPr>
      <w:r>
        <w:t>6. Insight Lifecycle And Reconciliation</w:t>
      </w:r>
    </w:p>
    <w:p>
      <w:r>
        <w:t>Insights are student-specific evidence attached to curriculum concepts and sources. The active state is a query projection over historical evidence, not a replacement for historical records. The written-answer and MCQ flows are: resolve target subsection -&gt; evaluate against subsection content -&gt; select valid concept candidates -&gt; validate structured evidence -&gt; insight creation -&gt; reconciliation -&gt; embedding -&gt; persistence.</w:t>
      </w:r>
    </w:p>
    <w:p>
      <w:pPr>
        <w:spacing w:after="40"/>
      </w:pPr>
      <w:r>
        <w:rPr>
          <w:b/>
          <w:color w:val="627D98"/>
          <w:sz w:val="16"/>
        </w:rPr>
        <w:t>Insight pipeline</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t>Student answer</w:t>
              <w:br/>
              <w:t xml:space="preserve">  -&gt; resolve and validate the requested subsection inside the section</w:t>
              <w:br/>
              <w:t xml:space="preserve">  -&gt; evaluate against target subsection content; full section is reference context only</w:t>
              <w:br/>
              <w:t xml:space="preserve">  -&gt; use direct section concepts, or chapter concepts when the section has none</w:t>
              <w:br/>
              <w:t xml:space="preserve">  -&gt; reject insight IDs outside the resolved candidate set</w:t>
              <w:br/>
              <w:t xml:space="preserve">  -&gt; attach accepted evidence to the target subsection/source and concept</w:t>
              <w:br/>
              <w:t xml:space="preserve">  -&gt; reconcile against active insight(s) for the same student + source/concept key</w:t>
              <w:br/>
              <w:t xml:space="preserve">  -&gt; preserve history, embed the active insight, and retrieve it later for teaching/tutor context</w:t>
            </w:r>
          </w:p>
        </w:tc>
      </w:tr>
    </w:tbl>
    <w:p>
      <w:pPr>
        <w:pStyle w:val="Heading2"/>
      </w:pPr>
      <w:r>
        <w:t>Evidence categories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08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TYPE</w:t>
            </w:r>
          </w:p>
        </w:tc>
        <w:tc>
          <w:tcPr>
            <w:tcW w:type="dxa" w:w="446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MEANING</w:t>
            </w:r>
          </w:p>
        </w:tc>
        <w:tc>
          <w:tcPr>
            <w:tcW w:type="dxa" w:w="28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TYPICAL DOWNSTREAM EFFECT</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MISCONCEPTION</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Evidence of an incorrect or conflicting mental model</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Prioritize contrastive explanation, diagnostic testing, and risk score +5</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PARTIAL_UNDERSTANDING</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Correct fragments with an unresolved conceptual gap</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Targeted example/prerequisite review and risk score +2</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COMPETENCY</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Evidence of reliable understanding or application</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Reduce risk score by 2 and allow advancement/deepening</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TAUGHT</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Supported type for instructional evidence</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Type exists in the model; active runtime routes do not currently create it</w:t>
            </w:r>
          </w:p>
        </w:tc>
      </w:tr>
    </w:tbl>
    <w:p>
      <w:pPr>
        <w:spacing w:after="0"/>
      </w:pPr>
    </w:p>
    <w:p>
      <w:pPr>
        <w:pStyle w:val="Heading2"/>
      </w:pPr>
      <w:r>
        <w:t>Reconciliation semantics</w:t>
      </w:r>
    </w:p>
    <w:p>
      <w:pPr>
        <w:pStyle w:val="ListBullet"/>
      </w:pPr>
      <w:r>
        <w:rPr>
          <w:b/>
        </w:rPr>
        <w:t xml:space="preserve">Merge: </w:t>
      </w:r>
      <w:r>
        <w:t>when new evidence is about the same underlying concept/source, the system can preserve the older true evidence and produce a coherent updated active record rather than blindly replacing it.</w:t>
      </w:r>
    </w:p>
    <w:p>
      <w:pPr>
        <w:pStyle w:val="ListBullet"/>
      </w:pPr>
      <w:r>
        <w:rPr>
          <w:b/>
        </w:rPr>
        <w:t xml:space="preserve">Replace/supersede: </w:t>
      </w:r>
      <w:r>
        <w:t>when the new evidence materially updates or contradicts the prior statement, the new insight becomes active and the previous record remains queryable through its lineage.</w:t>
      </w:r>
    </w:p>
    <w:p>
      <w:pPr>
        <w:pStyle w:val="ListBullet"/>
      </w:pPr>
      <w:r>
        <w:rPr>
          <w:b/>
        </w:rPr>
        <w:t xml:space="preserve">Active state: </w:t>
      </w:r>
      <w:r>
        <w:t>active insight reads filter is_active=true and exclude superseded records from the current summary while historical chains remain available for teacher timelines and audit.</w:t>
      </w:r>
    </w:p>
    <w:p>
      <w:pPr>
        <w:pStyle w:val="ListBullet"/>
      </w:pPr>
      <w:r>
        <w:rPr>
          <w:b/>
        </w:rPr>
        <w:t xml:space="preserve">Embedding: </w:t>
      </w:r>
      <w:r>
        <w:t>the new insight content is embedded with Fireworks qwen3-embedding-8b when the embeddings key is available; embeddings support semantic matching for tutor and clustering paths.</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FF8E1"/>
            <w:tcBorders>
              <w:top w:val="single" w:sz="7" w:color="E6B93B"/>
              <w:left w:val="single" w:sz="7" w:color="E6B93B"/>
              <w:bottom w:val="single" w:sz="7" w:color="E6B93B"/>
              <w:right w:val="single" w:sz="7" w:color="E6B93B"/>
            </w:tcBorders>
            <w:tcMar>
              <w:top w:w="120" w:type="dxa"/>
              <w:start w:w="140" w:type="dxa"/>
              <w:bottom w:w="120" w:type="dxa"/>
              <w:end w:w="140" w:type="dxa"/>
            </w:tcMar>
          </w:tcPr>
          <w:p>
            <w:pPr>
              <w:spacing w:after="40"/>
            </w:pPr>
            <w:r>
              <w:rPr>
                <w:b/>
                <w:color w:val="243B53"/>
                <w:sz w:val="17"/>
              </w:rPr>
              <w:t>Design implication</w:t>
            </w:r>
          </w:p>
          <w:p>
            <w:pPr>
              <w:spacing w:after="0"/>
            </w:pPr>
            <w:r>
              <w:rPr>
                <w:sz w:val="16"/>
              </w:rPr>
              <w:t>A newer insight does not logically make every older observation false. Reconciliation must preserve compatible evidence and only supersede what the new statement actually updates. The current graph model preserves lineage, but the quality of the final summary still depends on the model's merge/replace decision.</w:t>
            </w:r>
          </w:p>
        </w:tc>
      </w:tr>
    </w:tbl>
    <w:p>
      <w:pPr>
        <w:pStyle w:val="Heading1"/>
      </w:pPr>
      <w:r>
        <w:t>7. LLM Orchestration And Prompt Paths</w:t>
      </w:r>
    </w:p>
    <w:p>
      <w:r>
        <w:t>backend/app/services/llm.py provides one provider-neutral LLMService. It uses the OpenAI Python SDK against OpenAI-compatible endpoints and caches clients by provider and purpose. Provider selection is explicit for most production paths and can be configured through environment variables.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8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PROVIDER</w:t>
            </w:r>
          </w:p>
        </w:tc>
        <w:tc>
          <w:tcPr>
            <w:tcW w:type="dxa" w:w="324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c>
          <w:tcPr>
            <w:tcW w:type="dxa" w:w="45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CONFIGURATION</w:t>
            </w:r>
          </w:p>
        </w:tc>
      </w:tr>
      <w:tr>
        <w:tc>
          <w:tcPr>
            <w:tcW w:type="dxa" w:w="15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Fireworks</w:t>
            </w:r>
          </w:p>
        </w:tc>
        <w:tc>
          <w:tcPr>
            <w:tcW w:type="dxa" w:w="324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Default generation, embeddings, production model calls</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FIREWORKS_API_KEY; FIREWORKS_BASE_URL; FIREWORKS_MODEL; FIREWORKS_API_KEY_EMBEDDINGS; FIREWORKS_EMBEDDING_MODEL</w:t>
            </w:r>
          </w:p>
        </w:tc>
      </w:tr>
      <w:tr>
        <w:tc>
          <w:tcPr>
            <w:tcW w:type="dxa" w:w="15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Cerebras</w:t>
            </w:r>
          </w:p>
        </w:tc>
        <w:tc>
          <w:tcPr>
            <w:tcW w:type="dxa" w:w="324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Optional fast generation target/fallback</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CEREBRAS_API_KEY; CEREBRAS_BASE_URL; CEREBRAS_MODEL</w:t>
            </w:r>
          </w:p>
        </w:tc>
      </w:tr>
      <w:tr>
        <w:tc>
          <w:tcPr>
            <w:tcW w:type="dxa" w:w="15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w:t>
            </w:r>
          </w:p>
        </w:tc>
        <w:tc>
          <w:tcPr>
            <w:tcW w:type="dxa" w:w="324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image/text evaluation path</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GEMINI_API_KEY; GEMINI_OPENAI_BASE_URL; EXERCISE_EVAL_MODEL=gemini-3.1-pro-preview</w:t>
            </w:r>
          </w:p>
        </w:tc>
      </w:tr>
    </w:tbl>
    <w:p>
      <w:pPr>
        <w:spacing w:after="0"/>
      </w:pPr>
    </w:p>
    <w:p>
      <w:pPr>
        <w:pStyle w:val="Heading2"/>
      </w:pPr>
      <w:r>
        <w:t>Production LLM operations</w:t>
      </w:r>
    </w:p>
    <w:p>
      <w:pPr>
        <w:pStyle w:val="ListBullet"/>
      </w:pPr>
      <w:r>
        <w:rPr>
          <w:b/>
        </w:rPr>
        <w:t xml:space="preserve">generate_text: </w:t>
      </w:r>
      <w:r>
        <w:rPr>
          <w:b w:val="0"/>
        </w:rPr>
        <w:t>accepts system/developer/user messages, optional image data URLs, optional JSON mode, model/provider selection, and operation labels.</w:t>
      </w:r>
    </w:p>
    <w:p>
      <w:pPr>
        <w:pStyle w:val="ListBullet"/>
      </w:pPr>
      <w:r>
        <w:rPr>
          <w:b/>
        </w:rPr>
        <w:t xml:space="preserve">generate_json: </w:t>
      </w:r>
      <w:r>
        <w:rPr>
          <w:b w:val="0"/>
        </w:rPr>
        <w:t>calls the model, parses JSON, validates the expected shape in the caller, and retries parse/generation failures.</w:t>
      </w:r>
    </w:p>
    <w:p>
      <w:pPr>
        <w:pStyle w:val="ListBullet"/>
      </w:pPr>
      <w:r>
        <w:rPr>
          <w:b/>
        </w:rPr>
        <w:t xml:space="preserve">embed: </w:t>
      </w:r>
      <w:r>
        <w:rPr>
          <w:b w:val="0"/>
        </w:rPr>
        <w:t>creates an embedding for insight or query text through Fireworks; the embedding operation is separated from generation purpose.</w:t>
      </w:r>
    </w:p>
    <w:p>
      <w:pPr>
        <w:pStyle w:val="ListBullet"/>
      </w:pPr>
      <w:r>
        <w:rPr>
          <w:b/>
        </w:rPr>
        <w:t xml:space="preserve">Provider fallback: </w:t>
      </w:r>
      <w:r>
        <w:rPr>
          <w:b w:val="0"/>
        </w:rPr>
        <w:t>is not universal. It is used only when the caller supplies fallback targets; a provider misconfiguration can therefore fail the operation rather than silently switching models.</w:t>
      </w:r>
    </w:p>
    <w:p>
      <w:pPr>
        <w:pStyle w:val="ListBullet"/>
      </w:pPr>
      <w:r>
        <w:rPr>
          <w:b/>
        </w:rPr>
        <w:t xml:space="preserve">Content capture: </w:t>
      </w:r>
      <w:r>
        <w:rPr>
          <w:b w:val="0"/>
        </w:rPr>
        <w:t>prompt/response/image content is fingerprinted or hidden in telemetry by default; full content capture requires OTEL_CAPTURE_CONTENT=true.</w:t>
      </w:r>
    </w:p>
    <w:p>
      <w:pPr>
        <w:pStyle w:val="Heading2"/>
      </w:pPr>
      <w:r>
        <w:t>Context by operation</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OPERATION</w:t>
            </w:r>
          </w:p>
        </w:tc>
        <w:tc>
          <w:tcPr>
            <w:tcW w:type="dxa" w:w="43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CONTEXT SENT</w:t>
            </w:r>
          </w:p>
        </w:tc>
        <w:tc>
          <w:tcPr>
            <w:tcW w:type="dxa" w:w="27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PERSONALIZATION</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question/MCQ generation</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subsection content as primary scope; complete parent section as definitions/surrounding reference only; no concept candidates in the generation prompt</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Non-personalized and share-cache eligible; requested subsection ID is authoritative</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Section/test evaluation</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Question/answer, target subsection ground truth, full-section reference context, and direct-section or chapter-fallback concept candidates</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Personalized evaluation; accepted insights must use an exact candidate concept ID and the target subsection source ID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evaluation</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question plus text or image input and chapter prerequisite concept context</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Gemini 3.1 Pro Preview path</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explain/test</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text plus source/concept context</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remediation; not cached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tutor</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Subsection/section content plus top matched active insights and conversation state</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LangGraph-backed</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User query plus top matched active insights and persisted conversation state</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Textbook-agnostic; personalized only when active insight retrieval matches</w:t>
            </w:r>
          </w:p>
        </w:tc>
      </w:tr>
    </w:tbl>
    <w:p>
      <w:pPr>
        <w:spacing w:after="0"/>
      </w:pPr>
    </w:p>
    <w:p>
      <w:pPr>
        <w:pStyle w:val="Heading1"/>
      </w:pPr>
      <w:r>
        <w:t>8. Retry, Timeout, And Failure Semantics</w:t>
      </w:r>
    </w:p>
    <w:p>
      <w:r>
        <w:t>The backend has several retry boundaries, each with a different purpose. Retrying a provider call is not the same as retrying a Neo4j transaction, and neither should be confused with a client retry. The current LLM retry loop is immediate; it does not sleep between attempts.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BOUNDARY</w:t>
            </w:r>
          </w:p>
        </w:tc>
        <w:tc>
          <w:tcPr>
            <w:tcW w:type="dxa" w:w="432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BEHAVIOR</w:t>
            </w:r>
          </w:p>
        </w:tc>
        <w:tc>
          <w:tcPr>
            <w:tcW w:type="dxa" w:w="28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IMPORTANT CONSEQUENCE</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JSON generation</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Caller/service retries usually default to 2 retries after the initial attempt</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Can multiply provider latency; retries are immediate and should be bounded by endpoint timeout</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 helper retries usually default to 2 retries</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 failure should not erase a valid insight; downstream retrieval may have less signal</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 exercise evaluation</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 JSON helper uses approximately 90-second timeout and up to 2 retries</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Image evaluation can be slow; keep outside cache and monitor stage latency</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transaction</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Driver max_transaction_retry_time is 30 seconds</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Transient connection/transaction failures may be retried by the driver</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Remote cache</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 errors fail open to local cache/generation</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Cache outage should not become a learner-facing 500</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 persistence</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 failures are captured separately and do not necessarily fail evaluation response</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Telemetry must distinguish model success from persistence success</w:t>
            </w:r>
          </w:p>
        </w:tc>
      </w:tr>
    </w:tbl>
    <w:p>
      <w:pPr>
        <w:spacing w:after="0"/>
      </w:pPr>
    </w:p>
    <w:p>
      <w:pPr>
        <w:pStyle w:val="Heading2"/>
      </w:pPr>
      <w:r>
        <w:t>Failure classification</w:t>
      </w:r>
    </w:p>
    <w:p>
      <w:pPr>
        <w:pStyle w:val="ListBullet"/>
      </w:pPr>
      <w:r>
        <w:t>Validation failure: model returned malformed JSON or invalid enum/category; retry while attempts remain, then return a controlled error.</w:t>
      </w:r>
    </w:p>
    <w:p>
      <w:pPr>
        <w:pStyle w:val="ListBullet"/>
      </w:pPr>
      <w:r>
        <w:t>Provider failure: timeout, rate limit, unavailable model, or invalid credentials; record provider/model and operation in structured telemetry.</w:t>
      </w:r>
    </w:p>
    <w:p>
      <w:pPr>
        <w:pStyle w:val="ListBullet"/>
      </w:pPr>
      <w:r>
        <w:t>Persistence failure: Neo4j write failed after evaluation; keep an explicit persistence_failed/dead_letter_recorded assessment state where available.</w:t>
      </w:r>
    </w:p>
    <w:p>
      <w:pPr>
        <w:pStyle w:val="ListBullet"/>
      </w:pPr>
      <w:r>
        <w:t>Authorization failure: do not retry; the token, role, or institute scope is invalid.</w:t>
      </w:r>
    </w:p>
    <w:p>
      <w:pPr>
        <w:pStyle w:val="ListBullet"/>
      </w:pPr>
      <w:r>
        <w:t>Cache failure: do not fail the request solely because local/Upstash cache is unavailable; regenerate or use the origin path.</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FF0F0"/>
            <w:tcBorders>
              <w:top w:val="single" w:sz="7" w:color="E07A7A"/>
              <w:left w:val="single" w:sz="7" w:color="E07A7A"/>
              <w:bottom w:val="single" w:sz="7" w:color="E07A7A"/>
              <w:right w:val="single" w:sz="7" w:color="E07A7A"/>
            </w:tcBorders>
            <w:tcMar>
              <w:top w:w="120" w:type="dxa"/>
              <w:start w:w="140" w:type="dxa"/>
              <w:bottom w:w="120" w:type="dxa"/>
              <w:end w:w="140" w:type="dxa"/>
            </w:tcMar>
          </w:tcPr>
          <w:p>
            <w:pPr>
              <w:spacing w:after="40"/>
            </w:pPr>
            <w:r>
              <w:rPr>
                <w:b/>
                <w:color w:val="243B53"/>
                <w:sz w:val="17"/>
              </w:rPr>
              <w:t>Recommended operational improvement</w:t>
            </w:r>
          </w:p>
          <w:p>
            <w:pPr>
              <w:spacing w:after="0"/>
            </w:pPr>
            <w:r>
              <w:rPr>
                <w:sz w:val="16"/>
              </w:rPr>
              <w:t>Add bounded exponential backoff with jitter to provider retries, preserve the current attempt count in telemetry, and keep the total retry budget below the HTTP request timeout. Immediate retries can amplify rate limits during provider degradation.</w:t>
            </w:r>
          </w:p>
        </w:tc>
      </w:tr>
    </w:tbl>
    <w:p>
      <w:pPr>
        <w:pStyle w:val="Heading1"/>
      </w:pPr>
      <w:r>
        <w:t>9. Caching And Content Delivery</w:t>
      </w:r>
    </w:p>
    <w:p>
      <w:r>
        <w:t>Caching is intentionally split by personalization. Stable curriculum and non-personalized generation can be shared; student insights, evaluations, and tutor responses must not be shared across users.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08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LAYER</w:t>
            </w:r>
          </w:p>
        </w:tc>
        <w:tc>
          <w:tcPr>
            <w:tcW w:type="dxa" w:w="43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SCOPE</w:t>
            </w:r>
          </w:p>
        </w:tc>
        <w:tc>
          <w:tcPr>
            <w:tcW w:type="dxa" w:w="288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TTL / BEHAVIOR</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Curriculum in-process</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Grades, subjects, chapters, sections, subsections, exercises, concepts, graphs, lineage</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In-memory TTL/cache helper; public read headers are set by curriculum routes</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local cache</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section question and GET section MCQ</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Thread-safe LRU TTL; default 7 days; max 5,000 entries</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remote cache</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Same non-personalized generation keys when Upstash is configured</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 REST /get and /set with EX; remote failures fail open</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Frontend/session cache</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GET requests only</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Short session-level cache and in-flight request de-duplication</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Cloudflare edge</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cacheable curriculum/generation responses when rules and headers permit</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Depends on Cloudflare cache rules, cache-control, and route configuration</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R2 assets</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Chapter covers and animation HTML assets</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deterministic URLs; not learner state</w:t>
            </w:r>
          </w:p>
        </w:tc>
      </w:tr>
    </w:tbl>
    <w:p>
      <w:pPr>
        <w:spacing w:after="0"/>
      </w:pPr>
    </w:p>
    <w:p>
      <w:pPr>
        <w:pStyle w:val="Heading2"/>
      </w:pPr>
      <w:r>
        <w:t>Generation cache key</w:t>
      </w:r>
    </w:p>
    <w:p>
      <w:r>
        <w:t>The deterministic question/MCQ generation key includes endpoint type/version, section ID, requested subsection ID, variant, provider/model/fallback targets, and prompt schema version. It deliberately excludes auth identity and concept ID because concepts do not drive question generation. The v2 endpoint namespace prevents older, broader prompt results from being reused.</w:t>
      </w:r>
    </w:p>
    <w:p>
      <w:pPr>
        <w:spacing w:after="40"/>
      </w:pPr>
      <w:r>
        <w:rPr>
          <w:b/>
          <w:color w:val="627D98"/>
          <w:sz w:val="16"/>
        </w:rPr>
        <w:t>Generation response headers</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Cache-Control: public, max-age=300, s-maxage=604800, stale-while-revalidate=86400</w:t>
            </w:r>
          </w:p>
          <w:p>
            <w:pPr>
              <w:spacing w:after="0" w:line="240" w:lineRule="auto"/>
            </w:pPr>
            <w:r>
              <w:rPr>
                <w:rFonts w:ascii="Consolas" w:hAnsi="Consolas"/>
                <w:color w:val="243B53"/>
                <w:sz w:val="15"/>
              </w:rPr>
              <w:t>CDN-Cache-Control: public, max-age=604800, stale-while-revalidate=86400</w:t>
            </w:r>
          </w:p>
          <w:p>
            <w:pPr>
              <w:spacing w:after="0" w:line="240" w:lineRule="auto"/>
            </w:pPr>
            <w:r>
              <w:rPr>
                <w:rFonts w:ascii="Consolas" w:hAnsi="Consolas"/>
                <w:color w:val="243B53"/>
                <w:sz w:val="15"/>
              </w:rPr>
              <w:t>X-Gen-Cache: HIT | MISS</w:t>
            </w:r>
          </w:p>
          <w:p>
            <w:pPr>
              <w:spacing w:after="0" w:line="240" w:lineRule="auto"/>
            </w:pPr>
            <w:r>
              <w:rPr>
                <w:rFonts w:ascii="Consolas" w:hAnsi="Consolas"/>
                <w:color w:val="243B53"/>
                <w:sz w:val="15"/>
              </w:rPr>
              <w:t>X-Gen-Cache-Key: &lt;short hash&gt;</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FFF0F0"/>
            <w:tcBorders>
              <w:top w:val="single" w:sz="7" w:color="E07A7A"/>
              <w:left w:val="single" w:sz="7" w:color="E07A7A"/>
              <w:bottom w:val="single" w:sz="7" w:color="E07A7A"/>
              <w:right w:val="single" w:sz="7" w:color="E07A7A"/>
            </w:tcBorders>
            <w:tcMar>
              <w:top w:w="120" w:type="dxa"/>
              <w:start w:w="140" w:type="dxa"/>
              <w:bottom w:w="120" w:type="dxa"/>
              <w:end w:w="140" w:type="dxa"/>
            </w:tcMar>
          </w:tcPr>
          <w:p>
            <w:pPr>
              <w:spacing w:after="40"/>
            </w:pPr>
            <w:r>
              <w:rPr>
                <w:b/>
                <w:color w:val="243B53"/>
                <w:sz w:val="17"/>
              </w:rPr>
              <w:t>Never cache these responses publicly</w:t>
            </w:r>
          </w:p>
          <w:p>
            <w:pPr>
              <w:spacing w:after="0"/>
            </w:pPr>
            <w:r>
              <w:rPr>
                <w:sz w:val="16"/>
              </w:rPr>
              <w:t>Student insight lists, insight explain/test/evaluate responses, section/global tutor chat, assessment evaluation, exercise evaluation, profile/institute responses, teacher analytics, and admin operations are personalized or sensitive. They should use private/no-store or authenticated response behavior.</w:t>
            </w:r>
          </w:p>
        </w:tc>
      </w:tr>
    </w:tbl>
    <w:p>
      <w:pPr>
        <w:pStyle w:val="Heading1"/>
      </w:pPr>
      <w:r>
        <w:t>10. AI Tutor And LangGraph State</w:t>
      </w:r>
    </w:p>
    <w:p>
      <w:r>
        <w:t>The tutor router exposes two related experiences. The section tutor receives textbook context for the current section/subsection. The global tutor is textbook-agnostic and uses semantic retrieval to bring in active student insights only when the query is close enough. Both persist conversation history in Neo4j.</w:t>
      </w:r>
    </w:p>
    <w:p>
      <w:pPr>
        <w:spacing w:after="40"/>
      </w:pPr>
      <w:r>
        <w:rPr>
          <w:b/>
          <w:color w:val="627D98"/>
          <w:sz w:val="16"/>
        </w:rPr>
        <w:t>Tutor flow</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User query</w:t>
            </w:r>
          </w:p>
          <w:p>
            <w:pPr>
              <w:spacing w:after="0" w:line="240" w:lineRule="auto"/>
            </w:pPr>
            <w:r>
              <w:rPr>
                <w:rFonts w:ascii="Consolas" w:hAnsi="Consolas"/>
                <w:color w:val="243B53"/>
                <w:sz w:val="15"/>
              </w:rPr>
              <w:t xml:space="preserve">  -&gt; create/load conversation session</w:t>
            </w:r>
          </w:p>
          <w:p>
            <w:pPr>
              <w:spacing w:after="0" w:line="240" w:lineRule="auto"/>
            </w:pPr>
            <w:r>
              <w:rPr>
                <w:rFonts w:ascii="Consolas" w:hAnsi="Consolas"/>
                <w:color w:val="243B53"/>
                <w:sz w:val="15"/>
              </w:rPr>
              <w:t xml:space="preserve">  -&gt; embed query</w:t>
            </w:r>
          </w:p>
          <w:p>
            <w:pPr>
              <w:spacing w:after="0" w:line="240" w:lineRule="auto"/>
            </w:pPr>
            <w:r>
              <w:rPr>
                <w:rFonts w:ascii="Consolas" w:hAnsi="Consolas"/>
                <w:color w:val="243B53"/>
                <w:sz w:val="15"/>
              </w:rPr>
              <w:t xml:space="preserve">  -&gt; retrieve top active student insights</w:t>
            </w:r>
          </w:p>
          <w:p>
            <w:pPr>
              <w:spacing w:after="0" w:line="240" w:lineRule="auto"/>
            </w:pPr>
            <w:r>
              <w:rPr>
                <w:rFonts w:ascii="Consolas" w:hAnsi="Consolas"/>
                <w:color w:val="243B53"/>
                <w:sz w:val="15"/>
              </w:rPr>
              <w:t xml:space="preserve">  -&gt; assemble section or global context</w:t>
            </w:r>
          </w:p>
          <w:p>
            <w:pPr>
              <w:spacing w:after="0" w:line="240" w:lineRule="auto"/>
            </w:pPr>
            <w:r>
              <w:rPr>
                <w:rFonts w:ascii="Consolas" w:hAnsi="Consolas"/>
                <w:color w:val="243B53"/>
                <w:sz w:val="15"/>
              </w:rPr>
              <w:t xml:space="preserve">  -&gt; LangGraph state node invokes LLM</w:t>
            </w:r>
          </w:p>
          <w:p>
            <w:pPr>
              <w:spacing w:after="0" w:line="240" w:lineRule="auto"/>
            </w:pPr>
            <w:r>
              <w:rPr>
                <w:rFonts w:ascii="Consolas" w:hAnsi="Consolas"/>
                <w:color w:val="243B53"/>
                <w:sz w:val="15"/>
              </w:rPr>
              <w:t xml:space="preserve">  -&gt; persist user message + assistant message</w:t>
            </w:r>
          </w:p>
          <w:p>
            <w:pPr>
              <w:spacing w:after="0" w:line="240" w:lineRule="auto"/>
            </w:pPr>
            <w:r>
              <w:rPr>
                <w:rFonts w:ascii="Consolas" w:hAnsi="Consolas"/>
                <w:color w:val="243B53"/>
                <w:sz w:val="15"/>
              </w:rPr>
              <w:t xml:space="preserve">  -&gt; return response and matched insight/concept metadata</w:t>
            </w:r>
          </w:p>
        </w:tc>
      </w:tr>
    </w:tbl>
    <w:p>
      <w:pPr>
        <w:pStyle w:val="ListBullet"/>
      </w:pPr>
      <w:r>
        <w:t>LangGraph is used for stateful tutor interaction, not for curriculum extraction or teacher clustering.</w:t>
      </w:r>
    </w:p>
    <w:p>
      <w:pPr>
        <w:pStyle w:val="ListBullet"/>
      </w:pPr>
      <w:r>
        <w:t>Conversation state is keyed to the authenticated student and session; latest-session and session-list endpoints read persisted history.</w:t>
      </w:r>
    </w:p>
    <w:p>
      <w:pPr>
        <w:pStyle w:val="ListBullet"/>
      </w:pPr>
      <w:r>
        <w:t>Matched insights are active-only retrieval context. Superseded evidence remains history but is not injected as current learner state unless a specific historical route asks for it.</w:t>
      </w:r>
    </w:p>
    <w:p>
      <w:pPr>
        <w:pStyle w:val="ListBullet"/>
      </w:pPr>
      <w:r>
        <w:t>The frontend renders Markdown-style content; model output is not instructed to avoid Markdown. Tables and math need a renderer that understands the returned syntax.</w:t>
      </w:r>
    </w:p>
    <w:p>
      <w:pPr>
        <w:pStyle w:val="ListBullet"/>
      </w:pPr>
      <w:r>
        <w:t>Tutor response generation is not in the shared generation cache because it is user-specific and conversational.</w:t>
      </w:r>
    </w:p>
    <w:p>
      <w:pPr>
        <w:pStyle w:val="Heading1"/>
      </w:pPr>
      <w:r>
        <w:t>11. Teacher Analytics And Semantic Clustering</w:t>
      </w:r>
    </w:p>
    <w:p>
      <w:r>
        <w:t>Teacher endpoints are institute-scoped. The dashboard computes risk from active insights and reads persisted cluster snapshots. The clustering pipeline is manual/cron-driven through backend/scripts/build_teacher_clusters.py and can also be triggered through an admin endpoint.</w:t>
      </w:r>
    </w:p>
    <w:p>
      <w:pPr>
        <w:pStyle w:val="Heading2"/>
      </w:pPr>
      <w:r>
        <w:t>Risk scoring</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SIGNAL</w:t>
            </w:r>
          </w:p>
        </w:tc>
        <w:tc>
          <w:tcPr>
            <w:tcW w:type="dxa" w:w="187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WEIGHT</w:t>
            </w:r>
          </w:p>
        </w:tc>
        <w:tc>
          <w:tcPr>
            <w:tcW w:type="dxa" w:w="45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NOTES</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MISCONCEPTION</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+5</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misconception evidence</w:t>
            </w:r>
          </w:p>
        </w:tc>
      </w:tr>
      <w:tr>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PARTIAL_UNDERSTANDING</w:t>
            </w:r>
          </w:p>
        </w:tc>
        <w:tc>
          <w:tcPr>
            <w:tcW w:type="dxa" w:w="187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partial evidence</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COMPETENCY</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Offsets risk</w:t>
            </w:r>
          </w:p>
        </w:tc>
      </w:tr>
      <w:tr>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Recency</w:t>
            </w:r>
          </w:p>
        </w:tc>
        <w:tc>
          <w:tcPr>
            <w:tcW w:type="dxa" w:w="187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1.25 / 1.0 / 0.75</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&lt;=7 days / 8-30 days / &gt;30 days</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 active misconception with supersession depth &gt;=2</w:t>
            </w:r>
          </w:p>
        </w:tc>
      </w:tr>
    </w:tbl>
    <w:p>
      <w:pPr>
        <w:spacing w:after="0"/>
      </w:pPr>
    </w:p>
    <w:p>
      <w:r>
        <w:t>Risk bands are HIGH for scores &gt;=15, MEDIUM for 7-14, and LOW for &lt;=6. Reason codes include HIGH_MISCONCEPTION_COUNT, PERSISTENT_MISCONCEPTIONS, and LOW_COMPETENCY_OFFSET.</w:t>
      </w:r>
    </w:p>
    <w:p>
      <w:pPr>
        <w:pStyle w:val="Heading2"/>
      </w:pPr>
      <w:r>
        <w:t>Semantic clustering V2</w:t>
      </w:r>
    </w:p>
    <w:p>
      <w:pPr>
        <w:pStyle w:val="ListBullet"/>
      </w:pPr>
      <w:r>
        <w:t>Only active insight embeddings are included.</w:t>
      </w:r>
    </w:p>
    <w:p>
      <w:pPr>
        <w:pStyle w:val="ListBullet"/>
      </w:pPr>
      <w:r>
        <w:t>Student vectors are weighted means: misconception 1.0, partial understanding 0.6, competency 0.3, with recency decay.</w:t>
      </w:r>
    </w:p>
    <w:p>
      <w:pPr>
        <w:pStyle w:val="ListBullet"/>
      </w:pPr>
      <w:r>
        <w:t>Students must pass minimum insight count and vector norm gates; vectors are L2-normalized before clustering.</w:t>
      </w:r>
    </w:p>
    <w:p>
      <w:pPr>
        <w:pStyle w:val="ListBullet"/>
      </w:pPr>
      <w:r>
        <w:t>HDBSCAN is primary because it can find natural groups and noise. KMeans is an explicit fallback when the dataset is too small, HDBSCAN degenerates to one cluster/noise, or the algorithm fails.</w:t>
      </w:r>
    </w:p>
    <w:p>
      <w:pPr>
        <w:pStyle w:val="ListBullet"/>
      </w:pPr>
      <w:r>
        <w:t>Noise is retained as an UNASSIGNED/NOISE cluster for teacher awareness rather than silently dropped.</w:t>
      </w:r>
    </w:p>
    <w:p>
      <w:pPr>
        <w:pStyle w:val="ListBullet"/>
      </w:pPr>
      <w:r>
        <w:t>Snapshots preserve algorithm, engine version, eligible/noise counts, quality metrics, dominant concepts, terms, misconception statements, risk-band composition, and rule-based recommended actions.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316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SNAPSHOT FIELD</w:t>
            </w:r>
          </w:p>
        </w:tc>
        <w:tc>
          <w:tcPr>
            <w:tcW w:type="dxa" w:w="61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algorithm / engine_version</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Distinguishes hdbscan from kmeans_fallback and enables future rebuild comparisons</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quality_json</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Silhouette, noise ratio, size imbalance, and cluster entropy</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eligible_students / noise_students</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Explains coverage and sparse-data behavior</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risk_band_counts_json</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Shows intervention mix inside each cluster</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top_concepts_json / top_misconceptions_json</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Makes clusters teacher-actionable rather than embedding-only</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IN_CLUSTER confidence/distance</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Stores membership quality where the algorithm provides it</w:t>
            </w:r>
          </w:p>
        </w:tc>
      </w:tr>
    </w:tbl>
    <w:p>
      <w:pPr>
        <w:spacing w:after="0"/>
      </w:pPr>
    </w:p>
    <w:tbl>
      <w:tblPr>
        <w:tblW w:type="auto" w:w="0"/>
        <w:jc w:val="left"/>
        <w:tblLayout w:type="fixed"/>
        <w:tblLook w:firstColumn="1" w:firstRow="1" w:lastColumn="0" w:lastRow="0" w:noHBand="0" w:noVBand="1" w:val="04A0"/>
      </w:tblPr>
      <w:tblGrid>
        <w:gridCol w:w="9994"/>
      </w:tblGrid>
      <w:tr>
        <w:trPr>
          <w:tblHeader w:val="true"/>
        </w:trPr>
        <w:tc>
          <w:tcPr>
            <w:tcW w:type="dxa" w:w="9994"/>
            <w:shd w:fill="FFF8E1"/>
            <w:tcBorders>
              <w:top w:val="single" w:sz="7" w:color="E6B93B"/>
              <w:left w:val="single" w:sz="7" w:color="E6B93B"/>
              <w:bottom w:val="single" w:sz="7" w:color="E6B93B"/>
              <w:right w:val="single" w:sz="7" w:color="E6B93B"/>
            </w:tcBorders>
            <w:tcMar>
              <w:top w:w="120" w:type="dxa"/>
              <w:start w:w="140" w:type="dxa"/>
              <w:bottom w:w="120" w:type="dxa"/>
              <w:end w:w="140" w:type="dxa"/>
            </w:tcMar>
          </w:tcPr>
          <w:p>
            <w:pPr>
              <w:spacing w:after="40"/>
            </w:pPr>
            <w:r>
              <w:rPr>
                <w:b/>
                <w:color w:val="243B53"/>
                <w:sz w:val="17"/>
              </w:rPr>
              <w:t>Why the dashboard can show no clusters</w:t>
            </w:r>
          </w:p>
          <w:p>
            <w:pPr>
              <w:spacing w:after="0"/>
            </w:pPr>
            <w:r>
              <w:rPr>
                <w:sz w:val="16"/>
              </w:rPr>
              <w:t>Snapshots are not created when an institute has no eligible students or when the cluster job has not run successfully. Cluster reads are snapshot reads; they do not build clusters synchronously during a dashboard request. The snapshot job must run against the same production Neo4j database used by the API.</w:t>
            </w:r>
          </w:p>
        </w:tc>
      </w:tr>
    </w:tbl>
    <w:p>
      <w:pPr>
        <w:pStyle w:val="Heading1"/>
      </w:pPr>
      <w:r>
        <w:t>12. Assessment Context, Concept Fallback, And Insight Scope</w:t>
      </w:r>
    </w:p>
    <w:p>
      <w:r>
        <w:t>The production assessment contract separates question content from insight classification. Question and MCQ generation are controlled by the requested subsection content, with the full parent section supplied only as reference context. Concept candidates are introduced only during answer evaluation and insight creation.</w:t>
      </w:r>
    </w:p>
    <w:tbl>
      <w:tblPr>
        <w:tblW w:type="auto" w:w="0"/>
        <w:jc w:val="left"/>
        <w:tblLayout w:type="fixed"/>
        <w:tblLook w:firstColumn="1" w:firstRow="1" w:lastColumn="0" w:lastRow="0" w:noHBand="0" w:noVBand="1" w:val="04A0"/>
      </w:tblPr>
      <w:tblGrid>
        <w:gridCol w:w="3331"/>
        <w:gridCol w:w="3331"/>
        <w:gridCol w:w="3331"/>
      </w:tblGrid>
      <w:tr>
        <w:trPr>
          <w:tblHeader w:val="true"/>
          <w:cantSplit/>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STAGE</w:t>
            </w:r>
          </w:p>
        </w:tc>
        <w:tc>
          <w:tcPr>
            <w:tcW w:type="dxa" w:w="482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CONTENT BOUNDARY</w:t>
            </w:r>
          </w:p>
        </w:tc>
        <w:tc>
          <w:tcPr>
            <w:tcW w:type="dxa" w:w="230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CONCEPT BEHAVIOR</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Metadata load</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Collect ordered subsection IDs, titles, and content; build complete section reference text</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Select concepts directly required by the section; if none, collect concepts required by sections in the same chapter</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resolution</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Require the submitted subsection ID to belong to the requested section</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No concept is needed to resolve or render the subsection; invalid membership returns 400</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Question / MCQ generation</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subsection content is primary; full section may clarify notation, definitions, or surrounding context</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Concept IDs and names are excluded from the generation prompt and cache identity</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Answer evaluation</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Judge only against the target subsection; do not require sibling-only facts</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Expose either direct-section candidates or explicitly labeled chapter-fallback candidates</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Insight validation</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Accept only evidence meaningfully supported by the tested question and learner answer</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Reject concept IDs outside the resolved candidate set and invalid type/category values; an empty insight list is valid</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Persistence</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Force source_id to the validated target subsection</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Persist only accepted concept links; unauthenticated or empty-insight cases are skipped without changing the evaluation result</w:t>
            </w:r>
          </w:p>
        </w:tc>
      </w:tr>
    </w:tbl>
    <w:p>
      <w:pPr>
        <w:spacing w:after="0"/>
      </w:pPr>
    </w:p>
    <w:p>
      <w:pPr>
        <w:pStyle w:val="Heading2"/>
      </w:pPr>
      <w:r>
        <w:t>Concept-scope selection</w:t>
      </w:r>
    </w:p>
    <w:p>
      <w:pPr>
        <w:pStyle w:val="ListBullet"/>
      </w:pPr>
      <w:r>
        <w:t>Direct scope: if the active section has one or more direct REQUIRES Concept relationships, only those concepts are candidates for assessment insights.</w:t>
      </w:r>
    </w:p>
    <w:p>
      <w:pPr>
        <w:pStyle w:val="ListBullet"/>
      </w:pPr>
      <w:r>
        <w:t>Chapter fallback: if the active section has no direct concepts, concepts required by other sections in the same chapter become evaluation-only candidates. This is the section 10.3 case.</w:t>
      </w:r>
    </w:p>
    <w:p>
      <w:pPr>
        <w:pStyle w:val="ListBullet"/>
      </w:pPr>
      <w:r>
        <w:t>No candidates: if neither direct nor chapter concepts exist, the answer can still be evaluated, but returned insights are filtered to an empty list.</w:t>
      </w:r>
    </w:p>
    <w:p>
      <w:pPr>
        <w:pStyle w:val="ListBullet"/>
      </w:pPr>
      <w:r>
        <w:t>Source integrity: every accepted insight receives the validated target subsection as source_id, regardless of what the model returns.</w:t>
      </w:r>
    </w:p>
    <w:p>
      <w:pPr>
        <w:pStyle w:val="Heading2"/>
      </w:pPr>
      <w:r>
        <w:t>Focused regression coverage</w:t>
      </w:r>
    </w:p>
    <w:p>
      <w:pPr>
        <w:spacing w:after="40"/>
      </w:pPr>
      <w:r>
        <w:rPr>
          <w:b/>
          <w:color w:val="627D98"/>
          <w:sz w:val="16"/>
        </w:rPr>
        <w:t>Current contract checks in backend/tests/test_assessment_context.py</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t>generation uses target content plus full-section reference and excludes concepts</w:t>
              <w:br/>
              <w:t>subsection IDs outside the section are rejected before model evaluation</w:t>
              <w:br/>
              <w:t>a section with no valid concepts evaluates successfully with empty insights</w:t>
              <w:br/>
              <w:t>MCQ evaluation accepts an insight from the declared chapter-fallback scope</w:t>
              <w:br/>
              <w:t>the curriculum concept route does not shadow the /test namespace</w:t>
              <w:br/>
              <w:t>verified locally: 7 focused tests passed</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EAF2FF"/>
            <w:tcBorders>
              <w:top w:val="single" w:sz="7" w:color="82B7E8"/>
              <w:left w:val="single" w:sz="7" w:color="82B7E8"/>
              <w:bottom w:val="single" w:sz="7" w:color="82B7E8"/>
              <w:right w:val="single" w:sz="7" w:color="82B7E8"/>
            </w:tcBorders>
            <w:tcMar>
              <w:top w:w="120" w:type="dxa"/>
              <w:start w:w="140" w:type="dxa"/>
              <w:bottom w:w="120" w:type="dxa"/>
              <w:end w:w="140" w:type="dxa"/>
            </w:tcMar>
          </w:tcPr>
          <w:p>
            <w:pPr>
              <w:spacing w:after="40"/>
            </w:pPr>
            <w:r>
              <w:rPr>
                <w:b/>
                <w:color w:val="243B53"/>
                <w:sz w:val="17"/>
              </w:rPr>
              <w:t>Important boundary</w:t>
              <w:br/>
            </w:r>
            <w:r>
              <w:rPr>
                <w:b w:val="0"/>
                <w:color w:val="243B53"/>
                <w:sz w:val="17"/>
              </w:rPr>
              <w:t>The full section is sent because an individual subsection may omit definitions or nearby context. It is reference material, not permission to test sibling subsections. Likewise, chapter concepts are fallback labels for evaluation and insight creation; they do not broaden question generation.</w:t>
            </w:r>
          </w:p>
        </w:tc>
      </w:tr>
    </w:tbl>
    <w:p>
      <w:pPr>
        <w:pStyle w:val="Heading1"/>
      </w:pPr>
      <w:r>
        <w:t>13. Security And Privacy Controls</w:t>
      </w:r>
    </w:p>
    <w:p>
      <w:pPr>
        <w:pStyle w:val="ListBullet"/>
      </w:pPr>
      <w:r>
        <w:t>Firebase ID tokens are verified server-side; the backend never trusts a client-supplied UID, role, or institute for protected operations.</w:t>
      </w:r>
    </w:p>
    <w:p>
      <w:pPr>
        <w:pStyle w:val="ListBullet"/>
      </w:pPr>
      <w:r>
        <w:t>Teacher analytics always constrain Student and Insight queries by the teacher claim's institute_id.</w:t>
      </w:r>
    </w:p>
    <w:p>
      <w:pPr>
        <w:pStyle w:val="ListBullet"/>
      </w:pPr>
      <w:r>
        <w:t>Public curriculum routes exclude student-specific fields. Personalized routes are authenticated and should not be edge-cached publicly.</w:t>
      </w:r>
    </w:p>
    <w:p>
      <w:pPr>
        <w:pStyle w:val="ListBullet"/>
      </w:pPr>
      <w:r>
        <w:t>Raw exercise images are not persisted in AssessmentAttempt; only count and hashes are retained for audit/correlation.</w:t>
      </w:r>
    </w:p>
    <w:p>
      <w:pPr>
        <w:pStyle w:val="ListBullet"/>
      </w:pPr>
      <w:r>
        <w:t>Tutor conversations are student-specific Neo4j records and are not included in public retrieval.</w:t>
      </w:r>
    </w:p>
    <w:p>
      <w:pPr>
        <w:pStyle w:val="ListBullet"/>
      </w:pPr>
      <w:r>
        <w:t>R2 and provider credentials belong in deployment secrets, never in frontend bundles, committed source, or documentation.</w:t>
      </w:r>
    </w:p>
    <w:p>
      <w:pPr>
        <w:pStyle w:val="ListBullet"/>
      </w:pPr>
      <w:r>
        <w:t>Safe request IDs and hashed content fingerprints reduce accidental leakage in logs.</w:t>
      </w:r>
    </w:p>
    <w:p>
      <w:pPr>
        <w:pStyle w:val="ListBullet"/>
      </w:pPr>
      <w:r>
        <w:t>CORS is an origin control, not authentication. Production origins must be explicitly configured; wildcard origins with credentials would be unsafe.</w:t>
      </w:r>
    </w:p>
    <w:p>
      <w:pPr>
        <w:pStyle w:val="Heading2"/>
      </w:pPr>
      <w:r>
        <w:t>Security review priorities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15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PRIORITY</w:t>
            </w:r>
          </w:p>
        </w:tc>
        <w:tc>
          <w:tcPr>
            <w:tcW w:type="dxa" w:w="82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ACTION</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Keep production CORS allowlist narrow and verify the deployed API response includes the exact frontend origin for OPTIONS and authenticated requests.</w:t>
            </w:r>
          </w:p>
        </w:tc>
      </w:tr>
      <w:tr>
        <w:tc>
          <w:tcPr>
            <w:tcW w:type="dxa" w:w="115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Rotate any provider/R2 token that has ever been pasted into chat, screenshots, shell history, or committed files.</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Enforce authentication/authorization on every new personalized route before adding cache rules.</w:t>
            </w:r>
          </w:p>
        </w:tc>
      </w:tr>
      <w:tr>
        <w:tc>
          <w:tcPr>
            <w:tcW w:type="dxa" w:w="115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Medium</w:t>
            </w:r>
          </w:p>
        </w:tc>
        <w:tc>
          <w:tcPr>
            <w:tcW w:type="dxa" w:w="82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Add rate limits and request-size limits consistently to expensive LLM and image evaluation routes.</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Medium</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Add explicit schema validation for all persisted insight categories and source/concept linkage.</w:t>
            </w:r>
          </w:p>
        </w:tc>
      </w:tr>
    </w:tbl>
    <w:p>
      <w:pPr>
        <w:spacing w:after="0"/>
      </w:pPr>
    </w:p>
    <w:p>
      <w:pPr>
        <w:pStyle w:val="Heading1"/>
      </w:pPr>
      <w:r>
        <w:t>14. Configuration And Deployment</w:t>
      </w:r>
    </w:p>
    <w:p>
      <w:r>
        <w:t>Configuration is loaded by pydantic-settings in backend/app/config.py. The deployment image runs Uvicorn on 0.0.0.0:8000. Fly uses /health for service checks and currently has auto-stop disabled with one minimum machine in the repository configuration.</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80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GROUP</w:t>
            </w:r>
          </w:p>
        </w:tc>
        <w:tc>
          <w:tcPr>
            <w:tcW w:type="dxa" w:w="46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VARIABLES</w:t>
            </w:r>
          </w:p>
        </w:tc>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ROLE</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NEO4J_URI, NEO4J_USER, NEO4J_PASSWORD</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Graph database connection</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FIREBASE_SERVICE_ACCOUNT or FIREBASE_SERVICE_ACCOUNT_JSON</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Server-side token verification and claims administration</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GEMINI_API_KEY, FIREWORKS_API_KEY, FIREWORKS_API_KEY_EMBEDDINGS, CEREBRAS_API_KEY plus base URLs/models</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evaluation, and embeddings</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Telemetry</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OTEL_ENABLED, OTEL_SERVICE_NAME, OTEL_EXPORTER_OTLP_*</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OpenTelemetry traces/metrics</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cache</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GEN_CACHE_TTL_SECONDS, GEN_CACHE_MAX_ENTRIES, GEN_PROMPT_VERSION</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Local/remote generation cache policy</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UPSTASH_REDIS_REST_URL, UPSTASH_REDIS_REST_TOKEN</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Optional shared generation cache</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Frontend/CORS</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FRONTEND_URL, CORS_ORIGINS</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Allowed browser origins and deployment integration</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R2 assets</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ANIMATIONS_R2_PUBLIC_BASE_URL, CHAPTER_COVERS_ASSETS_DOMAIN, CHAPTER_COVERS_PREFIX</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curriculum media URLs</w:t>
            </w:r>
          </w:p>
        </w:tc>
      </w:tr>
    </w:tbl>
    <w:p>
      <w:pPr>
        <w:spacing w:after="0"/>
      </w:pPr>
    </w:p>
    <w:p>
      <w:pPr>
        <w:spacing w:after="40"/>
      </w:pPr>
      <w:r>
        <w:rPr>
          <w:b/>
          <w:color w:val="627D98"/>
          <w:sz w:val="16"/>
        </w:rPr>
        <w:t>Current Fly service shape</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[http_service]</w:t>
            </w:r>
          </w:p>
          <w:p>
            <w:pPr>
              <w:spacing w:after="0" w:line="240" w:lineRule="auto"/>
            </w:pPr>
            <w:r>
              <w:rPr>
                <w:rFonts w:ascii="Consolas" w:hAnsi="Consolas"/>
                <w:color w:val="243B53"/>
                <w:sz w:val="15"/>
              </w:rPr>
              <w:t xml:space="preserve">  internal_port = 8000</w:t>
            </w:r>
          </w:p>
          <w:p>
            <w:pPr>
              <w:spacing w:after="0" w:line="240" w:lineRule="auto"/>
            </w:pPr>
            <w:r>
              <w:rPr>
                <w:rFonts w:ascii="Consolas" w:hAnsi="Consolas"/>
                <w:color w:val="243B53"/>
                <w:sz w:val="15"/>
              </w:rPr>
              <w:t xml:space="preserve">  force_https = true</w:t>
            </w:r>
          </w:p>
          <w:p>
            <w:pPr>
              <w:spacing w:after="0" w:line="240" w:lineRule="auto"/>
            </w:pPr>
            <w:r>
              <w:rPr>
                <w:rFonts w:ascii="Consolas" w:hAnsi="Consolas"/>
                <w:color w:val="243B53"/>
                <w:sz w:val="15"/>
              </w:rPr>
              <w:t xml:space="preserve">  auto_stop_machines = 'off'</w:t>
            </w:r>
          </w:p>
          <w:p>
            <w:pPr>
              <w:spacing w:after="0" w:line="240" w:lineRule="auto"/>
            </w:pPr>
            <w:r>
              <w:rPr>
                <w:rFonts w:ascii="Consolas" w:hAnsi="Consolas"/>
                <w:color w:val="243B53"/>
                <w:sz w:val="15"/>
              </w:rPr>
              <w:t xml:space="preserve">  auto_start_machines = true</w:t>
            </w:r>
          </w:p>
          <w:p>
            <w:pPr>
              <w:spacing w:after="0" w:line="240" w:lineRule="auto"/>
            </w:pPr>
            <w:r>
              <w:rPr>
                <w:rFonts w:ascii="Consolas" w:hAnsi="Consolas"/>
                <w:color w:val="243B53"/>
                <w:sz w:val="15"/>
              </w:rPr>
              <w:t xml:space="preserve">  min_machines_running = 1</w:t>
            </w:r>
          </w:p>
          <w:p>
            <w:pPr>
              <w:spacing w:after="0" w:line="240" w:lineRule="auto"/>
            </w:pPr>
            <w:r>
              <w:rPr>
                <w:rFonts w:ascii="Consolas" w:hAnsi="Consolas"/>
                <w:color w:val="243B53"/>
                <w:sz w:val="15"/>
              </w:rPr>
            </w:r>
          </w:p>
          <w:p>
            <w:pPr>
              <w:spacing w:after="0" w:line="240" w:lineRule="auto"/>
            </w:pPr>
            <w:r>
              <w:rPr>
                <w:rFonts w:ascii="Consolas" w:hAnsi="Consolas"/>
                <w:color w:val="243B53"/>
                <w:sz w:val="15"/>
              </w:rPr>
              <w:t>[[http_service.checks]]</w:t>
            </w:r>
          </w:p>
          <w:p>
            <w:pPr>
              <w:spacing w:after="0" w:line="240" w:lineRule="auto"/>
            </w:pPr>
            <w:r>
              <w:rPr>
                <w:rFonts w:ascii="Consolas" w:hAnsi="Consolas"/>
                <w:color w:val="243B53"/>
                <w:sz w:val="15"/>
              </w:rPr>
              <w:t xml:space="preserve">  method = 'GET'</w:t>
            </w:r>
          </w:p>
          <w:p>
            <w:pPr>
              <w:spacing w:after="0" w:line="240" w:lineRule="auto"/>
            </w:pPr>
            <w:r>
              <w:rPr>
                <w:rFonts w:ascii="Consolas" w:hAnsi="Consolas"/>
                <w:color w:val="243B53"/>
                <w:sz w:val="15"/>
              </w:rPr>
              <w:t xml:space="preserve">  path = '/health'</w:t>
            </w:r>
          </w:p>
          <w:p>
            <w:pPr>
              <w:spacing w:after="0" w:line="240" w:lineRule="auto"/>
            </w:pPr>
            <w:r>
              <w:rPr>
                <w:rFonts w:ascii="Consolas" w:hAnsi="Consolas"/>
                <w:color w:val="243B53"/>
                <w:sz w:val="15"/>
              </w:rPr>
              <w:t xml:space="preserve">  interval = '30s'</w:t>
            </w:r>
          </w:p>
          <w:p>
            <w:pPr>
              <w:spacing w:after="0" w:line="240" w:lineRule="auto"/>
            </w:pPr>
            <w:r>
              <w:rPr>
                <w:rFonts w:ascii="Consolas" w:hAnsi="Consolas"/>
                <w:color w:val="243B53"/>
                <w:sz w:val="15"/>
              </w:rPr>
              <w:t xml:space="preserve">  timeout = '15s'</w:t>
            </w:r>
          </w:p>
        </w:tc>
      </w:tr>
    </w:tbl>
    <w:p>
      <w:pPr>
        <w:pStyle w:val="Heading2"/>
      </w:pPr>
      <w:r>
        <w:t>Deployment dependencies</w:t>
      </w:r>
    </w:p>
    <w:p>
      <w:pPr>
        <w:pStyle w:val="ListBullet"/>
      </w:pPr>
      <w:r>
        <w:t>Neo4j connectivity from Fly must be stable; a sleeping or cold remote database can create connection timeouts on the first request.</w:t>
      </w:r>
    </w:p>
    <w:p>
      <w:pPr>
        <w:pStyle w:val="ListBullet"/>
      </w:pPr>
      <w:r>
        <w:t>The runtime image must listen on 0.0.0.0:8000, not localhost. Fly's health check is the first diagnostic for port/startup failures.</w:t>
      </w:r>
    </w:p>
    <w:p>
      <w:pPr>
        <w:pStyle w:val="ListBullet"/>
      </w:pPr>
      <w:r>
        <w:t>Production CORS must include the exact deployed frontend origin(s), including custom domains and worker domains where both are used.</w:t>
      </w:r>
    </w:p>
    <w:p>
      <w:pPr>
        <w:pStyle w:val="ListBullet"/>
      </w:pPr>
      <w:r>
        <w:t>R2 public domains are independent of backend deploys. Adding a new asset does not require a backend rebuild if the deterministic URL convention remains unchanged.</w:t>
      </w:r>
    </w:p>
    <w:p>
      <w:pPr>
        <w:pStyle w:val="ListBullet"/>
      </w:pPr>
      <w:r>
        <w:t>OpenTelemetry export failures should not prevent application startup; the telemetry initializer is designed to fail soft.</w:t>
      </w:r>
    </w:p>
    <w:p>
      <w:pPr>
        <w:pStyle w:val="Heading1"/>
      </w:pPr>
      <w:r>
        <w:t>15. Operational Runbook And Known Gaps</w:t>
      </w:r>
    </w:p>
    <w:p>
      <w:pPr>
        <w:pStyle w:val="Heading2"/>
      </w:pPr>
      <w:r>
        <w:t>First checks when the app is slow or failing</w:t>
      </w:r>
    </w:p>
    <w:p>
      <w:pPr>
        <w:pStyle w:val="ListBullet"/>
      </w:pPr>
      <w:r>
        <w:t>Check /health and Fly machine logs to distinguish process/port failure from a slow dependency.</w:t>
      </w:r>
    </w:p>
    <w:p>
      <w:pPr>
        <w:pStyle w:val="ListBullet"/>
      </w:pPr>
      <w:r>
        <w:t>Inspect request latency and route in structured logs using X-Request-ID.</w:t>
      </w:r>
    </w:p>
    <w:p>
      <w:pPr>
        <w:pStyle w:val="ListBullet"/>
      </w:pPr>
      <w:r>
        <w:t>Check Neo4j connection timeout/retry messages before changing frontend behavior.</w:t>
      </w:r>
    </w:p>
    <w:p>
      <w:pPr>
        <w:pStyle w:val="ListBullet"/>
      </w:pPr>
      <w:r>
        <w:t>Check LLM provider/model configuration and retry counts for generation or evaluation failures.</w:t>
      </w:r>
    </w:p>
    <w:p>
      <w:pPr>
        <w:pStyle w:val="ListBullet"/>
      </w:pPr>
      <w:r>
        <w:t>Check cache headers and X-Gen-Cache for non-personalized generation; do not add public cache rules to authenticated routes.</w:t>
      </w:r>
    </w:p>
    <w:p>
      <w:pPr>
        <w:pStyle w:val="ListBullet"/>
      </w:pPr>
      <w:r>
        <w:t>For missing teacher clusters, inspect the cluster build report, eligible student count, algorithm status, and snapshot database identity.</w:t>
      </w:r>
    </w:p>
    <w:p>
      <w:pPr>
        <w:pStyle w:val="Heading2"/>
      </w:pPr>
      <w:r>
        <w:t>Current implementation caveats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AREA</w:t>
            </w:r>
          </w:p>
        </w:tc>
        <w:tc>
          <w:tcPr>
            <w:tcW w:type="dxa" w:w="446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CAVEAT</w:t>
            </w:r>
          </w:p>
        </w:tc>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PRACTICAL EFFECT</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backoff</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Retries are immediate, not exponential</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Provider incidents can increase latency and rate-limit pressure</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cache</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In-memory cache is per Fly machine; Upstash is optional</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Multiple machines can have cold local caches; shared hit rate depends on Upstash configuration</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Cluster snapshots</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Built by manual/cron pipeline, not synchronously by dashboard</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 working dashboard does not imply a snapshot exists</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Chapter concept fallback</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Fallback candidates can be broader than direct section links</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Strict prompt and exact-ID validation are required; empty insights are a valid outcome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Teacher/admin roles</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Dependencies use a single role value</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 user with only admin role cannot automatically pass teacher dependency</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property warnings</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Queries may reference optional properties not present on every node, such as logo</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Warnings are usually non-fatal but schema cleanup is advisable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retrieval is semantic and threshold/top-k dependent</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No match is a valid result; the tutor should not invent personalization</w:t>
            </w:r>
          </w:p>
        </w:tc>
      </w:tr>
    </w:tbl>
    <w:p>
      <w:pPr>
        <w:spacing w:after="0"/>
      </w:pPr>
    </w:p>
    <w:p>
      <w:pPr>
        <w:pStyle w:val="Heading2"/>
      </w:pPr>
      <w:r>
        <w:t>Recommended next hardening steps</w:t>
      </w:r>
    </w:p>
    <w:p>
      <w:pPr>
        <w:pStyle w:val="ListBullet"/>
      </w:pPr>
      <w:r>
        <w:t>Introduce a shared retry policy with exponential backoff, jitter, total deadline, and provider-specific retryability rules.</w:t>
      </w:r>
    </w:p>
    <w:p>
      <w:pPr>
        <w:pStyle w:val="ListBullet"/>
      </w:pPr>
      <w:r>
        <w:t>Add explicit OpenTelemetry spans around Neo4j reads/writes and cache layers so dependency time is separated from route time.</w:t>
      </w:r>
    </w:p>
    <w:p>
      <w:pPr>
        <w:pStyle w:val="ListBullet"/>
      </w:pPr>
      <w:r>
        <w:t>Add snapshot freshness and last-success metadata to the teacher API so the UI can distinguish empty data from stale pipeline data.</w:t>
      </w:r>
    </w:p>
    <w:p>
      <w:pPr>
        <w:pStyle w:val="ListBullet"/>
      </w:pPr>
      <w:r>
        <w:t>Add a schema/relationship audit for direct section concepts and chapter-fallback coverage, including sections that intentionally have no concept links.</w:t>
      </w:r>
    </w:p>
    <w:p>
      <w:pPr>
        <w:pStyle w:val="ListBullet"/>
      </w:pPr>
      <w:r>
        <w:t>Keep production-like route tests for both direct-concept and chapter-fallback sections, including the no-candidate case and cache-version changes.</w:t>
      </w:r>
    </w:p>
    <w:p>
      <w:pPr>
        <w:pStyle w:val="ListBullet"/>
      </w:pPr>
      <w:r>
        <w:t>Keep public curriculum cache rules separate from authenticated API routes at the Cloudflare layer.</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4F7FA"/>
            <w:tcBorders>
              <w:top w:val="single" w:sz="7" w:color="D9E2EC"/>
              <w:left w:val="single" w:sz="7" w:color="D9E2EC"/>
              <w:bottom w:val="single" w:sz="7" w:color="D9E2EC"/>
              <w:right w:val="single" w:sz="7" w:color="D9E2EC"/>
            </w:tcBorders>
            <w:tcMar>
              <w:top w:w="120" w:type="dxa"/>
              <w:start w:w="140" w:type="dxa"/>
              <w:bottom w:w="120" w:type="dxa"/>
              <w:end w:w="140" w:type="dxa"/>
            </w:tcMar>
          </w:tcPr>
          <w:p>
            <w:pPr>
              <w:spacing w:after="40"/>
            </w:pPr>
            <w:r>
              <w:rPr>
                <w:b/>
                <w:color w:val="243B53"/>
                <w:sz w:val="17"/>
              </w:rPr>
              <w:t>Source files</w:t>
              <w:br/>
            </w:r>
            <w:r>
              <w:rPr>
                <w:b w:val="0"/>
                <w:color w:val="243B53"/>
                <w:sz w:val="17"/>
              </w:rPr>
              <w:t>Primary implementation sources referenced by this document include backend/app/main.py, auth.py, config.py, database.py, routers/curriculum.py, routers/test.py, routers/tutor.py, services/llm.py, services/generation_cache.py, services/semantic_clustering.py, services/clustering_runner.py, teacher_analytics.py, and backend/tests/test_assessment_context.py. Unrelated eval/export/promotion/observability scripts are not used as behavioral evidence in this revision.</w:t>
            </w:r>
          </w:p>
        </w:tc>
      </w:tr>
    </w:tbl>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27D98"/>
        <w:sz w:val="15"/>
      </w:rPr>
      <w:t xml:space="preserve">LearnerOS backend reference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27D98"/>
        <w:sz w:val="15"/>
      </w:rPr>
      <w:t>LEARNEROS  /  BACKEND ARCHITECTURE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E8A8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ptos" w:hAnsi="Aptos"/>
      <w:color w:val="243B5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173"/>
      <w:contextualSpacing/>
    </w:pPr>
    <w:rPr>
      <w:rFonts w:ascii="Aptos" w:hAnsi="Aptos"/>
      <w:color w:val="243B53"/>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