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Representation Effects in Indic Factual Question Answering: Script, Output Budget, and Judge Dependence</w:t>
      </w:r>
    </w:p>
    <w:p>
      <w:pPr>
        <w:pStyle w:val="Author"/>
      </w:pPr>
      <w:r>
        <w:t xml:space="preserve">Chandrahas</w:t>
      </w:r>
      <w:r>
        <w:t xml:space="preserve"> </w:t>
      </w:r>
      <w:r>
        <w:t xml:space="preserve">Reddy</w:t>
      </w:r>
    </w:p>
    <w:p>
      <w:pPr>
        <w:pStyle w:val="Author"/>
      </w:pPr>
      <w:r>
        <w:rPr>
          <w:rFonts w:ascii="Times New Roman" w:hAnsi="Times New Roman" w:cs="Times New Roman"/>
          <w:i/>
          <w:color w:val="000000"/>
          <w:sz w:val="20"/>
          <w:szCs w:val="20"/>
        </w:rPr>
        <w:t>Independent researcher</w:t>
        <w:br/>
      </w:r>
      <w:r>
        <w:rPr>
          <w:rFonts w:ascii="Times New Roman" w:hAnsi="Times New Roman" w:cs="Times New Roman"/>
          <w:i/>
          <w:color w:val="000000"/>
          <w:sz w:val="20"/>
          <w:szCs w:val="20"/>
        </w:rPr>
        <w:t>kurkurrereddy@gmail.com</w:t>
      </w:r>
    </w:p>
    <w:p>
      <w:pPr>
        <w:spacing w:before="0" w:after="0" w:line="20" w:lineRule="exact"/>
        <w:rPr>
          <w:sz w:val="2"/>
        </w:rPr>
        <w:sectPr>
          <w:pgSz w:w="12240" w:h="15840"/>
          <w:pgMar w:top="1080" w:right="900" w:bottom="1296" w:left="900" w:header="576" w:footer="576" w:gutter="0"/>
          <w:cols w:num="1"/>
        </w:sectPr>
      </w:pPr>
    </w:p>
    <w:p>
      <w:pPr>
        <w:pStyle w:val="Abstract"/>
      </w:pPr>
      <w:r>
        <w:rPr>
          <w:b/>
          <w:i/>
        </w:rPr>
        <w:t>Abstract—</w:t>
      </w:r>
      <w:r>
        <w:rPr>
          <w:b/>
        </w:rPr>
        <w:t>Comparisons of LLM factual accuracy across languages and scripts usually change the question along with its representation. We hold 100 propositions on 20 Indian public-policy topics fixed and render each in English, native script, Romanized text, Latin-script code-switching (</w:t>
      </w:r>
      <w:r>
        <w:rPr>
          <w:b/>
          <w:smallCaps/>
        </w:rPr>
        <w:t>cs-lat</w:t>
      </w:r>
      <w:r>
        <w:rPr>
          <w:b/>
        </w:rPr>
        <w:t>) and mixed-script code-switching (</w:t>
      </w:r>
      <w:r>
        <w:rPr>
          <w:b/>
          <w:smallCaps/>
        </w:rPr>
        <w:t>mixed</w:t>
      </w:r>
      <w:r>
        <w:rPr>
          <w:b/>
        </w:rPr>
        <w:t xml:space="preserve">) in five Indic languages (Hindi, Bengali, Tamil, Telugu, Kannada), and ask how much the measured differences depend on two evaluation choices: the output-token budget and the judge. With Qwen3.8-27B and a 128-token cap, judge-assessed accuracy is 60% for a template-matched English prompt and 49%, 37%, 32% and 26% for </w:t>
      </w:r>
      <w:r>
        <w:rPr>
          <w:b/>
          <w:smallCaps/>
        </w:rPr>
        <w:t>cs-lat</w:t>
      </w:r>
      <w:r>
        <w:rPr>
          <w:b/>
        </w:rPr>
        <w:t xml:space="preserve">, Romanized, native-script and </w:t>
      </w:r>
      <w:r>
        <w:rPr>
          <w:b/>
          <w:smallCaps/>
        </w:rPr>
        <w:t>mixed</w:t>
      </w:r>
      <w:r>
        <w:rPr>
          <w:b/>
        </w:rPr>
        <w:t xml:space="preserve"> prompts, and </w:t>
      </w:r>
      <w:r>
        <w:rPr>
          <w:b/>
          <w:smallCaps/>
        </w:rPr>
        <w:t>mixed</w:t>
      </w:r>
      <w:r>
        <w:rPr>
          <w:b/>
        </w:rPr>
        <w:t xml:space="preserve"> is 23 points below </w:t>
      </w:r>
      <w:r>
        <w:rPr>
          <w:b/>
          <w:smallCaps/>
        </w:rPr>
        <w:t>cs-lat</w:t>
      </w:r>
      <w:r>
        <w:rPr>
          <w:b/>
        </w:rPr>
        <w:t xml:space="preserve"> (p &lt; 0.001; topic-level p = 0.004). Almost every response hit that cap, and Brahmic-script answers fit half as many characters into it. When the key conditions are re-answered with 512 and 1,024 tokens, no </w:t>
      </w:r>
      <w:r>
        <w:rPr>
          <w:b/>
          <w:smallCaps/>
        </w:rPr>
        <w:t>mixed</w:t>
      </w:r>
      <w:r>
        <w:rPr>
          <w:b/>
        </w:rPr>
        <w:t>–</w:t>
      </w:r>
      <w:r>
        <w:rPr>
          <w:b/>
          <w:smallCaps/>
        </w:rPr>
        <w:t>cs-lat</w:t>
      </w:r>
      <w:r>
        <w:rPr>
          <w:b/>
        </w:rPr>
        <w:t xml:space="preserve"> gap is detected under either a self-judge (+4 and −3 points) or a judge from another model family (−6 and −5); the intervals exclude the 128-token gap, although no equivalence test was pre-specified and 64% of </w:t>
      </w:r>
      <w:r>
        <w:rPr>
          <w:b/>
          <w:smallCaps/>
        </w:rPr>
        <w:t>mixed</w:t>
      </w:r>
      <w:r>
        <w:rPr>
          <w:b/>
        </w:rPr>
        <w:t xml:space="preserve"> answers still reach the 1,024-token cap. The English–</w:t>
      </w:r>
      <w:r>
        <w:rPr>
          <w:b/>
          <w:smallCaps/>
        </w:rPr>
        <w:t>cs-lat</w:t>
      </w:r>
      <w:r>
        <w:rPr>
          <w:b/>
        </w:rPr>
        <w:t xml:space="preserve"> gap behaves differently: under the self-judge it grows to 24 points at 1,024 tokens (topic-level p = 0.018; 0.29 after correction across all follow-up tests), while under the second judge it is 4–12 points and never significant. The judges agree on 75–81% of outputs (κ = 0.47–0.61), and no human validation of either was performed. Measured representation effects are therefore sensitive to the output budget and to the evaluator, and should not be read as effects of representation without checking both. Prompts, outputs, judgements, a gold-answer ledger and code are released.</w:t>
      </w:r>
    </w:p>
    <w:p>
      <w:pPr>
        <w:pStyle w:val="Abstract"/>
        <w:spacing w:after="80"/>
      </w:pPr>
      <w:r>
        <w:rPr>
          <w:b/>
          <w:i/>
        </w:rPr>
        <w:t>Index Terms—</w:t>
      </w:r>
      <w:r>
        <w:rPr>
          <w:b/>
        </w:rPr>
        <w:t>multilingual evaluation, code-switching, script, Indic languages, output budget, LLM-as-a-judge, judge agreement, paired evaluation</w:t>
      </w:r>
    </w:p>
    <w:bookmarkStart w:id="20" w:name="i.-introduction"/>
    <w:p>
      <w:pPr>
        <w:pStyle w:val="Heading1"/>
      </w:pPr>
      <w:r>
        <w:t xml:space="preserve">I. INTRODUCTION</w:t>
      </w:r>
    </w:p>
    <w:p>
      <w:pPr>
        <w:pStyle w:val="FirstParagraph"/>
      </w:pPr>
      <w:r>
        <w:t xml:space="preserve">A farmer who wants to know whether crop insurance under PMFBY pays out on measured yield loss or on a weather index can type that question in at least five ways: in English; entirely in Devanagari; in Latin-script Hindi; in the Hindi–English mixture people actually text, still in Latin script; or in the same mixture with Hindi particles in Devanagari and the scheme names and terms such as</w:t>
      </w:r>
      <w:r>
        <w:t xml:space="preserve"> </w:t>
      </w:r>
      <w:r>
        <w:rPr>
          <w:iCs/>
          <w:i/>
        </w:rPr>
        <w:t xml:space="preserve">main rule</w:t>
      </w:r>
      <w:r>
        <w:t xml:space="preserve"> </w:t>
      </w:r>
      <w:r>
        <w:t xml:space="preserve">left in Latin letters. All five ask for the same fact. If a model answers some of them correctly and others not, what changed? The knowledge is the same, and so is the target answer. What differs is the surface form.</w:t>
      </w:r>
    </w:p>
    <w:p>
      <w:pPr>
        <w:pStyle w:val="BodyText"/>
      </w:pPr>
      <w:r>
        <w:t xml:space="preserve">Existing multilingual evaluations rarely isolate this variable. Many benchmarks translate or re-author questions per language, so content, difficulty and phrasing move together with the language</w:t>
      </w:r>
      <w:r>
        <w:t xml:space="preserve"> </w:t>
      </w:r>
      <w:r>
        <w:t xml:space="preserve">[1], [2], [3]</w:t>
      </w:r>
      <w:r>
        <w:t xml:space="preserve">. Code-switching benchmarks mostly measure task performance on naturally occurring text rather than recall of a fixed proposition</w:t>
      </w:r>
      <w:r>
        <w:t xml:space="preserve"> </w:t>
      </w:r>
      <w:r>
        <w:t xml:space="preserve">[4]</w:t>
      </w:r>
      <w:r>
        <w:t xml:space="preserve">. Work on tokenization shows that some languages cost more tokens per unit of content</w:t>
      </w:r>
      <w:r>
        <w:t xml:space="preserve"> </w:t>
      </w:r>
      <w:r>
        <w:t xml:space="preserve">[5], [6], [7]</w:t>
      </w:r>
      <w:r>
        <w:t xml:space="preserve">, but that is usually inferred from corpus-level correlations, not from controlled prompt pairs. A fall in accuracy for</w:t>
      </w:r>
      <w:r>
        <w:t xml:space="preserve"> </w:t>
      </w:r>
      <w:r>
        <w:t xml:space="preserve">“</w:t>
      </w:r>
      <w:r>
        <w:t xml:space="preserve">Indian-language prompts</w:t>
      </w:r>
      <w:r>
        <w:t xml:space="preserve">”</w:t>
      </w:r>
      <w:r>
        <w:t xml:space="preserve"> </w:t>
      </w:r>
      <w:r>
        <w:t xml:space="preserve">could therefore reflect missing knowledge, harder questions, Romanization, the presence of English insertions, script, or tokenization, and these cannot be separated after the fact.</w:t>
      </w:r>
    </w:p>
    <w:p>
      <w:pPr>
        <w:pStyle w:val="BodyText"/>
      </w:pPr>
      <w:r>
        <w:t xml:space="preserve">We build the comparison so that they can be. Each of 100 propositions is rendered in five paired representations (Table I). Two of them, </w:t>
      </w:r>
      <w:r>
        <w:rPr>
          <w:smallCaps/>
        </w:rPr>
        <w:t>cs-lat</w:t>
      </w:r>
      <w:r>
        <w:t xml:space="preserve"> and </w:t>
      </w:r>
      <w:r>
        <w:rPr>
          <w:smallCaps/>
        </w:rPr>
        <w:t>mixed</w:t>
      </w:r>
      <w:r>
        <w:t>, are meant to differ only in whether the Indic words are written in Latin or Brahmic script; this holds word for word in Hindi, Bengali and Tamil, while in Telugu and Kannada the question word also differs (Section III-A). We add a second English condition after finding that the original English template was more specific than the template shared by the other four conditions (Section III-B). We then ask whether the differences we measure survive two changes to the evaluation that representation studies rarely make: a larger output budget (512 and 1,024 tokens instead of 128) and a judge from a different model family.</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t>TABLE I</w:t>
      </w:r>
      <w:r>
        <w:br/>
      </w:r>
      <w:r>
        <w:t xml:space="preserve">One proposition in all six conditions (Hindi). In Hindi, </w:t>
      </w:r>
      <w:r>
        <w:rPr>
          <w:smallCaps/>
        </w:rPr>
        <w:t>cs-lat</w:t>
      </w:r>
      <w:r>
        <w:t xml:space="preserve"> and </w:t>
      </w:r>
      <w:r>
        <w:rPr>
          <w:smallCaps/>
        </w:rPr>
        <w:t>mixed</w:t>
      </w:r>
      <w:r>
        <w:t xml:space="preserve"> contain the same words in the same order and differ only in the script of </w:t>
      </w:r>
      <w:r>
        <w:rPr>
          <w:i/>
        </w:rPr>
        <w:t>ke</w:t>
      </w:r>
      <w:r>
        <w:t xml:space="preserve">, </w:t>
      </w:r>
      <w:r>
        <w:rPr>
          <w:i/>
        </w:rPr>
        <w:t>ya</w:t>
      </w:r>
      <w:r>
        <w:t xml:space="preserve">, </w:t>
      </w:r>
      <w:r>
        <w:rPr>
          <w:i/>
        </w:rPr>
        <w:t>kya hai</w:t>
      </w:r>
      <w:r>
        <w:t xml:space="preserve"> (also true for Bengali and Tamil; in Telugu and Kannada the question word differs, Section III-A). The topic string stays in Latin script in every condition, so </w:t>
      </w:r>
      <w:r>
        <w:rPr>
          <w:smallCaps/>
        </w:rPr>
        <w:t>native</w:t>
      </w:r>
      <w:r>
        <w:t xml:space="preserve"> contains one Latin–Brahmic boundary per prompt.</w:t>
      </w:r>
    </w:p>
    <w:tbl>
      <w:tblPr>
        <w:tblStyle w:val="Table"/>
        <w:tblW w:type="dxa" w:w="10439"/>
        <w:tblLook w:firstRow="1" w:lastRow="0" w:firstColumn="0" w:lastColumn="0" w:noHBand="0" w:noVBand="0" w:val="0020"/>
        <w:jc w:val="center"/>
        <w:tblCellMar>
          <w:top w:w="10" w:type="dxa"/>
          <w:left w:w="50" w:type="dxa"/>
          <w:bottom w:w="10" w:type="dxa"/>
          <w:right w:w="50" w:type="dxa"/>
        </w:tblCellMar>
        <w:tblLayout w:type="fixed"/>
      </w:tblPr>
      <w:tblGrid>
        <w:gridCol w:w="3022"/>
        <w:gridCol w:w="4121"/>
        <w:gridCol w:w="3296"/>
      </w:tblGrid>
      <w:tr>
        <w:trPr>
          <w:tblHeader w:val="true"/>
          <w:cantSplit/>
        </w:trPr>
        <w:tc>
          <w:tcPr>
            <w:tcW w:type="dxa" w:w="3022"/>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Condition</w:t>
            </w:r>
          </w:p>
        </w:tc>
        <w:tc>
          <w:tcPr>
            <w:tcW w:type="dxa" w:w="4121"/>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Prompt (topic: PMFBY vs. WBCIS, Hindi group)</w:t>
            </w:r>
          </w:p>
        </w:tc>
        <w:tc>
          <w:tcPr>
            <w:tcW w:type="dxa" w:w="3296"/>
            <w:tcBorders>
              <w:top w:val="single" w:sz="12" w:color="000000" w:space="0"/>
              <w:bottom w:val="single" w:sz="6" w:color="000000" w:space="0"/>
            </w:tcBorders>
          </w:tcPr>
          <w:p>
            <w:pPr>
              <w:pStyle w:val="Compact"/>
              <w:keepNext/>
              <w:spacing w:before="0" w:after="0"/>
              <w:ind w:firstLine="0"/>
              <w:jc w:val="left"/>
            </w:pPr>
            <w:r>
              <w:rPr>
                <w:rFonts w:ascii="Times New Roman" w:hAnsi="Times New Roman" w:cs="Times New Roman"/>
                <w:b/>
                <w:color w:val="000000"/>
                <w:sz w:val="16"/>
                <w:szCs w:val="16"/>
              </w:rPr>
              <w:t xml:space="preserve">Script of Indic words</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en-orig</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What is the key structural or operational difference between PMFBY vs WBCIS?</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(English)</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en-match</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What is the main rule, date or parameter regarding PMFBY vs WBCIS?</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(English)</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native</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PMFBY vs WBCIS</w:t>
            </w:r>
            <w:r>
              <w:rPr>
                <w:rFonts w:ascii="Times New Roman" w:hAnsi="Times New Roman" w:cs="Times New Roman"/>
                <w:color w:val="000000"/>
                <w:sz w:val="16"/>
                <w:szCs w:val="16"/>
              </w:rPr>
              <w:t xml:space="preserve"> </w:t>
            </w:r>
            <w:r>
              <w:rPr>
                <w:rFonts w:ascii="FreeSerif" w:hAnsi="FreeSerif" w:cs="FreeSerif" w:eastAsia="FreeSerif"/>
                <w:color w:val="000000"/>
                <w:sz w:val="16"/>
                <w:szCs w:val="16"/>
                <w:cs/>
              </w:rPr>
              <w:t xml:space="preserve">के संबंध में मुख्य नियम, तिथि या मापदंड क्या है?</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Devanagari</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roman</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PMFBY vs WBCIS ke sambandh mein mukhya niyam, tareekh ya mapdand kya hai?</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Latin</w:t>
            </w:r>
          </w:p>
        </w:tc>
      </w:tr>
      <w:tr>
        <w:trPr>
          <w:cantSplit/>
        </w:trPr>
        <w:tc>
          <w:tcPr>
            <w:tcW w:type="dxa" w:w="3022"/>
          </w:tcPr>
          <w:p>
            <w:pPr>
              <w:pStyle w:val="Compact"/>
              <w:keepNext/>
              <w:spacing w:before="0" w:after="0"/>
              <w:ind w:firstLine="0"/>
              <w:jc w:val="left"/>
            </w:pPr>
            <w:r>
              <w:rPr>
                <w:rFonts w:ascii="Times New Roman" w:hAnsi="Times New Roman" w:cs="Times New Roman"/>
                <w:smallCaps/>
                <w:color w:val="000000"/>
                <w:sz w:val="16"/>
                <w:szCs w:val="16"/>
              </w:rPr>
              <w:t xml:space="preserve">cs-lat</w:t>
            </w:r>
          </w:p>
        </w:tc>
        <w:tc>
          <w:tcPr>
            <w:tcW w:type="dxa" w:w="4121"/>
          </w:tcPr>
          <w:p>
            <w:pPr>
              <w:pStyle w:val="Compact"/>
              <w:keepNext/>
              <w:spacing w:before="0" w:after="0"/>
              <w:ind w:firstLine="0"/>
              <w:jc w:val="left"/>
            </w:pPr>
            <w:r>
              <w:rPr>
                <w:rFonts w:ascii="Times New Roman" w:hAnsi="Times New Roman" w:cs="Times New Roman"/>
                <w:color w:val="000000"/>
                <w:sz w:val="16"/>
                <w:szCs w:val="16"/>
              </w:rPr>
              <w:t xml:space="preserve">PMFBY vs WBCIS ke regarding main rule, date ya parameter kya hai?</w:t>
            </w:r>
          </w:p>
        </w:tc>
        <w:tc>
          <w:tcPr>
            <w:tcW w:type="dxa" w:w="3296"/>
          </w:tcPr>
          <w:p>
            <w:pPr>
              <w:pStyle w:val="Compact"/>
              <w:keepNext/>
              <w:spacing w:before="0" w:after="0"/>
              <w:ind w:firstLine="0"/>
              <w:jc w:val="left"/>
            </w:pPr>
            <w:r>
              <w:rPr>
                <w:rFonts w:ascii="Times New Roman" w:hAnsi="Times New Roman" w:cs="Times New Roman"/>
                <w:color w:val="000000"/>
                <w:sz w:val="16"/>
                <w:szCs w:val="16"/>
              </w:rPr>
              <w:t xml:space="preserve">Latin</w:t>
            </w:r>
          </w:p>
        </w:tc>
      </w:tr>
      <w:tr>
        <w:trPr>
          <w:cantSplit/>
        </w:trPr>
        <w:tc>
          <w:tcPr>
            <w:tcW w:type="dxa" w:w="3022"/>
            <w:tcBorders>
              <w:bottom w:val="single" w:sz="12" w:color="000000" w:space="0"/>
            </w:tcBorders>
          </w:tcPr>
          <w:p>
            <w:pPr>
              <w:pStyle w:val="Compact"/>
              <w:spacing w:before="0" w:after="0"/>
              <w:ind w:firstLine="0"/>
              <w:jc w:val="left"/>
            </w:pPr>
            <w:r>
              <w:rPr>
                <w:rFonts w:ascii="Times New Roman" w:hAnsi="Times New Roman" w:cs="Times New Roman"/>
                <w:smallCaps/>
                <w:color w:val="000000"/>
                <w:sz w:val="16"/>
                <w:szCs w:val="16"/>
              </w:rPr>
              <w:t xml:space="preserve">mixed</w:t>
            </w:r>
          </w:p>
        </w:tc>
        <w:tc>
          <w:tcPr>
            <w:tcW w:type="dxa" w:w="4121"/>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PMFBY vs WBCIS</w:t>
            </w:r>
            <w:r>
              <w:rPr>
                <w:rFonts w:ascii="Times New Roman" w:hAnsi="Times New Roman" w:cs="Times New Roman"/>
                <w:color w:val="000000"/>
                <w:sz w:val="16"/>
                <w:szCs w:val="16"/>
              </w:rPr>
              <w:t xml:space="preserve"> </w:t>
            </w:r>
            <w:r>
              <w:rPr>
                <w:rFonts w:ascii="FreeSerif" w:hAnsi="FreeSerif" w:cs="FreeSerif" w:eastAsia="FreeSerif"/>
                <w:color w:val="000000"/>
                <w:sz w:val="16"/>
                <w:szCs w:val="16"/>
                <w:cs/>
              </w:rPr>
              <w:t xml:space="preserve">के</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regarding main rule, date</w:t>
            </w:r>
            <w:r>
              <w:rPr>
                <w:rFonts w:ascii="Times New Roman" w:hAnsi="Times New Roman" w:cs="Times New Roman"/>
                <w:color w:val="000000"/>
                <w:sz w:val="16"/>
                <w:szCs w:val="16"/>
              </w:rPr>
              <w:t xml:space="preserve"> </w:t>
            </w:r>
            <w:r>
              <w:rPr>
                <w:rFonts w:ascii="FreeSerif" w:hAnsi="FreeSerif" w:cs="FreeSerif" w:eastAsia="FreeSerif"/>
                <w:color w:val="000000"/>
                <w:sz w:val="16"/>
                <w:szCs w:val="16"/>
                <w:cs/>
              </w:rPr>
              <w:t xml:space="preserve">या</w:t>
            </w:r>
            <w:r>
              <w:rPr>
                <w:rFonts w:ascii="Times New Roman" w:hAnsi="Times New Roman" w:cs="Times New Roman"/>
                <w:color w:val="000000"/>
                <w:sz w:val="16"/>
                <w:szCs w:val="16"/>
              </w:rPr>
              <w:t xml:space="preserve"> </w:t>
            </w:r>
            <w:r>
              <w:rPr>
                <w:rFonts w:ascii="Times New Roman" w:hAnsi="Times New Roman" w:cs="Times New Roman"/>
                <w:color w:val="000000"/>
                <w:sz w:val="16"/>
                <w:szCs w:val="16"/>
              </w:rPr>
              <w:t xml:space="preserve">parameter</w:t>
            </w:r>
            <w:r>
              <w:rPr>
                <w:rFonts w:ascii="Times New Roman" w:hAnsi="Times New Roman" w:cs="Times New Roman"/>
                <w:color w:val="000000"/>
                <w:sz w:val="16"/>
                <w:szCs w:val="16"/>
              </w:rPr>
              <w:t xml:space="preserve"> </w:t>
            </w:r>
            <w:r>
              <w:rPr>
                <w:rFonts w:ascii="FreeSerif" w:hAnsi="FreeSerif" w:cs="FreeSerif" w:eastAsia="FreeSerif"/>
                <w:color w:val="000000"/>
                <w:sz w:val="16"/>
                <w:szCs w:val="16"/>
                <w:cs/>
              </w:rPr>
              <w:t xml:space="preserve">क्या है?</w:t>
            </w:r>
          </w:p>
        </w:tc>
        <w:tc>
          <w:tcPr>
            <w:tcW w:type="dxa" w:w="3296"/>
            <w:tcBorders>
              <w:bottom w:val="single" w:sz="12" w:color="000000" w:space="0"/>
            </w:tcBorders>
          </w:tcPr>
          <w:p>
            <w:pPr>
              <w:pStyle w:val="Compact"/>
              <w:spacing w:before="0" w:after="0"/>
              <w:ind w:firstLine="0"/>
              <w:jc w:val="left"/>
            </w:pPr>
            <w:r>
              <w:rPr>
                <w:rFonts w:ascii="Times New Roman" w:hAnsi="Times New Roman" w:cs="Times New Roman"/>
                <w:color w:val="000000"/>
                <w:sz w:val="16"/>
                <w:szCs w:val="16"/>
              </w:rPr>
              <w:t xml:space="preserve">Devanagari</w:t>
            </w:r>
          </w:p>
        </w:tc>
      </w:tr>
    </w:tbl>
    <w:p>
      <w:pPr>
        <w:spacing w:before="0" w:after="0" w:line="20" w:lineRule="exact"/>
        <w:rPr>
          <w:sz w:val="2"/>
        </w:rPr>
        <w:sectPr>
          <w:type w:val="continuous"/>
          <w:pgSz w:w="12240" w:h="15840"/>
          <w:pgMar w:top="1080" w:right="900" w:bottom="1296" w:left="900" w:header="576" w:footer="576" w:gutter="0"/>
          <w:cols w:num="1"/>
        </w:sectPr>
      </w:pPr>
    </w:p>
    <w:p>
      <w:pPr>
        <w:pStyle w:val="BodyText"/>
      </w:pPr>
      <w:r>
        <w:rPr>
          <w:b/>
        </w:rPr>
        <w:t>Research questions.</w:t>
      </w:r>
      <w:r>
        <w:t xml:space="preserve"> RQ1: at a fixed output budget and judge, does judge-assessed accuracy depend on representation when the proposition is held fixed? RQ2: does mixed-script code-switching lower accuracy relative to the same code-switched words in Latin script? RQ3: do these differences change when the output budget grows? RQ4: do they change with the judge, and how far do two judges agree? RQ5: is the script contrast associated with input tokenization length? Hallucination detectors and mitigation are outside the scope of this paper.</w:t>
      </w:r>
    </w:p>
    <w:p>
      <w:pPr>
        <w:pStyle w:val="BodyText"/>
      </w:pPr>
      <w:r>
        <w:rPr>
          <w:b/>
        </w:rPr>
        <w:t>Contributions.</w:t>
      </w:r>
      <w:r>
        <w:t xml:space="preserve"> (1) A paired six-condition design for Indic factual QA, with a matched-English control that removes a template confound we found in our first run. (2) A controlled three-budget rerun in which the 23-point mixed-script penalty measured at 128 tokens is not detectable at 512 or 1,024 tokens under either of two judges, while the English–code-switching gap moves in the opposite direction under one judge only. (3) Judge disagreement as a result: harmonising the judge configuration shrinks the English–code-switching gap at 128 tokens from 17 to 11 points, the two judges agree on 75–81% of outputs, and whether the English advantage is significant depends on which judge is used. (4) Inference that treats the 20 topics as the unit of independent evidence, and a release of prompts, outputs, both judges' labels, a gold-answer ledger and evaluation scripts.</w:t>
      </w:r>
    </w:p>
    <w:p>
      <w:pPr>
        <w:pStyle w:val="BodyText"/>
      </w:pPr>
      <w:r>
        <w:rPr>
          <w:b/>
        </w:rPr>
        <w:t>Findings in brief.</w:t>
      </w:r>
      <w:r>
        <w:t xml:space="preserve"> Evaluating multilingual LLMs across representation conditions is sensitive to the output-token budget and to the choice of evaluator, and observed differences should not automatically be interpreted as representation effects. At 128 tokens, accuracy falls from English to the Indic representations and mixed script is lowest. Almost every response hits that cap and Brahmic-script answers are about half as long in characters; with 512 or 1,024 tokens, no </w:t>
      </w:r>
      <w:r>
        <w:rPr>
          <w:smallCaps/>
        </w:rPr>
        <w:t>mixed</w:t>
      </w:r>
      <w:r>
        <w:t>–</w:t>
      </w:r>
      <w:r>
        <w:rPr>
          <w:smallCaps/>
        </w:rPr>
        <w:t>cs-lat</w:t>
      </w:r>
      <w:r>
        <w:t xml:space="preserve"> difference is detected under either judge, though we do not claim equivalence. The English advantage over Latin-script code-switching is significant at the topic level only under the self-judge at 1,024 tokens, and not after correction across all follow-up tests; under the cross-family judge it is small at every budget. Neither judge has been validated against human labels, so we report this as judge sensitivity, not as evidence that either judge is right.</w:t>
      </w:r>
    </w:p>
    <w:bookmarkEnd w:id="20"/>
    <w:bookmarkStart w:id="24" w:name="ii.-related-work"/>
    <w:p>
      <w:pPr>
        <w:pStyle w:val="Heading1"/>
      </w:pPr>
      <w:r>
        <w:t xml:space="preserve">II. RELATED WORK</w:t>
      </w:r>
    </w:p>
    <w:p>
      <w:pPr>
        <w:pStyle w:val="FirstParagraph"/>
      </w:pPr>
      <w:r>
        <w:rPr>
          <w:iCs/>
          <w:i/>
          <w:bCs/>
          <w:b/>
        </w:rPr>
        <w:t xml:space="preserve">Code-switching and LLMs.</w:t>
      </w:r>
      <w:r>
        <w:t xml:space="preserve"> </w:t>
      </w:r>
      <w:r>
        <w:t xml:space="preserve">GLUECoS evaluates code-switched understanding across tasks and language pairs including Hindi–English</w:t>
      </w:r>
      <w:r>
        <w:t xml:space="preserve"> </w:t>
      </w:r>
      <w:r>
        <w:t xml:space="preserve">[4]</w:t>
      </w:r>
      <w:r>
        <w:t xml:space="preserve">. More recent studies find that large multilingual models are unreliable on code-switched tasks and when asked to generate code-mixed text</w:t>
      </w:r>
      <w:r>
        <w:t xml:space="preserve"> </w:t>
      </w:r>
      <w:r>
        <w:t xml:space="preserve">[8], [9]</w:t>
      </w:r>
      <w:r>
        <w:t xml:space="preserve">. These works vary the task or the generated text; we hold the proposition fixed and vary only its rendering.</w:t>
      </w:r>
    </w:p>
    <w:p>
      <w:pPr>
        <w:pStyle w:val="BodyText"/>
      </w:pPr>
      <w:r>
        <w:rPr>
          <w:b/>
        </w:rPr>
        <w:t>Multilingual evaluation for Indic languages.</w:t>
      </w:r>
      <w:r>
        <w:t xml:space="preserve"> IndicNLPSuite and IndicXTREME provide corpora and task benchmarks for Indic languages [2], [3], and MEGA compares generative models across many languages and tasks [1]. Such benchmarks answer how well a model performs per language, but their per-language items are not the same questions. Romanized input has itself been proposed as a bridge to Indic languages for LLMs [23]; our </w:t>
      </w:r>
      <w:r>
        <w:rPr>
          <w:smallCaps/>
        </w:rPr>
        <w:t>roman</w:t>
      </w:r>
      <w:r>
        <w:t xml:space="preserve"> condition measures the same factor on fixed propositions.</w:t>
      </w:r>
    </w:p>
    <w:p>
      <w:pPr>
        <w:pStyle w:val="BodyText"/>
      </w:pPr>
      <w:r>
        <w:rPr>
          <w:b/>
        </w:rPr>
        <w:t>Tokenization.</w:t>
      </w:r>
      <w:r>
        <w:t xml:space="preserve"> Subword vocabularies fragment low-resource scripts into more tokens [7], [10], with measurable differences in cost and quality across languages [5], [6]. The same premium applies to generated text: an answer in a script that costs more tokens per character fits less content into a fixed output limit, which is the mechanism our budget experiment isolates. Our mediation analysis asks whether the input-side quantity explains the script contrast.</w:t>
      </w:r>
    </w:p>
    <w:p>
      <w:pPr>
        <w:pStyle w:val="BodyText"/>
      </w:pPr>
      <w:r>
        <w:rPr>
          <w:b/>
        </w:rPr>
        <w:t>Factuality evaluation and LLM judges.</w:t>
      </w:r>
      <w:r>
        <w:t xml:space="preserve"> We use closed-book questions with a gold answer, closer in spirit to TruthfulQA-style checks than to long-form factual precision scoring [11], [12]. LLM graders are convenient but biased, for example towards their own outputs, answer position and length [13], [24], [25], and their agreement with humans and with each other is lower in many non-English languages, including Indic languages [26], [27]. We therefore grade with two judges from different model families and report their disagreement as a result.</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ind w:firstLine="0"/>
        <w:jc w:val="center"/>
      </w:pPr>
      <w:r>
        <w:drawing>
          <wp:inline>
            <wp:extent cx="5334000" cy="2629436"/>
            <wp:effectExtent b="0" l="0" r="0" t="0"/>
            <wp:docPr descr="image" title="" id="22" name="Picture"/>
            <a:graphic>
              <a:graphicData uri="http://schemas.openxmlformats.org/drawingml/2006/picture">
                <pic:pic>
                  <pic:nvPicPr>
                    <pic:cNvPr descr="figures/fig0_method.png" id="23" name="Picture"/>
                    <pic:cNvPicPr>
                      <a:picLocks noChangeArrowheads="1" noChangeAspect="1"/>
                    </pic:cNvPicPr>
                  </pic:nvPicPr>
                  <pic:blipFill>
                    <a:blip r:embed="rId21"/>
                    <a:stretch>
                      <a:fillRect/>
                    </a:stretch>
                  </pic:blipFill>
                  <pic:spPr bwMode="auto">
                    <a:xfrm>
                      <a:off x="0" y="0"/>
                      <a:ext cx="5334000" cy="2629436"/>
                    </a:xfrm>
                    <a:prstGeom prst="rect">
                      <a:avLst/>
                    </a:prstGeom>
                    <a:noFill/>
                    <a:ln w="9525">
                      <a:noFill/>
                      <a:headEnd/>
                      <a:tailEnd/>
                    </a:ln>
                  </pic:spPr>
                </pic:pic>
              </a:graphicData>
            </a:graphic>
          </wp:inline>
        </w:drawing>
      </w:r>
    </w:p>
    <w:p>
      <w:pPr>
        <w:pStyle w:val="BodyText"/>
        <w:spacing w:before="60" w:after="160"/>
        <w:ind w:firstLine="0"/>
        <w:jc w:val="both"/>
      </w:pPr>
      <w:r>
        <w:t xml:space="preserve">Fig. 1. Study design. Each proposition is rendered in six conditions and answered once by Qwen3.8-27B under greedy decoding with a 128-token limit; responses are graded against the gold answer by the same model (J-QWEN). The follow-up (Section VI-B) re-answers three conditions with 512 and 1,024-token limits and grades every budget with J-QWEN and with gpt-oss-120b (J-OSS). Key contrasts: </w:t>
      </w:r>
      <w:r>
        <w:rPr>
          <w:smallCaps/>
        </w:rPr>
        <w:t>en-match</w:t>
      </w:r>
      <w:r>
        <w:t xml:space="preserve"> vs. </w:t>
      </w:r>
      <w:r>
        <w:rPr>
          <w:smallCaps/>
        </w:rPr>
        <w:t>cs-lat</w:t>
      </w:r>
      <w:r>
        <w:t xml:space="preserve"> (code-switching) and </w:t>
      </w:r>
      <w:r>
        <w:rPr>
          <w:smallCaps/>
        </w:rPr>
        <w:t>cs-lat</w:t>
      </w:r>
      <w:r>
        <w:t xml:space="preserve"> vs. </w:t>
      </w:r>
      <w:r>
        <w:rPr>
          <w:smallCaps/>
        </w:rPr>
        <w:t>mixed</w:t>
      </w:r>
      <w:r>
        <w:t xml:space="preserve"> (script).</w:t>
      </w:r>
    </w:p>
    <w:p>
      <w:pPr>
        <w:spacing w:before="0" w:after="0" w:line="20" w:lineRule="exact"/>
        <w:rPr>
          <w:sz w:val="2"/>
        </w:rPr>
        <w:sectPr>
          <w:type w:val="continuous"/>
          <w:pgSz w:w="12240" w:h="15840"/>
          <w:pgMar w:top="1080" w:right="900" w:bottom="1296" w:left="900" w:header="576" w:footer="576" w:gutter="0"/>
          <w:cols w:num="1"/>
        </w:sectPr>
      </w:pPr>
    </w:p>
    <w:bookmarkEnd w:id="24"/>
    <w:bookmarkStart w:id="28" w:name="iii.-benchmark-and-paired-design"/>
    <w:p>
      <w:pPr>
        <w:pStyle w:val="Heading1"/>
      </w:pPr>
      <w:r>
        <w:t xml:space="preserve">III. BENCHMARK AND PAIRED DESIGN</w:t>
      </w:r>
    </w:p>
    <w:bookmarkStart w:id="25" w:name="a.-propositions-languages-and-conditions"/>
    <w:p>
      <w:pPr>
        <w:pStyle w:val="Heading2"/>
      </w:pPr>
      <w:r>
        <w:t xml:space="preserve">A. Propositions, languages and conditions</w:t>
      </w:r>
    </w:p>
    <w:p>
      <w:pPr>
        <w:pStyle w:val="FirstParagraph"/>
      </w:pPr>
      <w:r>
        <w:t xml:space="preserve">The evaluated core contains 100 semantic groups: 20 topics, each instantiated once per language in Hindi (hi), Bengali (bn), Tamil (ta), Telugu (te) and Kannada (kn). A group has one gold answer and evidence snippet, shared by its prompts in all conditions. The 20 topics are Indian public-policy and regulatory subjects (for example PMFBY vs. WBCIS, NEFT vs. RTGS, RTI third-party information, Companies Act CSR thresholds, IBC Section 7 default threshold, Citizenship Amendment Act cut-off); the full list is in Appendix A. Topics are crossed with languages, so language effects are not confounded with topic.</w:t>
      </w:r>
    </w:p>
    <w:p>
      <w:pPr>
        <w:pStyle w:val="BodyText"/>
      </w:pPr>
      <w:r>
        <w:t xml:space="preserve">Table I defines the six conditions. In </w:t>
      </w:r>
      <w:r>
        <w:rPr>
          <w:smallCaps/>
        </w:rPr>
        <w:t>native</w:t>
      </w:r>
      <w:r>
        <w:t xml:space="preserve">, </w:t>
      </w:r>
      <w:r>
        <w:rPr>
          <w:smallCaps/>
        </w:rPr>
        <w:t>roman</w:t>
      </w:r>
      <w:r>
        <w:t xml:space="preserve">, </w:t>
      </w:r>
      <w:r>
        <w:rPr>
          <w:smallCaps/>
        </w:rPr>
        <w:t>cs-lat</w:t>
      </w:r>
      <w:r>
        <w:t xml:space="preserve"> and </w:t>
      </w:r>
      <w:r>
        <w:rPr>
          <w:smallCaps/>
        </w:rPr>
        <w:t>mixed</w:t>
      </w:r>
      <w:r>
        <w:t xml:space="preserve"> the question frame is one fixed template (“main rule, date or parameter regarding </w:t>
      </w:r>
      <w:r>
        <w:rPr>
          <w:i/>
        </w:rPr>
        <w:t>X</w:t>
      </w:r>
      <w:r>
        <w:t xml:space="preserve">”) with </w:t>
      </w:r>
      <w:r>
        <w:rPr>
          <w:i/>
        </w:rPr>
        <w:t>X</w:t>
      </w:r>
      <w:r>
        <w:t xml:space="preserve"> the topic string; only the rendering varies. </w:t>
      </w:r>
      <w:r>
        <w:rPr>
          <w:smallCaps/>
        </w:rPr>
        <w:t>roman</w:t>
      </w:r>
      <w:r>
        <w:t xml:space="preserve"> and </w:t>
      </w:r>
      <w:r>
        <w:rPr>
          <w:smallCaps/>
        </w:rPr>
        <w:t>native</w:t>
      </w:r>
      <w:r>
        <w:t xml:space="preserve"> render the same Indic frame in Latin and Brahmic script, except in Hindi, where </w:t>
      </w:r>
      <w:r>
        <w:rPr>
          <w:smallCaps/>
        </w:rPr>
        <w:t>roman</w:t>
      </w:r>
      <w:r>
        <w:t xml:space="preserve"> uses </w:t>
      </w:r>
      <w:r>
        <w:rPr>
          <w:i/>
        </w:rPr>
        <w:t>tareekh</w:t>
      </w:r>
      <w:r>
        <w:t xml:space="preserve"> and </w:t>
      </w:r>
      <w:r>
        <w:rPr>
          <w:smallCaps/>
        </w:rPr>
        <w:t>native</w:t>
      </w:r>
      <w:r>
        <w:t xml:space="preserve"> </w:t>
      </w:r>
      <w:r>
        <w:rPr>
          <w:i/>
        </w:rPr>
        <w:t>tithi</w:t>
      </w:r>
      <w:r>
        <w:t xml:space="preserve"> for “date”. </w:t>
      </w:r>
      <w:r>
        <w:rPr>
          <w:smallCaps/>
        </w:rPr>
        <w:t>cs-lat</w:t>
      </w:r>
      <w:r>
        <w:t xml:space="preserve"> replaces part of the frame with English words (“main rule”, “date”, “parameter”, and in Hindi and Bengali also “regarding”), and </w:t>
      </w:r>
      <w:r>
        <w:rPr>
          <w:smallCaps/>
        </w:rPr>
        <w:t>mixed</w:t>
      </w:r>
      <w:r>
        <w:t xml:space="preserve"> writes the remaining Indic words of </w:t>
      </w:r>
      <w:r>
        <w:rPr>
          <w:smallCaps/>
        </w:rPr>
        <w:t>cs-lat</w:t>
      </w:r>
      <w:r>
        <w:t xml:space="preserve"> in native script. In Hindi, Bengali and Tamil, </w:t>
      </w:r>
      <w:r>
        <w:rPr>
          <w:smallCaps/>
        </w:rPr>
        <w:t>cs-lat</w:t>
      </w:r>
      <w:r>
        <w:t xml:space="preserve"> and </w:t>
      </w:r>
      <w:r>
        <w:rPr>
          <w:smallCaps/>
        </w:rPr>
        <w:t>mixed</w:t>
      </w:r>
      <w:r>
        <w:t xml:space="preserve"> are word-for-word transliterations of each other. In Telugu and Kannada they are not: the question word is </w:t>
      </w:r>
      <w:r>
        <w:rPr>
          <w:i/>
        </w:rPr>
        <w:t>enti</w:t>
      </w:r>
      <w:r>
        <w:t xml:space="preserve"> vs. ఏమిటి (</w:t>
      </w:r>
      <w:r>
        <w:rPr>
          <w:i/>
        </w:rPr>
        <w:t>emiti</w:t>
      </w:r>
      <w:r>
        <w:t xml:space="preserve">) in Telugu and </w:t>
      </w:r>
      <w:r>
        <w:rPr>
          <w:i/>
        </w:rPr>
        <w:t>yenu</w:t>
      </w:r>
      <w:r>
        <w:t xml:space="preserve"> vs. ಯಾವುದು (</w:t>
      </w:r>
      <w:r>
        <w:rPr>
          <w:i/>
        </w:rPr>
        <w:t>yāvudu</w:t>
      </w:r>
      <w:r>
        <w:t xml:space="preserve">, “which”) in Kannada. We report the </w:t>
      </w:r>
      <w:r>
        <w:rPr>
          <w:smallCaps/>
        </w:rPr>
        <w:t>cs-lat</w:t>
      </w:r>
      <w:r>
        <w:t>–</w:t>
      </w:r>
      <w:r>
        <w:rPr>
          <w:smallCaps/>
        </w:rPr>
        <w:t>mixed</w:t>
      </w:r>
      <w:r>
        <w:t xml:space="preserve"> contrast on all 100 propositions, as planned, and on the 60 word-identical ones as a sensitivity analysis. Fluent speakers of all five languages, including the author (Telugu) and a teammate (Hindi, Telugu, Kannada), reviewed the prompt templates and judged them natural and correct. This was a yes/no check without item-level ratings; the reviewers saw the templates, not the model's outputs, and the check establishes neither full semantic equivalence nor the validity of the judges.</w:t>
      </w:r>
    </w:p>
    <w:bookmarkEnd w:id="25"/>
    <w:bookmarkStart w:id="26" w:name="b.-amendment-matched-english"/>
    <w:p>
      <w:pPr>
        <w:pStyle w:val="Heading2"/>
      </w:pPr>
      <w:r>
        <w:t xml:space="preserve">B. Amendment: matched English</w:t>
      </w:r>
    </w:p>
    <w:p>
      <w:pPr>
        <w:pStyle w:val="FirstParagraph"/>
      </w:pPr>
      <w:r>
        <w:t xml:space="preserve">In the first run (EXP-002) the English prompts used two question templates (“key structural or operational difference between </w:t>
      </w:r>
      <w:r>
        <w:rPr>
          <w:i/>
        </w:rPr>
        <w:t>X</w:t>
      </w:r>
      <w:r>
        <w:t xml:space="preserve">” and “specific prerequisite condition or timeline applies to </w:t>
      </w:r>
      <w:r>
        <w:rPr>
          <w:i/>
        </w:rPr>
        <w:t>X</w:t>
      </w:r>
      <w:r>
        <w:t xml:space="preserve">”), while all other conditions used the single generic template. English-versus-Indic comparisons were therefore confounded with question type, a flaw we found only when auditing the raw prompt strings. We added </w:t>
      </w:r>
      <w:r>
        <w:rPr>
          <w:smallCaps/>
        </w:rPr>
        <w:t>en-match</w:t>
      </w:r>
      <w:r>
        <w:t xml:space="preserve">, the generic template in English (100 prompts, same gold answers), and ran it in a second run (EXP-003) with the same model and decoding settings, without modifying the earlier results. The two runs did not grade alike: EXP-002 called the judge at temperature 0.3 with the answering system prompt, EXP-003 at temperature 0 with an evaluator system prompt (Section IV). We therefore re-graded all 600 outputs with the EXP-003 configuration; all comparisons below use these harmonised labels and </w:t>
      </w:r>
      <w:r>
        <w:rPr>
          <w:smallCaps/>
        </w:rPr>
        <w:t>en-match</w:t>
      </w:r>
      <w:r>
        <w:t xml:space="preserve"> as the English reference. </w:t>
      </w:r>
      <w:r>
        <w:rPr>
          <w:smallCaps/>
        </w:rPr>
        <w:t>en-orig</w:t>
      </w:r>
      <w:r>
        <w:t xml:space="preserve"> and </w:t>
      </w:r>
      <w:r>
        <w:rPr>
          <w:smallCaps/>
        </w:rPr>
        <w:t>en-match</w:t>
      </w:r>
      <w:r>
        <w:t xml:space="preserve"> do not differ detectably (70% vs. 60%; exact p = 0.10, topic-level p = 0.69).</w:t>
      </w:r>
    </w:p>
    <w:p>
      <w:pPr>
        <w:pStyle w:val="BodyText"/>
      </w:pPr>
      <w:r>
        <w:t xml:space="preserve">Because the English prompt is identical across the five language tags of a topic and decoding is greedy, English outcomes are near-duplicated within topic: in</w:t>
      </w:r>
      <w:r>
        <w:t xml:space="preserve"> </w:t>
      </w:r>
      <w:r>
        <w:rPr>
          <w:smallCaps/>
        </w:rPr>
        <w:t xml:space="preserve">en-match</w:t>
      </w:r>
      <w:r>
        <w:t xml:space="preserve">, 12 topics are correct in all five groups and 8 in none. The English condition therefore carries about 20 independent observations, not 100, which is why we report topic-level bootstrap intervals next to Wilson intervals.</w:t>
      </w:r>
    </w:p>
    <w:bookmarkEnd w:id="26"/>
    <w:bookmarkStart w:id="27" w:name="Xb8c054f494083273deb7ae2a677c7c70a03a4eb"/>
    <w:p>
      <w:pPr>
        <w:pStyle w:val="Heading2"/>
      </w:pPr>
      <w:r>
        <w:t xml:space="preserve">C. Provenance, and an earlier benchmark that was retired</w:t>
      </w:r>
    </w:p>
    <w:p>
      <w:pPr>
        <w:pStyle w:val="FirstParagraph"/>
      </w:pPr>
      <w:r>
        <w:t xml:space="preserve">The core is the out-of-distribution test partition of IndraLLM-CS v1.1-CANDIDATE (1</w:t>
      </w:r>
      <w:r>
        <w:t xml:space="preserve">,</w:t>
      </w:r>
      <w:r>
        <w:t xml:space="preserve">500 semantic groups, 7</w:t>
      </w:r>
      <w:r>
        <w:t xml:space="preserve">,</w:t>
      </w:r>
      <w:r>
        <w:t xml:space="preserve">500 prompts; development, validation, in-distribution and out-of-distribution partitions, twelve template families). Version 1.0 (2</w:t>
      </w:r>
      <w:r>
        <w:t xml:space="preserve">,</w:t>
      </w:r>
      <w:r>
        <w:t xml:space="preserve">000 groups, 10</w:t>
      </w:r>
      <w:r>
        <w:t xml:space="preserve">,</w:t>
      </w:r>
      <w:r>
        <w:t xml:space="preserve">000 prompts) was retired after an internal audit showed that train and test partitions shared prompts, answers, entity pairs and templates at every level checked, so it supports no generalization claim. The rebuilt benchmark separates partitions by template family, exact and near-duplicate text, evidence and entity pair. The 1</w:t>
      </w:r>
      <w:r>
        <w:t xml:space="preserve">,</w:t>
      </w:r>
      <w:r>
        <w:t xml:space="preserve">000 in-distribution prompts per model that were also run (EXP-002) contain fictitious entities, and the model answered 2 of 2000 correctly across both models; they carry no information about recall and are excluded here (Appendix A). A further 25 propositions (version 1.2-PILOT) have been written but</w:t>
      </w:r>
      <w:r>
        <w:t xml:space="preserve"> </w:t>
      </w:r>
      <w:r>
        <w:rPr>
          <w:bCs/>
          <w:b/>
        </w:rPr>
        <w:t xml:space="preserve">have not been evaluated by any model</w:t>
      </w:r>
      <w:r>
        <w:t xml:space="preserve">; we use them only for a prospective design calculation (Appendix D).</w:t>
      </w:r>
    </w:p>
    <w:p>
      <w:pPr>
        <w:pStyle w:val="BodyText"/>
      </w:pPr>
      <w:r>
        <w:rPr>
          <w:b/>
        </w:rPr>
        <w:t>Gold answers.</w:t>
      </w:r>
      <w:r>
        <w:t xml:space="preserve"> Each topic has one gold answer, shared by its five language groups and all six conditions. The benchmark stores an evidence snippet and a source URL with each; the snippets are template-generated paraphrases rather than quotations, and the URLs point to agency home pages (e.g. rbi.org.in) rather than to specific documents. The author and, separately, volunteer reviewers checked the gold answers for factual correctness against public sources, and the author verified each answer against its governing provision, as in force in October 2026, for currency and for completeness relative to the question actually asked (Appendix A, Table VII; a per-topic ledger is released). The volunteer check was not logged item by item and no agreement statistic was computed, so we report it as a check rather than a measurement. All 20 answers are consistent with the provision identified. One describes a scheme that has since been replaced (Telangana's Rythu Bandhu, now Rythu Bharosa). Three are narrower than the generic question allows, so that other correct answers exist: the GST registration threshold (₹40 lakh applies to suppliers of goods, ₹20 lakh to services), the MTP Act (two practitioners are required only between 20 and 24 weeks) and the environmental-clearance public hearing (the gold lists two of several exemptions). Removing these three topics changes no conclusion (Appendix B). Gold-answer checks establish that the reference is right; they do not show that the judge grades model answers correctly, which no human has yet assessed on these outputs (Section VII). Agreement figures in older project documents (e.g. κ = 0.719) concern a different, earlier pilot whose annotation files are not in the repository; they are not used.</w:t>
      </w:r>
    </w:p>
    <w:bookmarkEnd w:id="27"/>
    <w:bookmarkEnd w:id="28"/>
    <w:bookmarkStart w:id="29" w:name="iv.-experimental-setup"/>
    <w:p>
      <w:pPr>
        <w:pStyle w:val="Heading1"/>
      </w:pPr>
      <w:r>
        <w:t xml:space="preserve">IV. EXPERIMENTAL SETUP</w:t>
      </w:r>
    </w:p>
    <w:p>
      <w:pPr>
        <w:pStyle w:val="FirstParagraph"/>
      </w:pPr>
      <w:r>
        <w:t>Fig. 1 summarizes the pipeline: 100 propositions are rendered in six conditions, answered once by the primary model under greedy decoding, graded against the gold answer, and analysed at three levels of clustering. Section VI-B adds a follow-up run with a larger output budget.</w:t>
      </w:r>
    </w:p>
    <w:p>
      <w:pPr>
        <w:pStyle w:val="BodyText"/>
      </w:pPr>
      <w:r>
        <w:rPr>
          <w:b/>
        </w:rPr>
        <w:t>Models.</w:t>
      </w:r>
      <w:r>
        <w:t xml:space="preserve"> The primary model is served by Groq under the API identifier </w:t>
      </w:r>
      <w:r>
        <w:rPr>
          <w:rFonts w:ascii="Courier New" w:hAnsi="Courier New"/>
          <w:sz w:val="15"/>
        </w:rPr>
        <w:t>qwen/qwen3.8-27b</w:t>
      </w:r>
      <w:r>
        <w:t xml:space="preserve">, which is recorded in every prediction row and in the response metadata of the follow-up. The provider lists it as an Alibaba Cloud model, and a public checkpoint of that name exists (Qwen/Qwen3.8-27B, 27.8B parameters, Apache-2.0). That checkpoint's tokenizer reproduces the API's prompt-token counts for all 600 prompts up to a constant chat-template offset of 48 tokens, and counts 125–128 tokens for responses the API reports as 128, so the tokenizer is established; whether the provider serves exactly those weights, and at what numerical precision, we cannot verify. We call the model Qwen3.8-27B. Older project documents call it “Qwen-2.5-27B” and the repository configuration lists </w:t>
      </w:r>
      <w:r>
        <w:rPr>
          <w:rFonts w:ascii="Courier New" w:hAnsi="Courier New"/>
          <w:sz w:val="15"/>
        </w:rPr>
        <w:t>qwen/qwen3.6-27b</w:t>
      </w:r>
      <w:r>
        <w:t>; neither produced the reported outputs. The second model is ALLaM-2-7B (</w:t>
      </w:r>
      <w:r>
        <w:rPr>
          <w:rFonts w:ascii="Courier New" w:hAnsi="Courier New"/>
          <w:sz w:val="15"/>
        </w:rPr>
        <w:t>allam-2-7b</w:t>
      </w:r>
      <w:r>
        <w:t>) [14]. All results are single-run. Greedy decoding on the hosted API was not fully deterministic: 84–85% of 512-token responses begin with exactly the 128-token response to the same prompt, and 78–91% of 1,024-token responses with the 512-token response; the rest diverge.</w:t>
      </w:r>
    </w:p>
    <w:p>
      <w:pPr>
        <w:pStyle w:val="BodyText"/>
      </w:pPr>
      <w:r>
        <w:rPr>
          <w:b/>
        </w:rPr>
        <w:t>Prompting and output budget.</w:t>
      </w:r>
      <w:r>
        <w:t xml:space="preserve"> Each prompt is sent with the system message “You are a helpful assistant answering questions from Indian users. Questions may mix an Indian language with English. Answer factually, accurately, and concisely.” Decoding is greedy (temperature 0, top-p 1) with at most 128 output tokens in the main runs. The model almost never stops on its own: 598 of 600 responses used all 128 tokens, and 82–95% end mid-sentence in every condition, English included. The provider's finish reason was not logged in the main runs; it was logged in both follow-up runs.</w:t>
      </w:r>
    </w:p>
    <w:p>
      <w:pPr>
        <w:pStyle w:val="BodyText"/>
      </w:pPr>
      <w:r>
        <w:rPr>
          <w:b/>
        </w:rPr>
        <w:t>Judging.</w:t>
      </w:r>
      <w:r>
        <w:t xml:space="preserve"> A judge receives the question as the model saw it, the gold answer and the response, and returns CORRECT or HALLUCINATED with a short reason (Appendix C). Three label sets exist. </w:t>
      </w:r>
      <w:r>
        <w:rPr>
          <w:i/>
        </w:rPr>
        <w:t>Stored</w:t>
      </w:r>
      <w:r>
        <w:t xml:space="preserve">: the labels saved with the predictions; EXP-002 obtained them from Qwen3.8-27B at temperature 0.3 with the answering system prompt (a side effect of reusing the generation client), EXP-003 at temperature 0 with the system prompt “You are an expert factuality evaluator.” </w:t>
      </w:r>
      <w:r>
        <w:rPr>
          <w:i/>
        </w:rPr>
        <w:t>J-QWEN</w:t>
      </w:r>
      <w:r>
        <w:t xml:space="preserve">: all 600 outputs re-graded by Qwen3.8-27B with the EXP-003 configuration, the one the study intended; these labels are the primary analysis. </w:t>
      </w:r>
      <w:r>
        <w:rPr>
          <w:i/>
        </w:rPr>
        <w:t>J-OSS</w:t>
      </w:r>
      <w:r>
        <w:t>: the same rubric applied by gpt-oss-120b (</w:t>
      </w:r>
      <w:r>
        <w:rPr>
          <w:rFonts w:ascii="Courier New" w:hAnsi="Courier New"/>
          <w:sz w:val="15"/>
        </w:rPr>
        <w:t>openai/gpt-oss-120b</w:t>
      </w:r>
      <w:r>
        <w:t xml:space="preserve">, temperature 0, low reasoning effort), a judge from a different model family that did not produce the answers. J-QWEN reproduces the stored labels on all 100 </w:t>
      </w:r>
      <w:r>
        <w:rPr>
          <w:smallCaps/>
        </w:rPr>
        <w:t>en-match</w:t>
      </w:r>
      <w:r>
        <w:t xml:space="preserve"> items (same configuration) and on 90–94% of items in the other conditions. No judge has been validated against human labels on these outputs, and we do not treat either as the more accurate one. “Accuracy” below is the share of responses a judge labels CORRECT: a judge-assessed quantity, not a direct measurement of recall.</w:t>
      </w:r>
    </w:p>
    <w:p>
      <w:pPr>
        <w:pStyle w:val="BodyText"/>
      </w:pPr>
      <w:r>
        <w:rPr>
          <w:b/>
        </w:rPr>
        <w:t>Statistics.</w:t>
      </w:r>
      <w:r>
        <w:t xml:space="preserve"> Observations are nested. A </w:t>
      </w:r>
      <w:r>
        <w:rPr>
          <w:i/>
        </w:rPr>
        <w:t>prompt</w:t>
      </w:r>
      <w:r>
        <w:t xml:space="preserve"> is one string sent to the model. A </w:t>
      </w:r>
      <w:r>
        <w:rPr>
          <w:i/>
        </w:rPr>
        <w:t>proposition</w:t>
      </w:r>
      <w:r>
        <w:t xml:space="preserve"> is a fact in one language group, rendered as six paired prompts. A </w:t>
      </w:r>
      <w:r>
        <w:rPr>
          <w:i/>
        </w:rPr>
        <w:t>topic</w:t>
      </w:r>
      <w:r>
        <w:t xml:space="preserve"> (e.g. NEFT vs. RTGS) contains five propositions, one per language, with the same gold answer; across the five matched-template conditions it contributes 25 prompts. A proposition-level test asks whether the model, given these 100 facts, does better in one representation than in another. A topic-level test asks whether the difference should be expected to recur on new topics; with 20 topics it has much less power, but it matches the generalisation most readers want, so we report both. At the proposition level we use exact McNemar tests [15] with Holm correction [16] within a pre-specified family of five contrasts: each of </w:t>
      </w:r>
      <w:r>
        <w:rPr>
          <w:smallCaps/>
        </w:rPr>
        <w:t>native</w:t>
      </w:r>
      <w:r>
        <w:t xml:space="preserve">, </w:t>
      </w:r>
      <w:r>
        <w:rPr>
          <w:smallCaps/>
        </w:rPr>
        <w:t>roman</w:t>
      </w:r>
      <w:r>
        <w:t xml:space="preserve">, </w:t>
      </w:r>
      <w:r>
        <w:rPr>
          <w:smallCaps/>
        </w:rPr>
        <w:t>cs-lat</w:t>
      </w:r>
      <w:r>
        <w:t xml:space="preserve"> and </w:t>
      </w:r>
      <w:r>
        <w:rPr>
          <w:smallCaps/>
        </w:rPr>
        <w:t>mixed</w:t>
      </w:r>
      <w:r>
        <w:t xml:space="preserve"> against </w:t>
      </w:r>
      <w:r>
        <w:rPr>
          <w:smallCaps/>
        </w:rPr>
        <w:t>en-match</w:t>
      </w:r>
      <w:r>
        <w:t xml:space="preserve">, and </w:t>
      </w:r>
      <w:r>
        <w:rPr>
          <w:smallCaps/>
        </w:rPr>
        <w:t>mixed</w:t>
      </w:r>
      <w:r>
        <w:t xml:space="preserve"> against </w:t>
      </w:r>
      <w:r>
        <w:rPr>
          <w:smallCaps/>
        </w:rPr>
        <w:t>cs-lat</w:t>
      </w:r>
      <w:r>
        <w:t>. At the topic level we use an exact sign-flip permutation test over all 2²⁰ sign patterns of the 20 per-topic accuracy differences and a percentile bootstrap over topics (10,000 resamples, fixed seed), with Holm correction within the same family. Logistic GEE with independence working correlation and robust covariance clustered at prompt, proposition and topic level [18] is reported in Appendix B; with 20 clusters robust standard errors are anti-conservative [19], [20], so topic-level conclusions do not rest on it. Wilson intervals [17] are given for single proportions; the design effect is 1 + (</w:t>
      </w:r>
      <w:r>
        <w:rPr>
          <w:i/>
        </w:rPr>
        <w:t>m</w:t>
      </w:r>
      <w:r>
        <w:t xml:space="preserve"> − 1)ρ with ρ from the one-way ANOVA estimator [21]. The follow-up (Section VI-B) has the same three contrasts at every budget, fixed in the analysis scripts before its outputs were graded: </w:t>
      </w:r>
      <w:r>
        <w:rPr>
          <w:smallCaps/>
        </w:rPr>
        <w:t>cs-lat</w:t>
      </w:r>
      <w:r>
        <w:t xml:space="preserve"> vs. </w:t>
      </w:r>
      <w:r>
        <w:rPr>
          <w:smallCaps/>
        </w:rPr>
        <w:t>en-match</w:t>
      </w:r>
      <w:r>
        <w:t xml:space="preserve">, </w:t>
      </w:r>
      <w:r>
        <w:rPr>
          <w:smallCaps/>
        </w:rPr>
        <w:t>mixed</w:t>
      </w:r>
      <w:r>
        <w:t xml:space="preserve"> vs. </w:t>
      </w:r>
      <w:r>
        <w:rPr>
          <w:smallCaps/>
        </w:rPr>
        <w:t>cs-lat</w:t>
      </w:r>
      <w:r>
        <w:t xml:space="preserve"> and </w:t>
      </w:r>
      <w:r>
        <w:rPr>
          <w:smallCaps/>
        </w:rPr>
        <w:t>mixed</w:t>
      </w:r>
      <w:r>
        <w:t xml:space="preserve"> vs. </w:t>
      </w:r>
      <w:r>
        <w:rPr>
          <w:smallCaps/>
        </w:rPr>
        <w:t>en-match</w:t>
      </w:r>
      <w:r>
        <w:t>, plus the change in each gap between budgets, each under both judges. The 512-token run was planned to test the budget confound; the 1,024-token run was added after its results were seen, so 1,024-token results are exploratory. For the follow-up we report Holm adjustment within each budget–judge cell and across all 18 follow-up tests (3 budgets × 2 judges × 3 contrasts). A non-significant difference is not evidence of equivalence; no equivalence margin was pre-specified, so we report intervals. Everything else is exploratory. All numbers are recomputed from the raw files by the scripts in Appendix E.</w:t>
      </w:r>
    </w:p>
    <w:bookmarkEnd w:id="29"/>
    <w:bookmarkStart w:id="43" w:name="v.-results"/>
    <w:p>
      <w:pPr>
        <w:pStyle w:val="Heading1"/>
      </w:pPr>
      <w:r>
        <w:t>V. RESULTS AT A 128-TOKEN BUDGET</w:t>
      </w:r>
    </w:p>
    <w:bookmarkStart w:id="36" w:name="a.-accuracy-falls-with-representation"/>
    <w:p>
      <w:pPr>
        <w:pStyle w:val="Heading2"/>
      </w:pPr>
      <w:r>
        <w:t xml:space="preserve">A. Accuracy falls with representation</w:t>
      </w:r>
    </w:p>
    <w:p>
      <w:pPr>
        <w:pStyle w:val="FirstParagraph"/>
      </w:pPr>
      <w:r>
        <w:t xml:space="preserve">Table II and Fig. 2 give the main result under the harmonised judge. Relative to </w:t>
      </w:r>
      <w:r>
        <w:rPr>
          <w:smallCaps/>
        </w:rPr>
        <w:t>en-match</w:t>
      </w:r>
      <w:r>
        <w:t xml:space="preserve"> (60%), accuracy is 49% for </w:t>
      </w:r>
      <w:r>
        <w:rPr>
          <w:smallCaps/>
        </w:rPr>
        <w:t>cs-lat</w:t>
      </w:r>
      <w:r>
        <w:t xml:space="preserve">, 37% for </w:t>
      </w:r>
      <w:r>
        <w:rPr>
          <w:smallCaps/>
        </w:rPr>
        <w:t>roman</w:t>
      </w:r>
      <w:r>
        <w:t xml:space="preserve">, 32% for </w:t>
      </w:r>
      <w:r>
        <w:rPr>
          <w:smallCaps/>
        </w:rPr>
        <w:t>native</w:t>
      </w:r>
      <w:r>
        <w:t xml:space="preserve"> and 26% for </w:t>
      </w:r>
      <w:r>
        <w:rPr>
          <w:smallCaps/>
        </w:rPr>
        <w:t>mixed</w:t>
      </w:r>
      <w:r>
        <w:t xml:space="preserve">, differences of 11, 23, 28 and 34 points. At the proposition level the </w:t>
      </w:r>
      <w:r>
        <w:rPr>
          <w:smallCaps/>
        </w:rPr>
        <w:t>roman</w:t>
      </w:r>
      <w:r>
        <w:t xml:space="preserve">, </w:t>
      </w:r>
      <w:r>
        <w:rPr>
          <w:smallCaps/>
        </w:rPr>
        <w:t>native</w:t>
      </w:r>
      <w:r>
        <w:t xml:space="preserve"> and </w:t>
      </w:r>
      <w:r>
        <w:rPr>
          <w:smallCaps/>
        </w:rPr>
        <w:t>mixed</w:t>
      </w:r>
      <w:r>
        <w:t xml:space="preserve"> differences are significant after Holm correction (adjusted p ≤ 0.002); the </w:t>
      </w:r>
      <w:r>
        <w:rPr>
          <w:smallCaps/>
        </w:rPr>
        <w:t>cs-lat</w:t>
      </w:r>
      <w:r>
        <w:t xml:space="preserve"> difference is not (p = 0.13). With the stored labels, which graded </w:t>
      </w:r>
      <w:r>
        <w:rPr>
          <w:smallCaps/>
        </w:rPr>
        <w:t>en-match</w:t>
      </w:r>
      <w:r>
        <w:t xml:space="preserve"> and the Indic conditions under different judge settings, the </w:t>
      </w:r>
      <w:r>
        <w:rPr>
          <w:smallCaps/>
        </w:rPr>
        <w:t>cs-lat</w:t>
      </w:r>
      <w:r>
        <w:t xml:space="preserve"> gap was 17 points (p = 0.014): about a third of it came from the grading difference. The ordering among the three non-English-script conditions is uncertain: </w:t>
      </w:r>
      <w:r>
        <w:rPr>
          <w:smallCaps/>
        </w:rPr>
        <w:t>roman</w:t>
      </w:r>
      <w:r>
        <w:t xml:space="preserve"> vs. </w:t>
      </w:r>
      <w:r>
        <w:rPr>
          <w:smallCaps/>
        </w:rPr>
        <w:t>mixed</w:t>
      </w:r>
      <w:r>
        <w:t xml:space="preserve"> gives p = 0.052 and </w:t>
      </w:r>
      <w:r>
        <w:rPr>
          <w:smallCaps/>
        </w:rPr>
        <w:t>native</w:t>
      </w:r>
      <w:r>
        <w:t xml:space="preserve"> vs. </w:t>
      </w:r>
      <w:r>
        <w:rPr>
          <w:smallCaps/>
        </w:rPr>
        <w:t>mixed</w:t>
      </w:r>
      <w:r>
        <w:t xml:space="preserve"> p = 0.29 (Table VIII).</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t>TABLE II</w:t>
      </w:r>
      <w:r>
        <w:br/>
      </w:r>
      <w:r>
        <w:t xml:space="preserve">Qwen3.8-27B accuracy on the 100 paired propositions at a 128-token budget, harmonised judge (J-QWEN). Δ: difference in correct answers out of 100 relative to </w:t>
      </w:r>
      <w:r>
        <w:rPr>
          <w:smallCaps/>
        </w:rPr>
        <w:t>en-match</w:t>
      </w:r>
      <w:r>
        <w:t>. Exact p: two-sided exact McNemar; Holm: within the five primary contrasts (</w:t>
      </w:r>
      <w:r>
        <w:rPr>
          <w:smallCaps/>
        </w:rPr>
        <w:t>mixed</w:t>
      </w:r>
      <w:r>
        <w:t xml:space="preserve"> vs. </w:t>
      </w:r>
      <w:r>
        <w:rPr>
          <w:smallCaps/>
        </w:rPr>
        <w:t>cs-lat</w:t>
      </w:r>
      <w:r>
        <w:t xml:space="preserve"> is in the text and Table VIII). Topic p: exact sign-flip permutation test on the 20 per-topic differences, Holm-adjusted in parentheses. Stored, J-OSS: accuracy (%) under the original labels and under the cross-family judge. †</w:t>
      </w:r>
      <w:r>
        <w:rPr>
          <w:smallCaps/>
        </w:rPr>
        <w:t>en-orig</w:t>
      </w:r>
      <w:r>
        <w:t xml:space="preserve"> vs. </w:t>
      </w:r>
      <w:r>
        <w:rPr>
          <w:smallCaps/>
        </w:rPr>
        <w:t>en-match</w:t>
      </w:r>
      <w:r>
        <w:t>, exploratory.</w:t>
      </w:r>
    </w:p>
    <w:tbl>
      <w:tblPr>
        <w:tblStyle w:val="Table"/>
        <w:tblW w:type="dxa" w:w="10436"/>
        <w:tblLook w:firstRow="1" w:lastRow="0" w:firstColumn="0" w:lastColumn="0" w:noHBand="0" w:noVBand="0" w:val="0020"/>
        <w:jc w:val="center"/>
        <w:tblCellMar>
          <w:top w:w="10" w:type="dxa"/>
          <w:left w:w="50" w:type="dxa"/>
          <w:bottom w:w="10" w:type="dxa"/>
          <w:right w:w="50" w:type="dxa"/>
        </w:tblCellMar>
        <w:tblLayout w:type="fixed"/>
      </w:tblPr>
      <w:tblGrid>
        <w:gridCol w:w="1080"/>
        <w:gridCol w:w="1224"/>
        <w:gridCol w:w="1224"/>
        <w:gridCol w:w="1080"/>
        <w:gridCol w:w="648"/>
        <w:gridCol w:w="1152"/>
        <w:gridCol w:w="1152"/>
        <w:gridCol w:w="1368"/>
        <w:gridCol w:w="720"/>
        <w:gridCol w:w="720"/>
      </w:tblGrid>
      <w:tr>
        <w:trPr>
          <w:tblHeader w:val="true"/>
          <w:cantSplit/>
        </w:trPr>
        <w:tc>
          <w:tcPr>
            <w:tcW w:type="dxa" w:w="1080"/>
            <w:tcBorders>
              <w:top w:val="single" w:sz="12" w:color="000000" w:space="0"/>
              <w:bottom w:val="single" w:sz="6" w:color="000000" w:space="0"/>
            </w:tcBorders>
          </w:tcPr>
          <w:p>
            <w:pPr>
              <w:pStyle w:val="Compact"/>
              <w:keepNext/>
              <w:spacing w:before="0" w:after="0"/>
              <w:ind w:firstLine="0"/>
              <w:jc w:val="left"/>
            </w:pPr>
            <w:r>
              <w:rPr>
                <w:b/>
                <w:sz w:val="16"/>
              </w:rPr>
              <w:t>Condition</w:t>
            </w:r>
          </w:p>
        </w:tc>
        <w:tc>
          <w:tcPr>
            <w:tcW w:type="dxa" w:w="1224"/>
            <w:tcBorders>
              <w:top w:val="single" w:sz="12" w:color="000000" w:space="0"/>
              <w:bottom w:val="single" w:sz="6" w:color="000000" w:space="0"/>
            </w:tcBorders>
          </w:tcPr>
          <w:p>
            <w:pPr>
              <w:pStyle w:val="Compact"/>
              <w:keepNext/>
              <w:spacing w:before="0" w:after="0"/>
              <w:ind w:firstLine="0"/>
              <w:jc w:val="right"/>
            </w:pPr>
            <w:r>
              <w:rPr>
                <w:b/>
                <w:sz w:val="16"/>
              </w:rPr>
              <w:t>Acc. (%)</w:t>
            </w:r>
          </w:p>
        </w:tc>
        <w:tc>
          <w:tcPr>
            <w:tcW w:type="dxa" w:w="1224"/>
            <w:tcBorders>
              <w:top w:val="single" w:sz="12" w:color="000000" w:space="0"/>
              <w:bottom w:val="single" w:sz="6" w:color="000000" w:space="0"/>
            </w:tcBorders>
          </w:tcPr>
          <w:p>
            <w:pPr>
              <w:pStyle w:val="Compact"/>
              <w:keepNext/>
              <w:spacing w:before="0" w:after="0"/>
              <w:ind w:firstLine="0"/>
              <w:jc w:val="right"/>
            </w:pPr>
            <w:r>
              <w:rPr>
                <w:b/>
                <w:sz w:val="16"/>
              </w:rPr>
              <w:t>Wilson CI</w:t>
            </w:r>
          </w:p>
        </w:tc>
        <w:tc>
          <w:tcPr>
            <w:tcW w:type="dxa" w:w="1080"/>
            <w:tcBorders>
              <w:top w:val="single" w:sz="12" w:color="000000" w:space="0"/>
              <w:bottom w:val="single" w:sz="6" w:color="000000" w:space="0"/>
            </w:tcBorders>
          </w:tcPr>
          <w:p>
            <w:pPr>
              <w:pStyle w:val="Compact"/>
              <w:keepNext/>
              <w:spacing w:before="0" w:after="0"/>
              <w:ind w:firstLine="0"/>
              <w:jc w:val="right"/>
            </w:pPr>
            <w:r>
              <w:rPr>
                <w:b/>
                <w:sz w:val="16"/>
              </w:rPr>
              <w:t>Topic-boot. CI</w:t>
            </w:r>
          </w:p>
        </w:tc>
        <w:tc>
          <w:tcPr>
            <w:tcW w:type="dxa" w:w="648"/>
            <w:tcBorders>
              <w:top w:val="single" w:sz="12" w:color="000000" w:space="0"/>
              <w:bottom w:val="single" w:sz="6" w:color="000000" w:space="0"/>
            </w:tcBorders>
          </w:tcPr>
          <w:p>
            <w:pPr>
              <w:pStyle w:val="Compact"/>
              <w:keepNext/>
              <w:spacing w:before="0" w:after="0"/>
              <w:ind w:firstLine="0"/>
              <w:jc w:val="right"/>
            </w:pPr>
            <w:r>
              <w:rPr>
                <w:b/>
                <w:sz w:val="16"/>
              </w:rPr>
              <w:t>Δ</w:t>
            </w:r>
          </w:p>
        </w:tc>
        <w:tc>
          <w:tcPr>
            <w:tcW w:type="dxa" w:w="1152"/>
            <w:tcBorders>
              <w:top w:val="single" w:sz="12" w:color="000000" w:space="0"/>
              <w:bottom w:val="single" w:sz="6" w:color="000000" w:space="0"/>
            </w:tcBorders>
          </w:tcPr>
          <w:p>
            <w:pPr>
              <w:pStyle w:val="Compact"/>
              <w:keepNext/>
              <w:spacing w:before="0" w:after="0"/>
              <w:ind w:firstLine="0"/>
              <w:jc w:val="right"/>
            </w:pPr>
            <w:r>
              <w:rPr>
                <w:b/>
                <w:sz w:val="16"/>
              </w:rPr>
              <w:t>Exact p</w:t>
            </w:r>
          </w:p>
        </w:tc>
        <w:tc>
          <w:tcPr>
            <w:tcW w:type="dxa" w:w="1152"/>
            <w:tcBorders>
              <w:top w:val="single" w:sz="12" w:color="000000" w:space="0"/>
              <w:bottom w:val="single" w:sz="6" w:color="000000" w:space="0"/>
            </w:tcBorders>
          </w:tcPr>
          <w:p>
            <w:pPr>
              <w:pStyle w:val="Compact"/>
              <w:keepNext/>
              <w:spacing w:before="0" w:after="0"/>
              <w:ind w:firstLine="0"/>
              <w:jc w:val="right"/>
            </w:pPr>
            <w:r>
              <w:rPr>
                <w:b/>
                <w:sz w:val="16"/>
              </w:rPr>
              <w:t>Holm p</w:t>
            </w:r>
          </w:p>
        </w:tc>
        <w:tc>
          <w:tcPr>
            <w:tcW w:type="dxa" w:w="1368"/>
            <w:tcBorders>
              <w:top w:val="single" w:sz="12" w:color="000000" w:space="0"/>
              <w:bottom w:val="single" w:sz="6" w:color="000000" w:space="0"/>
            </w:tcBorders>
          </w:tcPr>
          <w:p>
            <w:pPr>
              <w:pStyle w:val="Compact"/>
              <w:keepNext/>
              <w:spacing w:before="0" w:after="0"/>
              <w:ind w:firstLine="0"/>
              <w:jc w:val="right"/>
            </w:pPr>
            <w:r>
              <w:rPr>
                <w:b/>
                <w:sz w:val="16"/>
              </w:rPr>
              <w:t>Topic p (Holm)</w:t>
            </w:r>
          </w:p>
        </w:tc>
        <w:tc>
          <w:tcPr>
            <w:tcW w:type="dxa" w:w="720"/>
            <w:tcBorders>
              <w:top w:val="single" w:sz="12" w:color="000000" w:space="0"/>
              <w:bottom w:val="single" w:sz="6" w:color="000000" w:space="0"/>
            </w:tcBorders>
          </w:tcPr>
          <w:p>
            <w:pPr>
              <w:pStyle w:val="Compact"/>
              <w:keepNext/>
              <w:spacing w:before="0" w:after="0"/>
              <w:ind w:firstLine="0"/>
              <w:jc w:val="right"/>
            </w:pPr>
            <w:r>
              <w:rPr>
                <w:b/>
                <w:sz w:val="16"/>
              </w:rPr>
              <w:t>Stored</w:t>
            </w:r>
          </w:p>
        </w:tc>
        <w:tc>
          <w:tcPr>
            <w:tcW w:type="dxa" w:w="720"/>
            <w:tcBorders>
              <w:top w:val="single" w:sz="12" w:color="000000" w:space="0"/>
              <w:bottom w:val="single" w:sz="6" w:color="000000" w:space="0"/>
            </w:tcBorders>
          </w:tcPr>
          <w:p>
            <w:pPr>
              <w:pStyle w:val="Compact"/>
              <w:keepNext/>
              <w:spacing w:before="0" w:after="0"/>
              <w:ind w:firstLine="0"/>
              <w:jc w:val="right"/>
            </w:pPr>
            <w:r>
              <w:rPr>
                <w:b/>
                <w:sz w:val="16"/>
              </w:rPr>
              <w:t>J-OSS</w:t>
            </w:r>
          </w:p>
        </w:tc>
      </w:tr>
      <w:tr>
        <w:trPr>
          <w:cantSplit/>
        </w:trPr>
        <w:tc>
          <w:tcPr>
            <w:tcW w:type="dxa" w:w="1080"/>
          </w:tcPr>
          <w:p>
            <w:pPr>
              <w:pStyle w:val="Compact"/>
              <w:keepNext/>
              <w:spacing w:before="0" w:after="0"/>
              <w:ind w:firstLine="0"/>
              <w:jc w:val="left"/>
            </w:pPr>
            <w:r>
              <w:rPr>
                <w:smallCaps/>
                <w:sz w:val="16"/>
              </w:rPr>
              <w:t>en-orig</w:t>
            </w:r>
          </w:p>
        </w:tc>
        <w:tc>
          <w:tcPr>
            <w:tcW w:type="dxa" w:w="1224"/>
          </w:tcPr>
          <w:p>
            <w:pPr>
              <w:pStyle w:val="Compact"/>
              <w:keepNext/>
              <w:spacing w:before="0" w:after="0"/>
              <w:ind w:firstLine="0"/>
              <w:jc w:val="right"/>
            </w:pPr>
            <w:r>
              <w:rPr>
                <w:sz w:val="16"/>
              </w:rPr>
              <w:t>70.0 (70/100)</w:t>
            </w:r>
          </w:p>
        </w:tc>
        <w:tc>
          <w:tcPr>
            <w:tcW w:type="dxa" w:w="1224"/>
          </w:tcPr>
          <w:p>
            <w:pPr>
              <w:pStyle w:val="Compact"/>
              <w:keepNext/>
              <w:spacing w:before="0" w:after="0"/>
              <w:ind w:firstLine="0"/>
              <w:jc w:val="right"/>
            </w:pPr>
            <w:r>
              <w:rPr>
                <w:sz w:val="16"/>
              </w:rPr>
              <w:t>[60.4, 78.1]</w:t>
            </w:r>
          </w:p>
        </w:tc>
        <w:tc>
          <w:tcPr>
            <w:tcW w:type="dxa" w:w="1080"/>
          </w:tcPr>
          <w:p>
            <w:pPr>
              <w:pStyle w:val="Compact"/>
              <w:keepNext/>
              <w:spacing w:before="0" w:after="0"/>
              <w:ind w:firstLine="0"/>
              <w:jc w:val="right"/>
            </w:pPr>
            <w:r>
              <w:rPr>
                <w:sz w:val="16"/>
              </w:rPr>
              <w:t>[50, 90]</w:t>
            </w:r>
          </w:p>
        </w:tc>
        <w:tc>
          <w:tcPr>
            <w:tcW w:type="dxa" w:w="648"/>
          </w:tcPr>
          <w:p>
            <w:pPr>
              <w:pStyle w:val="Compact"/>
              <w:keepNext/>
              <w:spacing w:before="0" w:after="0"/>
              <w:ind w:firstLine="0"/>
              <w:jc w:val="right"/>
            </w:pPr>
            <w:r>
              <w:rPr>
                <w:sz w:val="16"/>
              </w:rPr>
              <w:t>+10†</w:t>
            </w:r>
          </w:p>
        </w:tc>
        <w:tc>
          <w:tcPr>
            <w:tcW w:type="dxa" w:w="1152"/>
          </w:tcPr>
          <w:p>
            <w:pPr>
              <w:pStyle w:val="Compact"/>
              <w:keepNext/>
              <w:spacing w:before="0" w:after="0"/>
              <w:ind w:firstLine="0"/>
              <w:jc w:val="right"/>
            </w:pPr>
            <w:r>
              <w:rPr>
                <w:sz w:val="16"/>
              </w:rPr>
              <w:t>0.099</w:t>
            </w:r>
          </w:p>
        </w:tc>
        <w:tc>
          <w:tcPr>
            <w:tcW w:type="dxa" w:w="1152"/>
          </w:tcPr>
          <w:p>
            <w:pPr>
              <w:pStyle w:val="Compact"/>
              <w:keepNext/>
              <w:spacing w:before="0" w:after="0"/>
              <w:ind w:firstLine="0"/>
              <w:jc w:val="right"/>
            </w:pPr>
            <w:r>
              <w:rPr>
                <w:sz w:val="16"/>
              </w:rPr>
              <w:t>–</w:t>
            </w:r>
          </w:p>
        </w:tc>
        <w:tc>
          <w:tcPr>
            <w:tcW w:type="dxa" w:w="1368"/>
          </w:tcPr>
          <w:p>
            <w:pPr>
              <w:pStyle w:val="Compact"/>
              <w:keepNext/>
              <w:spacing w:before="0" w:after="0"/>
              <w:ind w:firstLine="0"/>
              <w:jc w:val="right"/>
            </w:pPr>
            <w:r>
              <w:rPr>
                <w:sz w:val="16"/>
              </w:rPr>
              <w:t>0.69</w:t>
            </w:r>
          </w:p>
        </w:tc>
        <w:tc>
          <w:tcPr>
            <w:tcW w:type="dxa" w:w="720"/>
          </w:tcPr>
          <w:p>
            <w:pPr>
              <w:pStyle w:val="Compact"/>
              <w:keepNext/>
              <w:spacing w:before="0" w:after="0"/>
              <w:ind w:firstLine="0"/>
              <w:jc w:val="right"/>
            </w:pPr>
            <w:r>
              <w:t>64</w:t>
            </w:r>
          </w:p>
        </w:tc>
        <w:tc>
          <w:tcPr>
            <w:tcW w:type="dxa" w:w="720"/>
          </w:tcPr>
          <w:p>
            <w:pPr>
              <w:pStyle w:val="Compact"/>
              <w:keepNext/>
              <w:spacing w:before="0" w:after="0"/>
              <w:ind w:firstLine="0"/>
              <w:jc w:val="right"/>
            </w:pPr>
            <w:r>
              <w:t>40</w:t>
            </w:r>
          </w:p>
        </w:tc>
      </w:tr>
      <w:tr>
        <w:trPr>
          <w:cantSplit/>
        </w:trPr>
        <w:tc>
          <w:tcPr>
            <w:tcW w:type="dxa" w:w="1080"/>
          </w:tcPr>
          <w:p>
            <w:pPr>
              <w:pStyle w:val="Compact"/>
              <w:keepNext/>
              <w:spacing w:before="0" w:after="0"/>
              <w:ind w:firstLine="0"/>
              <w:jc w:val="left"/>
            </w:pPr>
            <w:r>
              <w:rPr>
                <w:smallCaps/>
                <w:sz w:val="16"/>
              </w:rPr>
              <w:t>en-match</w:t>
            </w:r>
          </w:p>
        </w:tc>
        <w:tc>
          <w:tcPr>
            <w:tcW w:type="dxa" w:w="1224"/>
          </w:tcPr>
          <w:p>
            <w:pPr>
              <w:pStyle w:val="Compact"/>
              <w:keepNext/>
              <w:spacing w:before="0" w:after="0"/>
              <w:ind w:firstLine="0"/>
              <w:jc w:val="right"/>
            </w:pPr>
            <w:r>
              <w:rPr>
                <w:sz w:val="16"/>
              </w:rPr>
              <w:t>60.0 (60/100)</w:t>
            </w:r>
          </w:p>
        </w:tc>
        <w:tc>
          <w:tcPr>
            <w:tcW w:type="dxa" w:w="1224"/>
          </w:tcPr>
          <w:p>
            <w:pPr>
              <w:pStyle w:val="Compact"/>
              <w:keepNext/>
              <w:spacing w:before="0" w:after="0"/>
              <w:ind w:firstLine="0"/>
              <w:jc w:val="right"/>
            </w:pPr>
            <w:r>
              <w:rPr>
                <w:sz w:val="16"/>
              </w:rPr>
              <w:t>[50.2, 69.1]</w:t>
            </w:r>
          </w:p>
        </w:tc>
        <w:tc>
          <w:tcPr>
            <w:tcW w:type="dxa" w:w="1080"/>
          </w:tcPr>
          <w:p>
            <w:pPr>
              <w:pStyle w:val="Compact"/>
              <w:keepNext/>
              <w:spacing w:before="0" w:after="0"/>
              <w:ind w:firstLine="0"/>
              <w:jc w:val="right"/>
            </w:pPr>
            <w:r>
              <w:rPr>
                <w:sz w:val="16"/>
              </w:rPr>
              <w:t>[40, 80]</w:t>
            </w:r>
          </w:p>
        </w:tc>
        <w:tc>
          <w:tcPr>
            <w:tcW w:type="dxa" w:w="648"/>
          </w:tcPr>
          <w:p>
            <w:pPr>
              <w:pStyle w:val="Compact"/>
              <w:keepNext/>
              <w:spacing w:before="0" w:after="0"/>
              <w:ind w:firstLine="0"/>
              <w:jc w:val="right"/>
            </w:pPr>
            <w:r>
              <w:rPr>
                <w:sz w:val="16"/>
              </w:rPr>
              <w:t>ref.</w:t>
            </w:r>
          </w:p>
        </w:tc>
        <w:tc>
          <w:tcPr>
            <w:tcW w:type="dxa" w:w="1152"/>
          </w:tcPr>
          <w:p>
            <w:pPr>
              <w:pStyle w:val="Compact"/>
              <w:keepNext/>
              <w:spacing w:before="0" w:after="0"/>
              <w:ind w:firstLine="0"/>
              <w:jc w:val="right"/>
            </w:pPr>
            <w:r>
              <w:rPr>
                <w:sz w:val="16"/>
              </w:rPr>
              <w:t>–</w:t>
            </w:r>
          </w:p>
        </w:tc>
        <w:tc>
          <w:tcPr>
            <w:tcW w:type="dxa" w:w="1152"/>
          </w:tcPr>
          <w:p>
            <w:pPr>
              <w:pStyle w:val="Compact"/>
              <w:keepNext/>
              <w:spacing w:before="0" w:after="0"/>
              <w:ind w:firstLine="0"/>
              <w:jc w:val="right"/>
            </w:pPr>
            <w:r>
              <w:rPr>
                <w:sz w:val="16"/>
              </w:rPr>
              <w:t>–</w:t>
            </w:r>
          </w:p>
        </w:tc>
        <w:tc>
          <w:tcPr>
            <w:tcW w:type="dxa" w:w="1368"/>
          </w:tcPr>
          <w:p>
            <w:pPr>
              <w:pStyle w:val="Compact"/>
              <w:keepNext/>
              <w:spacing w:before="0" w:after="0"/>
              <w:ind w:firstLine="0"/>
              <w:jc w:val="right"/>
            </w:pPr>
            <w:r>
              <w:rPr>
                <w:sz w:val="16"/>
              </w:rPr>
              <w:t>–</w:t>
            </w:r>
          </w:p>
        </w:tc>
        <w:tc>
          <w:tcPr>
            <w:tcW w:type="dxa" w:w="720"/>
          </w:tcPr>
          <w:p>
            <w:pPr>
              <w:pStyle w:val="Compact"/>
              <w:keepNext/>
              <w:spacing w:before="0" w:after="0"/>
              <w:ind w:firstLine="0"/>
              <w:jc w:val="right"/>
            </w:pPr>
            <w:r>
              <w:t>60</w:t>
            </w:r>
          </w:p>
        </w:tc>
        <w:tc>
          <w:tcPr>
            <w:tcW w:type="dxa" w:w="720"/>
          </w:tcPr>
          <w:p>
            <w:pPr>
              <w:pStyle w:val="Compact"/>
              <w:keepNext/>
              <w:spacing w:before="0" w:after="0"/>
              <w:ind w:firstLine="0"/>
              <w:jc w:val="right"/>
            </w:pPr>
            <w:r>
              <w:t>37</w:t>
            </w:r>
          </w:p>
        </w:tc>
      </w:tr>
      <w:tr>
        <w:trPr>
          <w:cantSplit/>
        </w:trPr>
        <w:tc>
          <w:tcPr>
            <w:tcW w:type="dxa" w:w="1080"/>
          </w:tcPr>
          <w:p>
            <w:pPr>
              <w:pStyle w:val="Compact"/>
              <w:keepNext/>
              <w:spacing w:before="0" w:after="0"/>
              <w:ind w:firstLine="0"/>
              <w:jc w:val="left"/>
            </w:pPr>
            <w:r>
              <w:rPr>
                <w:smallCaps/>
                <w:sz w:val="16"/>
              </w:rPr>
              <w:t>cs-lat</w:t>
            </w:r>
          </w:p>
        </w:tc>
        <w:tc>
          <w:tcPr>
            <w:tcW w:type="dxa" w:w="1224"/>
          </w:tcPr>
          <w:p>
            <w:pPr>
              <w:pStyle w:val="Compact"/>
              <w:keepNext/>
              <w:spacing w:before="0" w:after="0"/>
              <w:ind w:firstLine="0"/>
              <w:jc w:val="right"/>
            </w:pPr>
            <w:r>
              <w:rPr>
                <w:sz w:val="16"/>
              </w:rPr>
              <w:t>49.0 (49/100)</w:t>
            </w:r>
          </w:p>
        </w:tc>
        <w:tc>
          <w:tcPr>
            <w:tcW w:type="dxa" w:w="1224"/>
          </w:tcPr>
          <w:p>
            <w:pPr>
              <w:pStyle w:val="Compact"/>
              <w:keepNext/>
              <w:spacing w:before="0" w:after="0"/>
              <w:ind w:firstLine="0"/>
              <w:jc w:val="right"/>
            </w:pPr>
            <w:r>
              <w:rPr>
                <w:sz w:val="16"/>
              </w:rPr>
              <w:t>[39.4, 58.7]</w:t>
            </w:r>
          </w:p>
        </w:tc>
        <w:tc>
          <w:tcPr>
            <w:tcW w:type="dxa" w:w="1080"/>
          </w:tcPr>
          <w:p>
            <w:pPr>
              <w:pStyle w:val="Compact"/>
              <w:keepNext/>
              <w:spacing w:before="0" w:after="0"/>
              <w:ind w:firstLine="0"/>
              <w:jc w:val="right"/>
            </w:pPr>
            <w:r>
              <w:rPr>
                <w:sz w:val="16"/>
              </w:rPr>
              <w:t>[34, 64]</w:t>
            </w:r>
          </w:p>
        </w:tc>
        <w:tc>
          <w:tcPr>
            <w:tcW w:type="dxa" w:w="648"/>
          </w:tcPr>
          <w:p>
            <w:pPr>
              <w:pStyle w:val="Compact"/>
              <w:keepNext/>
              <w:spacing w:before="0" w:after="0"/>
              <w:ind w:firstLine="0"/>
              <w:jc w:val="right"/>
            </w:pPr>
            <w:r>
              <w:rPr>
                <w:sz w:val="16"/>
              </w:rPr>
              <w:t>−11</w:t>
            </w:r>
          </w:p>
        </w:tc>
        <w:tc>
          <w:tcPr>
            <w:tcW w:type="dxa" w:w="1152"/>
          </w:tcPr>
          <w:p>
            <w:pPr>
              <w:pStyle w:val="Compact"/>
              <w:keepNext/>
              <w:spacing w:before="0" w:after="0"/>
              <w:ind w:firstLine="0"/>
              <w:jc w:val="right"/>
            </w:pPr>
            <w:r>
              <w:rPr>
                <w:sz w:val="16"/>
              </w:rPr>
              <w:t>0.13</w:t>
            </w:r>
          </w:p>
        </w:tc>
        <w:tc>
          <w:tcPr>
            <w:tcW w:type="dxa" w:w="1152"/>
          </w:tcPr>
          <w:p>
            <w:pPr>
              <w:pStyle w:val="Compact"/>
              <w:keepNext/>
              <w:spacing w:before="0" w:after="0"/>
              <w:ind w:firstLine="0"/>
              <w:jc w:val="right"/>
            </w:pPr>
            <w:r>
              <w:rPr>
                <w:sz w:val="16"/>
              </w:rPr>
              <w:t>0.13</w:t>
            </w:r>
          </w:p>
        </w:tc>
        <w:tc>
          <w:tcPr>
            <w:tcW w:type="dxa" w:w="1368"/>
          </w:tcPr>
          <w:p>
            <w:pPr>
              <w:pStyle w:val="Compact"/>
              <w:keepNext/>
              <w:spacing w:before="0" w:after="0"/>
              <w:ind w:firstLine="0"/>
              <w:jc w:val="right"/>
            </w:pPr>
            <w:r>
              <w:rPr>
                <w:sz w:val="16"/>
              </w:rPr>
              <w:t>0.42 (0.42)</w:t>
            </w:r>
          </w:p>
        </w:tc>
        <w:tc>
          <w:tcPr>
            <w:tcW w:type="dxa" w:w="720"/>
          </w:tcPr>
          <w:p>
            <w:pPr>
              <w:pStyle w:val="Compact"/>
              <w:keepNext/>
              <w:spacing w:before="0" w:after="0"/>
              <w:ind w:firstLine="0"/>
              <w:jc w:val="right"/>
            </w:pPr>
            <w:r>
              <w:t>43</w:t>
            </w:r>
          </w:p>
        </w:tc>
        <w:tc>
          <w:tcPr>
            <w:tcW w:type="dxa" w:w="720"/>
          </w:tcPr>
          <w:p>
            <w:pPr>
              <w:pStyle w:val="Compact"/>
              <w:keepNext/>
              <w:spacing w:before="0" w:after="0"/>
              <w:ind w:firstLine="0"/>
              <w:jc w:val="right"/>
            </w:pPr>
            <w:r>
              <w:t>25</w:t>
            </w:r>
          </w:p>
        </w:tc>
      </w:tr>
      <w:tr>
        <w:trPr>
          <w:cantSplit/>
        </w:trPr>
        <w:tc>
          <w:tcPr>
            <w:tcW w:type="dxa" w:w="1080"/>
          </w:tcPr>
          <w:p>
            <w:pPr>
              <w:pStyle w:val="Compact"/>
              <w:keepNext/>
              <w:spacing w:before="0" w:after="0"/>
              <w:ind w:firstLine="0"/>
              <w:jc w:val="left"/>
            </w:pPr>
            <w:r>
              <w:rPr>
                <w:smallCaps/>
                <w:sz w:val="16"/>
              </w:rPr>
              <w:t>roman</w:t>
            </w:r>
          </w:p>
        </w:tc>
        <w:tc>
          <w:tcPr>
            <w:tcW w:type="dxa" w:w="1224"/>
          </w:tcPr>
          <w:p>
            <w:pPr>
              <w:pStyle w:val="Compact"/>
              <w:keepNext/>
              <w:spacing w:before="0" w:after="0"/>
              <w:ind w:firstLine="0"/>
              <w:jc w:val="right"/>
            </w:pPr>
            <w:r>
              <w:rPr>
                <w:sz w:val="16"/>
              </w:rPr>
              <w:t>37.0 (37/100)</w:t>
            </w:r>
          </w:p>
        </w:tc>
        <w:tc>
          <w:tcPr>
            <w:tcW w:type="dxa" w:w="1224"/>
          </w:tcPr>
          <w:p>
            <w:pPr>
              <w:pStyle w:val="Compact"/>
              <w:keepNext/>
              <w:spacing w:before="0" w:after="0"/>
              <w:ind w:firstLine="0"/>
              <w:jc w:val="right"/>
            </w:pPr>
            <w:r>
              <w:rPr>
                <w:sz w:val="16"/>
              </w:rPr>
              <w:t>[28.2, 46.8]</w:t>
            </w:r>
          </w:p>
        </w:tc>
        <w:tc>
          <w:tcPr>
            <w:tcW w:type="dxa" w:w="1080"/>
          </w:tcPr>
          <w:p>
            <w:pPr>
              <w:pStyle w:val="Compact"/>
              <w:keepNext/>
              <w:spacing w:before="0" w:after="0"/>
              <w:ind w:firstLine="0"/>
              <w:jc w:val="right"/>
            </w:pPr>
            <w:r>
              <w:rPr>
                <w:sz w:val="16"/>
              </w:rPr>
              <w:t>[24, 50]</w:t>
            </w:r>
          </w:p>
        </w:tc>
        <w:tc>
          <w:tcPr>
            <w:tcW w:type="dxa" w:w="648"/>
          </w:tcPr>
          <w:p>
            <w:pPr>
              <w:pStyle w:val="Compact"/>
              <w:keepNext/>
              <w:spacing w:before="0" w:after="0"/>
              <w:ind w:firstLine="0"/>
              <w:jc w:val="right"/>
            </w:pPr>
            <w:r>
              <w:rPr>
                <w:sz w:val="16"/>
              </w:rPr>
              <w:t>−23</w:t>
            </w:r>
          </w:p>
        </w:tc>
        <w:tc>
          <w:tcPr>
            <w:tcW w:type="dxa" w:w="1152"/>
          </w:tcPr>
          <w:p>
            <w:pPr>
              <w:pStyle w:val="Compact"/>
              <w:keepNext/>
              <w:spacing w:before="0" w:after="0"/>
              <w:ind w:firstLine="0"/>
              <w:jc w:val="right"/>
            </w:pPr>
            <w:r>
              <w:rPr>
                <w:sz w:val="16"/>
              </w:rPr>
              <w:t>0.001</w:t>
            </w:r>
          </w:p>
        </w:tc>
        <w:tc>
          <w:tcPr>
            <w:tcW w:type="dxa" w:w="1152"/>
          </w:tcPr>
          <w:p>
            <w:pPr>
              <w:pStyle w:val="Compact"/>
              <w:keepNext/>
              <w:spacing w:before="0" w:after="0"/>
              <w:ind w:firstLine="0"/>
              <w:jc w:val="right"/>
            </w:pPr>
            <w:r>
              <w:rPr>
                <w:sz w:val="16"/>
              </w:rPr>
              <w:t>0.002</w:t>
            </w:r>
          </w:p>
        </w:tc>
        <w:tc>
          <w:tcPr>
            <w:tcW w:type="dxa" w:w="1368"/>
          </w:tcPr>
          <w:p>
            <w:pPr>
              <w:pStyle w:val="Compact"/>
              <w:keepNext/>
              <w:spacing w:before="0" w:after="0"/>
              <w:ind w:firstLine="0"/>
              <w:jc w:val="right"/>
            </w:pPr>
            <w:r>
              <w:rPr>
                <w:sz w:val="16"/>
              </w:rPr>
              <w:t>0.087 (0.17)</w:t>
            </w:r>
          </w:p>
        </w:tc>
        <w:tc>
          <w:tcPr>
            <w:tcW w:type="dxa" w:w="720"/>
          </w:tcPr>
          <w:p>
            <w:pPr>
              <w:pStyle w:val="Compact"/>
              <w:keepNext/>
              <w:spacing w:before="0" w:after="0"/>
              <w:ind w:firstLine="0"/>
              <w:jc w:val="right"/>
            </w:pPr>
            <w:r>
              <w:t>33</w:t>
            </w:r>
          </w:p>
        </w:tc>
        <w:tc>
          <w:tcPr>
            <w:tcW w:type="dxa" w:w="720"/>
          </w:tcPr>
          <w:p>
            <w:pPr>
              <w:pStyle w:val="Compact"/>
              <w:keepNext/>
              <w:spacing w:before="0" w:after="0"/>
              <w:ind w:firstLine="0"/>
              <w:jc w:val="right"/>
            </w:pPr>
            <w:r>
              <w:t>24</w:t>
            </w:r>
          </w:p>
        </w:tc>
      </w:tr>
      <w:tr>
        <w:trPr>
          <w:cantSplit/>
        </w:trPr>
        <w:tc>
          <w:tcPr>
            <w:tcW w:type="dxa" w:w="1080"/>
          </w:tcPr>
          <w:p>
            <w:pPr>
              <w:pStyle w:val="Compact"/>
              <w:keepNext/>
              <w:spacing w:before="0" w:after="0"/>
              <w:ind w:firstLine="0"/>
              <w:jc w:val="left"/>
            </w:pPr>
            <w:r>
              <w:rPr>
                <w:smallCaps/>
                <w:sz w:val="16"/>
              </w:rPr>
              <w:t>native</w:t>
            </w:r>
          </w:p>
        </w:tc>
        <w:tc>
          <w:tcPr>
            <w:tcW w:type="dxa" w:w="1224"/>
          </w:tcPr>
          <w:p>
            <w:pPr>
              <w:pStyle w:val="Compact"/>
              <w:keepNext/>
              <w:spacing w:before="0" w:after="0"/>
              <w:ind w:firstLine="0"/>
              <w:jc w:val="right"/>
            </w:pPr>
            <w:r>
              <w:rPr>
                <w:sz w:val="16"/>
              </w:rPr>
              <w:t>32.0 (32/100)</w:t>
            </w:r>
          </w:p>
        </w:tc>
        <w:tc>
          <w:tcPr>
            <w:tcW w:type="dxa" w:w="1224"/>
          </w:tcPr>
          <w:p>
            <w:pPr>
              <w:pStyle w:val="Compact"/>
              <w:keepNext/>
              <w:spacing w:before="0" w:after="0"/>
              <w:ind w:firstLine="0"/>
              <w:jc w:val="right"/>
            </w:pPr>
            <w:r>
              <w:rPr>
                <w:sz w:val="16"/>
              </w:rPr>
              <w:t>[23.7, 41.7]</w:t>
            </w:r>
          </w:p>
        </w:tc>
        <w:tc>
          <w:tcPr>
            <w:tcW w:type="dxa" w:w="1080"/>
          </w:tcPr>
          <w:p>
            <w:pPr>
              <w:pStyle w:val="Compact"/>
              <w:keepNext/>
              <w:spacing w:before="0" w:after="0"/>
              <w:ind w:firstLine="0"/>
              <w:jc w:val="right"/>
            </w:pPr>
            <w:r>
              <w:rPr>
                <w:sz w:val="16"/>
              </w:rPr>
              <w:t>[18, 46]</w:t>
            </w:r>
          </w:p>
        </w:tc>
        <w:tc>
          <w:tcPr>
            <w:tcW w:type="dxa" w:w="648"/>
          </w:tcPr>
          <w:p>
            <w:pPr>
              <w:pStyle w:val="Compact"/>
              <w:keepNext/>
              <w:spacing w:before="0" w:after="0"/>
              <w:ind w:firstLine="0"/>
              <w:jc w:val="right"/>
            </w:pPr>
            <w:r>
              <w:rPr>
                <w:sz w:val="16"/>
              </w:rPr>
              <w:t>−28</w:t>
            </w:r>
          </w:p>
        </w:tc>
        <w:tc>
          <w:tcPr>
            <w:tcW w:type="dxa" w:w="1152"/>
          </w:tcPr>
          <w:p>
            <w:pPr>
              <w:pStyle w:val="Compact"/>
              <w:keepNext/>
              <w:spacing w:before="0" w:after="0"/>
              <w:ind w:firstLine="0"/>
              <w:jc w:val="right"/>
            </w:pPr>
            <w:r>
              <w:rPr>
                <w:sz w:val="16"/>
              </w:rPr>
              <w:t>2.54×10⁻⁵</w:t>
            </w:r>
          </w:p>
        </w:tc>
        <w:tc>
          <w:tcPr>
            <w:tcW w:type="dxa" w:w="1152"/>
          </w:tcPr>
          <w:p>
            <w:pPr>
              <w:pStyle w:val="Compact"/>
              <w:keepNext/>
              <w:spacing w:before="0" w:after="0"/>
              <w:ind w:firstLine="0"/>
              <w:jc w:val="right"/>
            </w:pPr>
            <w:r>
              <w:rPr>
                <w:sz w:val="16"/>
              </w:rPr>
              <w:t>1.02×10⁻⁴</w:t>
            </w:r>
          </w:p>
        </w:tc>
        <w:tc>
          <w:tcPr>
            <w:tcW w:type="dxa" w:w="1368"/>
          </w:tcPr>
          <w:p>
            <w:pPr>
              <w:pStyle w:val="Compact"/>
              <w:keepNext/>
              <w:spacing w:before="0" w:after="0"/>
              <w:ind w:firstLine="0"/>
              <w:jc w:val="right"/>
            </w:pPr>
            <w:r>
              <w:rPr>
                <w:sz w:val="16"/>
              </w:rPr>
              <w:t>0.031 (0.12)</w:t>
            </w:r>
          </w:p>
        </w:tc>
        <w:tc>
          <w:tcPr>
            <w:tcW w:type="dxa" w:w="720"/>
          </w:tcPr>
          <w:p>
            <w:pPr>
              <w:pStyle w:val="Compact"/>
              <w:keepNext/>
              <w:spacing w:before="0" w:after="0"/>
              <w:ind w:firstLine="0"/>
              <w:jc w:val="right"/>
            </w:pPr>
            <w:r>
              <w:t>28</w:t>
            </w:r>
          </w:p>
        </w:tc>
        <w:tc>
          <w:tcPr>
            <w:tcW w:type="dxa" w:w="720"/>
          </w:tcPr>
          <w:p>
            <w:pPr>
              <w:pStyle w:val="Compact"/>
              <w:keepNext/>
              <w:spacing w:before="0" w:after="0"/>
              <w:ind w:firstLine="0"/>
              <w:jc w:val="right"/>
            </w:pPr>
            <w:r>
              <w:t>21</w:t>
            </w:r>
          </w:p>
        </w:tc>
      </w:tr>
      <w:tr>
        <w:trPr>
          <w:cantSplit/>
        </w:trPr>
        <w:tc>
          <w:tcPr>
            <w:tcW w:type="dxa" w:w="1080"/>
            <w:tcBorders>
              <w:bottom w:val="single" w:sz="12" w:color="000000" w:space="0"/>
            </w:tcBorders>
          </w:tcPr>
          <w:p>
            <w:pPr>
              <w:pStyle w:val="Compact"/>
              <w:spacing w:before="0" w:after="0"/>
              <w:ind w:firstLine="0"/>
              <w:jc w:val="left"/>
            </w:pPr>
            <w:r>
              <w:rPr>
                <w:smallCaps/>
                <w:sz w:val="16"/>
              </w:rPr>
              <w:t>mixed</w:t>
            </w:r>
          </w:p>
        </w:tc>
        <w:tc>
          <w:tcPr>
            <w:tcW w:type="dxa" w:w="1224"/>
            <w:tcBorders>
              <w:bottom w:val="single" w:sz="12" w:color="000000" w:space="0"/>
            </w:tcBorders>
          </w:tcPr>
          <w:p>
            <w:pPr>
              <w:pStyle w:val="Compact"/>
              <w:spacing w:before="0" w:after="0"/>
              <w:ind w:firstLine="0"/>
              <w:jc w:val="right"/>
            </w:pPr>
            <w:r>
              <w:rPr>
                <w:sz w:val="16"/>
              </w:rPr>
              <w:t>26.0 (26/100)</w:t>
            </w:r>
          </w:p>
        </w:tc>
        <w:tc>
          <w:tcPr>
            <w:tcW w:type="dxa" w:w="1224"/>
            <w:tcBorders>
              <w:bottom w:val="single" w:sz="12" w:color="000000" w:space="0"/>
            </w:tcBorders>
          </w:tcPr>
          <w:p>
            <w:pPr>
              <w:pStyle w:val="Compact"/>
              <w:spacing w:before="0" w:after="0"/>
              <w:ind w:firstLine="0"/>
              <w:jc w:val="right"/>
            </w:pPr>
            <w:r>
              <w:rPr>
                <w:sz w:val="16"/>
              </w:rPr>
              <w:t>[18.4, 35.4]</w:t>
            </w:r>
          </w:p>
        </w:tc>
        <w:tc>
          <w:tcPr>
            <w:tcW w:type="dxa" w:w="1080"/>
            <w:tcBorders>
              <w:bottom w:val="single" w:sz="12" w:color="000000" w:space="0"/>
            </w:tcBorders>
          </w:tcPr>
          <w:p>
            <w:pPr>
              <w:pStyle w:val="Compact"/>
              <w:spacing w:before="0" w:after="0"/>
              <w:ind w:firstLine="0"/>
              <w:jc w:val="right"/>
            </w:pPr>
            <w:r>
              <w:rPr>
                <w:sz w:val="16"/>
              </w:rPr>
              <w:t>[12, 41]</w:t>
            </w:r>
          </w:p>
        </w:tc>
        <w:tc>
          <w:tcPr>
            <w:tcW w:type="dxa" w:w="648"/>
            <w:tcBorders>
              <w:bottom w:val="single" w:sz="12" w:color="000000" w:space="0"/>
            </w:tcBorders>
          </w:tcPr>
          <w:p>
            <w:pPr>
              <w:pStyle w:val="Compact"/>
              <w:spacing w:before="0" w:after="0"/>
              <w:ind w:firstLine="0"/>
              <w:jc w:val="right"/>
            </w:pPr>
            <w:r>
              <w:rPr>
                <w:sz w:val="16"/>
              </w:rPr>
              <w:t>−34</w:t>
            </w:r>
          </w:p>
        </w:tc>
        <w:tc>
          <w:tcPr>
            <w:tcW w:type="dxa" w:w="1152"/>
            <w:tcBorders>
              <w:bottom w:val="single" w:sz="12" w:color="000000" w:space="0"/>
            </w:tcBorders>
          </w:tcPr>
          <w:p>
            <w:pPr>
              <w:pStyle w:val="Compact"/>
              <w:spacing w:before="0" w:after="0"/>
              <w:ind w:firstLine="0"/>
              <w:jc w:val="right"/>
            </w:pPr>
            <w:r>
              <w:rPr>
                <w:sz w:val="16"/>
              </w:rPr>
              <w:t>5.38×10⁻⁶</w:t>
            </w:r>
          </w:p>
        </w:tc>
        <w:tc>
          <w:tcPr>
            <w:tcW w:type="dxa" w:w="1152"/>
            <w:tcBorders>
              <w:bottom w:val="single" w:sz="12" w:color="000000" w:space="0"/>
            </w:tcBorders>
          </w:tcPr>
          <w:p>
            <w:pPr>
              <w:pStyle w:val="Compact"/>
              <w:spacing w:before="0" w:after="0"/>
              <w:ind w:firstLine="0"/>
              <w:jc w:val="right"/>
            </w:pPr>
            <w:r>
              <w:rPr>
                <w:sz w:val="16"/>
              </w:rPr>
              <w:t>2.69×10⁻⁵</w:t>
            </w:r>
          </w:p>
        </w:tc>
        <w:tc>
          <w:tcPr>
            <w:tcW w:type="dxa" w:w="1368"/>
            <w:tcBorders>
              <w:bottom w:val="single" w:sz="12" w:color="000000" w:space="0"/>
            </w:tcBorders>
          </w:tcPr>
          <w:p>
            <w:pPr>
              <w:pStyle w:val="Compact"/>
              <w:spacing w:before="0" w:after="0"/>
              <w:ind w:firstLine="0"/>
              <w:jc w:val="right"/>
            </w:pPr>
            <w:r>
              <w:rPr>
                <w:sz w:val="16"/>
              </w:rPr>
              <w:t>0.030 (0.12)</w:t>
            </w:r>
          </w:p>
        </w:tc>
        <w:tc>
          <w:tcPr>
            <w:tcW w:type="dxa" w:w="720"/>
            <w:tcBorders>
              <w:bottom w:val="single" w:sz="12" w:color="000000" w:space="0"/>
            </w:tcBorders>
          </w:tcPr>
          <w:p>
            <w:pPr>
              <w:pStyle w:val="Compact"/>
              <w:spacing w:before="0" w:after="0"/>
              <w:ind w:firstLine="0"/>
              <w:jc w:val="right"/>
            </w:pPr>
            <w:r>
              <w:t>24</w:t>
            </w:r>
          </w:p>
        </w:tc>
        <w:tc>
          <w:tcPr>
            <w:tcW w:type="dxa" w:w="720"/>
            <w:tcBorders>
              <w:bottom w:val="single" w:sz="12" w:color="000000" w:space="0"/>
            </w:tcBorders>
          </w:tcPr>
          <w:p>
            <w:pPr>
              <w:pStyle w:val="Compact"/>
              <w:spacing w:before="0" w:after="0"/>
              <w:ind w:firstLine="0"/>
              <w:jc w:val="right"/>
            </w:pPr>
            <w:r>
              <w:t>17</w:t>
            </w:r>
          </w:p>
        </w:tc>
      </w:tr>
    </w:tbl>
    <w:p>
      <w:pPr>
        <w:spacing w:before="0" w:after="0" w:line="20" w:lineRule="exact"/>
        <w:rPr>
          <w:sz w:val="2"/>
        </w:rPr>
        <w:sectPr>
          <w:type w:val="continuous"/>
          <w:pgSz w:w="12240" w:h="15840"/>
          <w:pgMar w:top="1080" w:right="900" w:bottom="1296" w:left="900" w:header="576" w:footer="576" w:gutter="0"/>
          <w:cols w:num="1"/>
        </w:sectPr>
      </w:pP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ind w:firstLine="0"/>
        <w:jc w:val="center"/>
      </w:pPr>
      <w:r>
        <w:drawing>
          <wp:inline>
            <wp:extent cx="5334000" cy="2424545"/>
            <wp:effectExtent b="0" l="0" r="0" t="0"/>
            <wp:docPr descr="image" title="" id="31" name="Picture"/>
            <a:graphic>
              <a:graphicData uri="http://schemas.openxmlformats.org/drawingml/2006/picture">
                <pic:pic>
                  <pic:nvPicPr>
                    <pic:cNvPr descr="figures/fig1_accuracy.png" id="32" name="Picture"/>
                    <pic:cNvPicPr>
                      <a:picLocks noChangeArrowheads="1" noChangeAspect="1"/>
                    </pic:cNvPicPr>
                  </pic:nvPicPr>
                  <pic:blipFill>
                    <a:blip r:embed="rId30"/>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spacing w:before="60" w:after="160"/>
        <w:ind w:firstLine="0"/>
        <w:jc w:val="both"/>
      </w:pPr>
      <w:r>
        <w:t xml:space="preserve">Fig. 2. (a) Accuracy (J-QWEN) with Wilson 95% intervals (n = 100 per condition; points not independent within topic). (b) Number of languages (of five) in which each topic is answered correctly, per condition. Topics sorted by </w:t>
      </w:r>
      <w:r>
        <w:rPr>
          <w:smallCaps/>
        </w:rPr>
        <w:t>en-match</w:t>
      </w:r>
      <w:r>
        <w:t xml:space="preserve">, then </w:t>
      </w:r>
      <w:r>
        <w:rPr>
          <w:smallCaps/>
        </w:rPr>
        <w:t>en-orig</w:t>
      </w:r>
      <w:r>
        <w:t>.</w:t>
      </w:r>
    </w:p>
    <w:p>
      <w:pPr>
        <w:spacing w:before="0" w:after="0" w:line="20" w:lineRule="exact"/>
        <w:rPr>
          <w:sz w:val="2"/>
        </w:rPr>
        <w:sectPr>
          <w:type w:val="continuous"/>
          <w:pgSz w:w="12240" w:h="15840"/>
          <w:pgMar w:top="1080" w:right="900" w:bottom="1296" w:left="900" w:header="576" w:footer="576" w:gutter="0"/>
          <w:cols w:num="1"/>
        </w:sectPr>
      </w:pPr>
    </w:p>
    <w:p>
      <w:pPr>
        <w:pStyle w:val="BodyText"/>
        <w:keepNext/>
        <w:spacing w:before="120"/>
        <w:ind w:firstLine="0"/>
        <w:jc w:val="center"/>
      </w:pPr>
      <w:r>
        <w:drawing>
          <wp:inline>
            <wp:extent cx="3108960" cy="2526029"/>
            <wp:effectExtent b="0" l="0" r="0" t="0"/>
            <wp:docPr descr="image" title="" id="34" name="Picture"/>
            <a:graphic>
              <a:graphicData uri="http://schemas.openxmlformats.org/drawingml/2006/picture">
                <pic:pic>
                  <pic:nvPicPr>
                    <pic:cNvPr descr="figures/fig4_language.png" id="35" name="Picture"/>
                    <pic:cNvPicPr>
                      <a:picLocks noChangeArrowheads="1" noChangeAspect="1"/>
                    </pic:cNvPicPr>
                  </pic:nvPicPr>
                  <pic:blipFill>
                    <a:blip r:embed="rId33"/>
                    <a:stretch>
                      <a:fillRect/>
                    </a:stretch>
                  </pic:blipFill>
                  <pic:spPr bwMode="auto">
                    <a:xfrm>
                      <a:off x="0" y="0"/>
                      <a:ext cx="3108960" cy="2526029"/>
                    </a:xfrm>
                    <a:prstGeom prst="rect">
                      <a:avLst/>
                    </a:prstGeom>
                    <a:noFill/>
                    <a:ln w="9525">
                      <a:noFill/>
                      <a:headEnd/>
                      <a:tailEnd/>
                    </a:ln>
                  </pic:spPr>
                </pic:pic>
              </a:graphicData>
            </a:graphic>
          </wp:inline>
        </w:drawing>
      </w:r>
    </w:p>
    <w:p>
      <w:pPr>
        <w:pStyle w:val="BodyText"/>
        <w:spacing w:before="60" w:after="160"/>
        <w:ind w:firstLine="0"/>
        <w:jc w:val="both"/>
      </w:pPr>
      <w:r>
        <w:t>Fig. 3. Accuracy by language and condition (J-QWEN; n = 20 per cell).</w:t>
      </w:r>
    </w:p>
    <w:p>
      <w:pPr>
        <w:pStyle w:val="BodyText"/>
      </w:pPr>
      <w:r>
        <w:t xml:space="preserve">The uncertainty is larger than the Wilson intervals imply. Topic-bootstrap intervals are wider (for </w:t>
      </w:r>
      <w:r>
        <w:rPr>
          <w:smallCaps/>
        </w:rPr>
        <w:t>en-match</w:t>
      </w:r>
      <w:r>
        <w:t xml:space="preserve"> [40, 80] against Wilson [50.2, 69.1]) because accuracy is concentrated by topic: two topics (Environment Clearance Public Hearing, IBC Section 7) are wrong in every condition, and twelve are right for English in all five languages (Fig. 2b). The two all-wrong topics fail for different reasons. For IBC the model gives the pre-2020 default threshold of ₹1 lakh, a genuine error; for Environment Clearance the gold answer lists exemptions that the generic question does not ask for (Section III-C).</w:t>
      </w:r>
    </w:p>
    <w:bookmarkEnd w:id="36"/>
    <w:bookmarkStart w:id="37" w:name="b.-isolating-script-cs-lat-vs.-mixed"/>
    <w:p>
      <w:pPr>
        <w:pStyle w:val="Heading2"/>
      </w:pPr>
      <w:r>
        <w:t>B. Mixed vs. Latin-script code-switching</w:t>
      </w:r>
    </w:p>
    <w:p>
      <w:pPr>
        <w:pStyle w:val="FirstParagraph"/>
      </w:pPr>
      <w:r>
        <w:t xml:space="preserve">Writing the code-switched prompt with its Indic words in Brahmic rather than Latin script lowers accuracy from 49% to 26%, a 23-point drop. Of 37 propositions that differ, 30 favour </w:t>
      </w:r>
      <w:r>
        <w:rPr>
          <w:smallCaps/>
        </w:rPr>
        <w:t>cs-lat</w:t>
      </w:r>
      <w:r>
        <w:t xml:space="preserve"> and 7 favour </w:t>
      </w:r>
      <w:r>
        <w:rPr>
          <w:smallCaps/>
        </w:rPr>
        <w:t>mixed</w:t>
      </w:r>
      <w:r>
        <w:t xml:space="preserve"> (exact p &lt; 0.001, Holm p &lt; 0.001). The drop appears in all five languages (Fig. 3); the mean of the 20 per-topic differences is 23 points (bootstrap 95% CI [11, 35]; permutation p = 0.004, Holm-adjusted 0.018; 14 of 20 topics differ), and the GEE odds ratio is 0.37 (topic-clustered 95% CI 0.21–0.65). On the 60 propositions in Hindi, Bengali and Tamil, where the two prompts are word-for-word identical, the drop is 25 points (p = 0.0015; topic-level p = 0.016). Excluding the three topics with narrow gold answers leaves it at 23.5 points (p &lt; 0.001). Under the stored labels it was 19 points (p = 0.003; topic-level p = 0.015, Holm-adjusted 0.072). At a 128-token budget, then, the mixed-script penalty is the most consistent result in the study.</w:t>
      </w:r>
    </w:p>
    <w:p>
      <w:pPr>
        <w:pStyle w:val="BodyText"/>
      </w:pPr>
      <w:r>
        <w:t xml:space="preserve">Section VI shows that this result does not survive a larger output budget. Here we note only why that check is needed: 88% of </w:t>
      </w:r>
      <w:r>
        <w:rPr>
          <w:smallCaps/>
        </w:rPr>
        <w:t>mixed</w:t>
      </w:r>
      <w:r>
        <w:t xml:space="preserve"> responses are written mostly in Brahmic script, against 2% of </w:t>
      </w:r>
      <w:r>
        <w:rPr>
          <w:smallCaps/>
        </w:rPr>
        <w:t>cs-lat</w:t>
      </w:r>
      <w:r>
        <w:t xml:space="preserve"> responses, so the prompt script also changes the script of the answer, and with it how much answer fits into 128 tokens.</w:t>
      </w:r>
    </w:p>
    <w:bookmarkEnd w:id="37"/>
    <w:bookmarkStart w:id="41" w:name="X13e4d99c49fc36864fce7631fe660be67d9aa91"/>
    <w:p>
      <w:pPr>
        <w:pStyle w:val="Heading2"/>
      </w:pPr>
      <w:r>
        <w:t xml:space="preserve">C. Clustering changes the strength of the English–code-switching gap</w:t>
      </w:r>
    </w:p>
    <w:p>
      <w:pPr>
        <w:pStyle w:val="FirstParagraph"/>
      </w:pPr>
      <w:r>
        <w:t xml:space="preserve">Observations within a topic are strongly dependent. In the five matched-template conditions the intra-topic correlation is ρ = 0.27, the design effect 7.5 and the effective sample size 67 out of 500. Fig. 4a and Table IX show what this does. For </w:t>
      </w:r>
      <w:r>
        <w:rPr>
          <w:smallCaps/>
        </w:rPr>
        <w:t>cs-lat</w:t>
      </w:r>
      <w:r>
        <w:t xml:space="preserve"> against </w:t>
      </w:r>
      <w:r>
        <w:rPr>
          <w:smallCaps/>
        </w:rPr>
        <w:t>en-match</w:t>
      </w:r>
      <w:r>
        <w:t xml:space="preserve">, the GEE p value is 0.12 at prompt level, 0.09 at proposition level and 0.37 at topic level, and the topic-level permutation test gives p = 0.42 (bootstrap 95% CI for the mean per-topic difference [−34, 13] points). For </w:t>
      </w:r>
      <w:r>
        <w:rPr>
          <w:smallCaps/>
        </w:rPr>
        <w:t>roman</w:t>
      </w:r>
      <w:r>
        <w:t xml:space="preserve">, </w:t>
      </w:r>
      <w:r>
        <w:rPr>
          <w:smallCaps/>
        </w:rPr>
        <w:t>native</w:t>
      </w:r>
      <w:r>
        <w:t xml:space="preserve"> and </w:t>
      </w:r>
      <w:r>
        <w:rPr>
          <w:smallCaps/>
        </w:rPr>
        <w:t>mixed</w:t>
      </w:r>
      <w:r>
        <w:t xml:space="preserve"> against </w:t>
      </w:r>
      <w:r>
        <w:rPr>
          <w:smallCaps/>
        </w:rPr>
        <w:t>en-match</w:t>
      </w:r>
      <w:r>
        <w:t xml:space="preserve"> the topic-level permutation p values are 0.087, 0.031 and 0.030, and none survives Holm correction at topic level (smallest adjusted value 0.12). Only </w:t>
      </w:r>
      <w:r>
        <w:rPr>
          <w:smallCaps/>
        </w:rPr>
        <w:t>mixed</w:t>
      </w:r>
      <w:r>
        <w:t xml:space="preserve"> vs. </w:t>
      </w:r>
      <w:r>
        <w:rPr>
          <w:smallCaps/>
        </w:rPr>
        <w:t>cs-lat</w:t>
      </w:r>
      <w:r>
        <w:t xml:space="preserve"> survives Holm correction at every level (adjusted topic-level p = 0.018). At this budget the English-vs-Indic differences are consistent in direction, but at the level of topics only the larger ones approach significance, and the English–</w:t>
      </w:r>
      <w:r>
        <w:rPr>
          <w:smallCaps/>
        </w:rPr>
        <w:t>cs-lat</w:t>
      </w:r>
      <w:r>
        <w:t xml:space="preserve"> gap does not.</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ind w:firstLine="0"/>
        <w:jc w:val="center"/>
      </w:pPr>
      <w:r>
        <w:drawing>
          <wp:inline>
            <wp:extent cx="5334000" cy="2250281"/>
            <wp:effectExtent b="0" l="0" r="0" t="0"/>
            <wp:docPr descr="image" title="" id="39" name="Picture"/>
            <a:graphic>
              <a:graphicData uri="http://schemas.openxmlformats.org/drawingml/2006/picture">
                <pic:pic>
                  <pic:nvPicPr>
                    <pic:cNvPr descr="figures/fig2_clustering_and_script.png" id="40" name="Picture"/>
                    <pic:cNvPicPr>
                      <a:picLocks noChangeArrowheads="1" noChangeAspect="1"/>
                    </pic:cNvPicPr>
                  </pic:nvPicPr>
                  <pic:blipFill>
                    <a:blip r:embed="rId38"/>
                    <a:stretch>
                      <a:fillRect/>
                    </a:stretch>
                  </pic:blipFill>
                  <pic:spPr bwMode="auto">
                    <a:xfrm>
                      <a:off x="0" y="0"/>
                      <a:ext cx="5334000" cy="2250281"/>
                    </a:xfrm>
                    <a:prstGeom prst="rect">
                      <a:avLst/>
                    </a:prstGeom>
                    <a:noFill/>
                    <a:ln w="9525">
                      <a:noFill/>
                      <a:headEnd/>
                      <a:tailEnd/>
                    </a:ln>
                  </pic:spPr>
                </pic:pic>
              </a:graphicData>
            </a:graphic>
          </wp:inline>
        </w:drawing>
      </w:r>
    </w:p>
    <w:p>
      <w:pPr>
        <w:pStyle w:val="BodyText"/>
        <w:spacing w:before="60" w:after="160"/>
        <w:ind w:firstLine="0"/>
        <w:jc w:val="both"/>
      </w:pPr>
      <w:r>
        <w:t xml:space="preserve">Fig. 4. (a) GEE log-odds differences from </w:t>
      </w:r>
      <w:r>
        <w:rPr>
          <w:smallCaps/>
        </w:rPr>
        <w:t>en-match</w:t>
      </w:r>
      <w:r>
        <w:t xml:space="preserve"> (J-QWEN) with robust 95% CIs at three clustering levels (circle: prompt; square: proposition; diamond: topic). Intervals widen at topic level, where the </w:t>
      </w:r>
      <w:r>
        <w:rPr>
          <w:smallCaps/>
        </w:rPr>
        <w:t>cs-lat</w:t>
      </w:r>
      <w:r>
        <w:t xml:space="preserve"> and </w:t>
      </w:r>
      <w:r>
        <w:rPr>
          <w:smallCaps/>
        </w:rPr>
        <w:t>roman</w:t>
      </w:r>
      <w:r>
        <w:t xml:space="preserve"> intervals include zero. (b) Per-topic accuracy difference, </w:t>
      </w:r>
      <w:r>
        <w:rPr>
          <w:smallCaps/>
        </w:rPr>
        <w:t>cs-lat</w:t>
      </w:r>
      <w:r>
        <w:t xml:space="preserve"> minus </w:t>
      </w:r>
      <w:r>
        <w:rPr>
          <w:smallCaps/>
        </w:rPr>
        <w:t>mixed</w:t>
      </w:r>
      <w:r>
        <w:t xml:space="preserve"> (20 topics; band: bootstrap 95% CI of the mean; line: mean).</w:t>
      </w:r>
    </w:p>
    <w:p>
      <w:pPr>
        <w:spacing w:before="0" w:after="0" w:line="20" w:lineRule="exact"/>
        <w:rPr>
          <w:sz w:val="2"/>
        </w:rPr>
        <w:sectPr>
          <w:type w:val="continuous"/>
          <w:pgSz w:w="12240" w:h="15840"/>
          <w:pgMar w:top="1080" w:right="900" w:bottom="1296" w:left="900" w:header="576" w:footer="576" w:gutter="0"/>
          <w:cols w:num="1"/>
        </w:sectPr>
      </w:pPr>
    </w:p>
    <w:bookmarkEnd w:id="41"/>
    <w:bookmarkStart w:id="42" w:name="d.-languages-and-models"/>
    <w:p>
      <w:pPr>
        <w:pStyle w:val="Heading2"/>
      </w:pPr>
      <w:r>
        <w:t xml:space="preserve">D. Languages and models</w:t>
      </w:r>
    </w:p>
    <w:p>
      <w:pPr>
        <w:pStyle w:val="FirstParagraph"/>
      </w:pPr>
      <w:r>
        <w:t xml:space="preserve">Accuracy by language is in Fig. 3. </w:t>
      </w:r>
      <w:r>
        <w:rPr>
          <w:smallCaps/>
        </w:rPr>
        <w:t>mixed</w:t>
      </w:r>
      <w:r>
        <w:t xml:space="preserve"> is below </w:t>
      </w:r>
      <w:r>
        <w:rPr>
          <w:smallCaps/>
        </w:rPr>
        <w:t>cs-lat</w:t>
      </w:r>
      <w:r>
        <w:t xml:space="preserve"> in all five languages; </w:t>
      </w:r>
      <w:r>
        <w:rPr>
          <w:smallCaps/>
        </w:rPr>
        <w:t>en-match</w:t>
      </w:r>
      <w:r>
        <w:t xml:space="preserve"> is above </w:t>
      </w:r>
      <w:r>
        <w:rPr>
          <w:smallCaps/>
        </w:rPr>
        <w:t>cs-lat</w:t>
      </w:r>
      <w:r>
        <w:t xml:space="preserve"> in four and tied with it in Bengali. A permutation test of whether the condition profile depends on language (statistic: interaction sum of squares of the language × condition accuracy table; null: language labels permuted among the five propositions of each topic; 10,000 permutations) gives p = 0.17. With 20 observations per cell this test has little power, so we report no detectable language dependence, not that languages behave alike; Bengali and Telugu differ visibly in the </w:t>
      </w:r>
      <w:r>
        <w:rPr>
          <w:smallCaps/>
        </w:rPr>
        <w:t>roman</w:t>
      </w:r>
      <w:r>
        <w:t xml:space="preserve"> column (20% vs. 50%), and nothing here can separate chance from effect.</w:t>
      </w:r>
    </w:p>
    <w:p>
      <w:pPr>
        <w:pStyle w:val="BodyText"/>
      </w:pPr>
      <w:r>
        <w:t xml:space="preserve">ALLaM-2-7B answers 10% of matched-English questions correctly and 5%, 2%, 2% and 3% in </w:t>
      </w:r>
      <w:r>
        <w:rPr>
          <w:smallCaps/>
        </w:rPr>
        <w:t>cs-lat</w:t>
      </w:r>
      <w:r>
        <w:t xml:space="preserve">, </w:t>
      </w:r>
      <w:r>
        <w:rPr>
          <w:smallCaps/>
        </w:rPr>
        <w:t>roman</w:t>
      </w:r>
      <w:r>
        <w:t xml:space="preserve">, </w:t>
      </w:r>
      <w:r>
        <w:rPr>
          <w:smallCaps/>
        </w:rPr>
        <w:t>native</w:t>
      </w:r>
      <w:r>
        <w:t xml:space="preserve"> and </w:t>
      </w:r>
      <w:r>
        <w:rPr>
          <w:smallCaps/>
        </w:rPr>
        <w:t>mixed</w:t>
      </w:r>
      <w:r>
        <w:t xml:space="preserve"> (stored labels), so the representation contrast cannot be measured on it. The five-condition rank correlation with Qwen3.8-27B under the stored labels (ρ = 0.67, p = 0.22) describes a floor, not a replication. We make no claim about other model families.</w:t>
      </w:r>
    </w:p>
    <w:bookmarkEnd w:id="42"/>
    <w:bookmarkEnd w:id="43"/>
    <w:bookmarkStart w:id="49" w:name="vi.-why-does-mixed-script-text-hurt"/>
    <w:p>
      <w:pPr>
        <w:pStyle w:val="Heading1"/>
      </w:pPr>
      <w:r>
        <w:t>VI. TOKENIZATION AND THE OUTPUT BUDGET</w:t>
      </w:r>
    </w:p>
    <w:bookmarkStart w:id="47" w:name="X5d16392309f7e7d2bfbca8890181239f800b327"/>
    <w:p>
      <w:pPr>
        <w:pStyle w:val="Heading2"/>
      </w:pPr>
      <w:r>
        <w:t>A. Input tokenization (exploratory)</w:t>
      </w:r>
    </w:p>
    <w:p>
      <w:pPr>
        <w:pStyle w:val="FirstParagraph"/>
      </w:pPr>
      <w:r>
        <w:t xml:space="preserve">Subword fragmentation is a standard explanation for weaker performance on non-Latin scripts. Our earlier analysis measured characters per token with the Qwen2.5-7B tokenizer, which does not match the served model: it disagrees with the API's prompt-token counts and would put capped 128-token responses at 120–305 tokens. With the Qwen3.8-27B tokenizer, which does match (Section IV), Brahmic text is less fragmented than that analysis implied: prompts average 2.43 characters per token in </w:t>
      </w:r>
      <w:r>
        <w:rPr>
          <w:smallCaps/>
        </w:rPr>
        <w:t>native</w:t>
      </w:r>
      <w:r>
        <w:t xml:space="preserve"> and 3.70 in </w:t>
      </w:r>
      <w:r>
        <w:rPr>
          <w:smallCaps/>
        </w:rPr>
        <w:t>mixed</w:t>
      </w:r>
      <w:r>
        <w:t xml:space="preserve">, against 4.65 in </w:t>
      </w:r>
      <w:r>
        <w:rPr>
          <w:smallCaps/>
        </w:rPr>
        <w:t>en-match</w:t>
      </w:r>
      <w:r>
        <w:t xml:space="preserve"> and 4.11 in </w:t>
      </w:r>
      <w:r>
        <w:rPr>
          <w:smallCaps/>
        </w:rPr>
        <w:t>cs-lat</w:t>
      </w:r>
      <w:r>
        <w:t xml:space="preserve"> (previously 1.24 and 2.49 for </w:t>
      </w:r>
      <w:r>
        <w:rPr>
          <w:smallCaps/>
        </w:rPr>
        <w:t>native</w:t>
      </w:r>
      <w:r>
        <w:t xml:space="preserve"> and </w:t>
      </w:r>
      <w:r>
        <w:rPr>
          <w:smallCaps/>
        </w:rPr>
        <w:t>mixed</w:t>
      </w:r>
      <w:r>
        <w:t xml:space="preserve">). Within the </w:t>
      </w:r>
      <w:r>
        <w:rPr>
          <w:smallCaps/>
        </w:rPr>
        <w:t>cs-lat</w:t>
      </w:r>
      <w:r>
        <w:t>–</w:t>
      </w:r>
      <w:r>
        <w:rPr>
          <w:smallCaps/>
        </w:rPr>
        <w:t>mixed</w:t>
      </w:r>
      <w:r>
        <w:t xml:space="preserve"> contrast, </w:t>
      </w:r>
      <w:r>
        <w:rPr>
          <w:smallCaps/>
        </w:rPr>
        <w:t>mixed</w:t>
      </w:r>
      <w:r>
        <w:t xml:space="preserve"> lowers characters per token (</w:t>
      </w:r>
      <w:r>
        <w:rPr>
          <w:i/>
        </w:rPr>
        <w:t>a</w:t>
      </w:r>
      <w:r>
        <w:t xml:space="preserve"> = −0.41, SE 0.10), but once condition is controlled the mediator's association with correctness is not significant and has the wrong sign for a fragmentation account (</w:t>
      </w:r>
      <w:r>
        <w:rPr>
          <w:i/>
        </w:rPr>
        <w:t>b</w:t>
      </w:r>
      <w:r>
        <w:t xml:space="preserve"> = −0.40, SE 0.23, p = 0.08; 95% CI −0.85 to 0.05; Sobel p = 0.11). The implied indirect effect is positive while the total effect is negative (−1.01). Because characters per token is almost determined by condition and language in this design, the test has little leverage: it is exploratory and does not rule out a tokenization effect. Across the six conditions, characters per token and accuracy are rank-correlated (ρ = 0.83), but six points that differ in language frame, script and answer length identify nothing (Fig. 5c).</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ind w:firstLine="0"/>
        <w:jc w:val="center"/>
      </w:pPr>
      <w:r>
        <w:drawing>
          <wp:inline>
            <wp:extent cx="5334000" cy="2101272"/>
            <wp:effectExtent b="0" l="0" r="0" t="0"/>
            <wp:docPr descr="image" title="" id="45" name="Picture"/>
            <a:graphic>
              <a:graphicData uri="http://schemas.openxmlformats.org/drawingml/2006/picture">
                <pic:pic>
                  <pic:nvPicPr>
                    <pic:cNvPr descr="figures/fig3_mechanism.png" id="46" name="Picture"/>
                    <pic:cNvPicPr>
                      <a:picLocks noChangeArrowheads="1" noChangeAspect="1"/>
                    </pic:cNvPicPr>
                  </pic:nvPicPr>
                  <pic:blipFill>
                    <a:blip r:embed="rId44"/>
                    <a:stretch>
                      <a:fillRect/>
                    </a:stretch>
                  </pic:blipFill>
                  <pic:spPr bwMode="auto">
                    <a:xfrm>
                      <a:off x="0" y="0"/>
                      <a:ext cx="5334000" cy="2101272"/>
                    </a:xfrm>
                    <a:prstGeom prst="rect">
                      <a:avLst/>
                    </a:prstGeom>
                    <a:noFill/>
                    <a:ln w="9525">
                      <a:noFill/>
                      <a:headEnd/>
                      <a:tailEnd/>
                    </a:ln>
                  </pic:spPr>
                </pic:pic>
              </a:graphicData>
            </a:graphic>
          </wp:inline>
        </w:drawing>
      </w:r>
    </w:p>
    <w:p>
      <w:pPr>
        <w:pStyle w:val="BodyText"/>
        <w:spacing w:before="60" w:after="160"/>
        <w:ind w:firstLine="0"/>
        <w:jc w:val="both"/>
      </w:pPr>
      <w:r>
        <w:t xml:space="preserve">Fig. 5. (a) Mean response length for </w:t>
      </w:r>
      <w:r>
        <w:rPr>
          <w:smallCaps/>
        </w:rPr>
        <w:t>en-match</w:t>
      </w:r>
      <w:r>
        <w:t xml:space="preserve">, </w:t>
      </w:r>
      <w:r>
        <w:rPr>
          <w:smallCaps/>
        </w:rPr>
        <w:t>cs-lat</w:t>
      </w:r>
      <w:r>
        <w:t xml:space="preserve"> and </w:t>
      </w:r>
      <w:r>
        <w:rPr>
          <w:smallCaps/>
        </w:rPr>
        <w:t>mixed</w:t>
      </w:r>
      <w:r>
        <w:t xml:space="preserve"> at 128, 512 and 1,024 tokens; labels give the % of responses that hit the cap. (b) Accuracy of the same 300 prompts at each budget, graded by J-QWEN (solid) and J-OSS (dashed). (c) Condition-level prompt characters per token (Qwen3.8 tokenizer) against accuracy at 128 tokens (six points; descriptive only).</w:t>
      </w:r>
    </w:p>
    <w:p>
      <w:pPr>
        <w:spacing w:before="0" w:after="0" w:line="20" w:lineRule="exact"/>
        <w:rPr>
          <w:sz w:val="2"/>
        </w:rPr>
        <w:sectPr>
          <w:type w:val="continuous"/>
          <w:pgSz w:w="12240" w:h="15840"/>
          <w:pgMar w:top="1080" w:right="900" w:bottom="1296" w:left="900" w:header="576" w:footer="576" w:gutter="0"/>
          <w:cols w:num="1"/>
        </w:sectPr>
      </w:pPr>
    </w:p>
    <w:bookmarkEnd w:id="47"/>
    <w:bookmarkStart w:id="48" w:name="Xab9a3c908a7c464ca5ba1fa4c952e926f31510e"/>
    <w:p>
      <w:pPr>
        <w:pStyle w:val="Heading2"/>
      </w:pPr>
      <w:r>
        <w:t>B. Response script, length and the output budget</w:t>
      </w:r>
    </w:p>
    <w:p>
      <w:pPr>
        <w:pStyle w:val="FirstParagraph"/>
      </w:pPr>
      <w:r>
        <w:t xml:space="preserve">The prompt script largely determines the response script: 98% of </w:t>
      </w:r>
      <w:r>
        <w:rPr>
          <w:smallCaps/>
        </w:rPr>
        <w:t>native</w:t>
      </w:r>
      <w:r>
        <w:t xml:space="preserve"> and 88% of </w:t>
      </w:r>
      <w:r>
        <w:rPr>
          <w:smallCaps/>
        </w:rPr>
        <w:t>mixed</w:t>
      </w:r>
      <w:r>
        <w:t xml:space="preserve"> responses are written mostly in Brahmic script (more than half of their letters), against 8% and 2% for </w:t>
      </w:r>
      <w:r>
        <w:rPr>
          <w:smallCaps/>
        </w:rPr>
        <w:t>roman</w:t>
      </w:r>
      <w:r>
        <w:t xml:space="preserve"> and </w:t>
      </w:r>
      <w:r>
        <w:rPr>
          <w:smallCaps/>
        </w:rPr>
        <w:t>cs-lat</w:t>
      </w:r>
      <w:r>
        <w:t xml:space="preserve"> and none for English. Brahmic answers cost more tokens per character (2.2–2.4 characters per token in </w:t>
      </w:r>
      <w:r>
        <w:rPr>
          <w:smallCaps/>
        </w:rPr>
        <w:t>native</w:t>
      </w:r>
      <w:r>
        <w:t xml:space="preserve"> and </w:t>
      </w:r>
      <w:r>
        <w:rPr>
          <w:smallCaps/>
        </w:rPr>
        <w:t>mixed</w:t>
      </w:r>
      <w:r>
        <w:t xml:space="preserve"> responses against 4.1 in English ones), and nearly all responses used the full 128 tokens, so mean response length is 529 characters in </w:t>
      </w:r>
      <w:r>
        <w:rPr>
          <w:smallCaps/>
        </w:rPr>
        <w:t>en-match</w:t>
      </w:r>
      <w:r>
        <w:t xml:space="preserve"> but 279 in </w:t>
      </w:r>
      <w:r>
        <w:rPr>
          <w:smallCaps/>
        </w:rPr>
        <w:t>native</w:t>
      </w:r>
      <w:r>
        <w:t xml:space="preserve"> and 303 in </w:t>
      </w:r>
      <w:r>
        <w:rPr>
          <w:smallCaps/>
        </w:rPr>
        <w:t>mixed</w:t>
      </w:r>
      <w:r>
        <w:t xml:space="preserve"> (Fig. 5a). Among errors, the share whose judge reason mentions an incomplete or missing answer (a keyword rule, Appendix C) is 0 of 40 in </w:t>
      </w:r>
      <w:r>
        <w:rPr>
          <w:smallCaps/>
        </w:rPr>
        <w:t>en-match</w:t>
      </w:r>
      <w:r>
        <w:t xml:space="preserve">, 11 of 51 in </w:t>
      </w:r>
      <w:r>
        <w:rPr>
          <w:smallCaps/>
        </w:rPr>
        <w:t>cs-lat</w:t>
      </w:r>
      <w:r>
        <w:t xml:space="preserve">, 36 of 68 in </w:t>
      </w:r>
      <w:r>
        <w:rPr>
          <w:smallCaps/>
        </w:rPr>
        <w:t>native</w:t>
      </w:r>
      <w:r>
        <w:t xml:space="preserve"> and 38 of 74 in </w:t>
      </w:r>
      <w:r>
        <w:rPr>
          <w:smallCaps/>
        </w:rPr>
        <w:t>mixed</w:t>
      </w:r>
      <w:r>
        <w:t>. The rule depends on the judge's wording and does not measure truncation, but it points the same way.</w:t>
      </w:r>
    </w:p>
    <w:p>
      <w:pPr>
        <w:pStyle w:val="BodyText"/>
      </w:pPr>
      <w:r>
        <w:t xml:space="preserve">To separate script from budget we re-ran </w:t>
      </w:r>
      <w:r>
        <w:rPr>
          <w:smallCaps/>
        </w:rPr>
        <w:t>en-match</w:t>
      </w:r>
      <w:r>
        <w:t xml:space="preserve">, </w:t>
      </w:r>
      <w:r>
        <w:rPr>
          <w:smallCaps/>
        </w:rPr>
        <w:t>cs-lat</w:t>
      </w:r>
      <w:r>
        <w:t xml:space="preserve"> and </w:t>
      </w:r>
      <w:r>
        <w:rPr>
          <w:smallCaps/>
        </w:rPr>
        <w:t>mixed</w:t>
      </w:r>
      <w:r>
        <w:t xml:space="preserve"> (300 prompts) twice, with 512 and with 1,024-token limits, changing nothing else: same model identifier, system prompt, decoding settings and prompts. Every budget was graded by J-QWEN and by J-OSS, so each comparison across budgets uses one judge (Table III, Fig. 5b). Even 1,024 tokens is not an unconstrained condition: according to the provider's finish reasons, 5 </w:t>
      </w:r>
      <w:r>
        <w:rPr>
          <w:smallCaps/>
        </w:rPr>
        <w:t>en-match</w:t>
      </w:r>
      <w:r>
        <w:t xml:space="preserve">, 39 </w:t>
      </w:r>
      <w:r>
        <w:rPr>
          <w:smallCaps/>
        </w:rPr>
        <w:t>cs-lat</w:t>
      </w:r>
      <w:r>
        <w:t xml:space="preserve"> and 64 </w:t>
      </w:r>
      <w:r>
        <w:rPr>
          <w:smallCaps/>
        </w:rPr>
        <w:t>mixed</w:t>
      </w:r>
      <w:r>
        <w:t xml:space="preserve"> responses still hit the limit (15, 39 and 63 end mid-sentence). The </w:t>
      </w:r>
      <w:r>
        <w:rPr>
          <w:smallCaps/>
        </w:rPr>
        <w:t>mixed</w:t>
      </w:r>
      <w:r>
        <w:t>–</w:t>
      </w:r>
      <w:r>
        <w:rPr>
          <w:smallCaps/>
        </w:rPr>
        <w:t>cs-lat</w:t>
      </w:r>
      <w:r>
        <w:t xml:space="preserve"> gap, −23 points at 128 tokens under J-QWEN, is +4 at 512 and −3 at 1,024 (p = 0.57 and 0.70; topic-bootstrap 95% CIs [−8, 15] and [−14, 8]); under J-OSS it is −8, −6 and −5, never significant (CIs at 512 and 1,024 [−18, 6] and [−17, 7]). These intervals exclude the 23-point gap seen at 128 tokens, but they do not establish equivalence. Between 128 and 1,024 tokens the gap narrows by 20 points under J-QWEN (CI [5, 34], permutation p = 0.023). The pattern holds on the 60 word-identical propositions (J-QWEN at 1,024 tokens: 65% vs. 60%, p = 0.58) and, as an exploratory check that may be biased by selecting on completion, on the 29 propositions where both responses finished before the 1,024-token limit (J-QWEN 48% vs. 55%, p = 0.75; J-OSS 55% vs. 52%, p = 1.0). The English–</w:t>
      </w:r>
      <w:r>
        <w:rPr>
          <w:smallCaps/>
        </w:rPr>
        <w:t>cs-lat</w:t>
      </w:r>
      <w:r>
        <w:t xml:space="preserve"> gap moves the other way under J-QWEN, from −11 at 128 to −21 at 512 and −24 at 1,024 tokens (exact p &lt; 0.001; topic-level p = 0.018, Holm-adjusted 0.036 within the three contrasts of that budget and 0.29 across all 18 follow-up tests), whereas under J-OSS it is −12, −4 and −7 and not significant at any budget (p ≥ 0.050). Restricted to the 57 propositions where both responses finished, the same split appears (J-QWEN 79% vs. 61%, p = 0.013; J-OSS 65% vs. 60%, p = 0.55).</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t>TABLE III</w:t>
      </w:r>
      <w:r>
        <w:br/>
      </w:r>
      <w:r>
        <w:t xml:space="preserve">Output-budget follow-up: the same 300 prompts answered with 128, 512 and 1,024 tokens, each budget graded by both judges. Accuracy (%) per condition; gaps in points with exact McNemar p / topic-level permutation p. Cap: responses (of 100) that hit the output limit, </w:t>
      </w:r>
      <w:r>
        <w:rPr>
          <w:smallCaps/>
        </w:rPr>
        <w:t>en-match</w:t>
      </w:r>
      <w:r>
        <w:t xml:space="preserve"> / </w:t>
      </w:r>
      <w:r>
        <w:rPr>
          <w:smallCaps/>
        </w:rPr>
        <w:t>cs-lat</w:t>
      </w:r>
      <w:r>
        <w:t xml:space="preserve"> / </w:t>
      </w:r>
      <w:r>
        <w:rPr>
          <w:smallCaps/>
        </w:rPr>
        <w:t>mixed</w:t>
      </w:r>
      <w:r>
        <w:t>.</w:t>
      </w:r>
    </w:p>
    <w:tbl>
      <w:tblPr>
        <w:tblStyle w:val="Table"/>
        <w:tblW w:type="dxa" w:w="10437"/>
        <w:tblLook w:firstRow="1" w:lastRow="0" w:firstColumn="0" w:lastColumn="0" w:noHBand="0" w:noVBand="0" w:val="0020"/>
        <w:jc w:val="center"/>
        <w:tblCellMar>
          <w:top w:w="10" w:type="dxa"/>
          <w:left w:w="50" w:type="dxa"/>
          <w:bottom w:w="10" w:type="dxa"/>
          <w:right w:w="50" w:type="dxa"/>
        </w:tblCellMar>
        <w:tblLayout w:type="fixed"/>
      </w:tblPr>
      <w:tblGrid>
        <w:gridCol w:w="1007"/>
        <w:gridCol w:w="864"/>
        <w:gridCol w:w="1080"/>
        <w:gridCol w:w="936"/>
        <w:gridCol w:w="936"/>
        <w:gridCol w:w="1872"/>
        <w:gridCol w:w="1872"/>
        <w:gridCol w:w="1368"/>
      </w:tblGrid>
      <w:tr>
        <w:trPr>
          <w:tblHeader w:val="true"/>
          <w:cantSplit/>
        </w:trPr>
        <w:tc>
          <w:tcPr>
            <w:tcW w:type="dxa" w:w="1008"/>
            <w:tcBorders>
              <w:top w:val="single" w:sz="12" w:color="000000" w:space="0"/>
              <w:bottom w:val="single" w:sz="6" w:color="000000" w:space="0"/>
            </w:tcBorders>
          </w:tcPr>
          <w:p>
            <w:pPr>
              <w:pStyle w:val="Compact"/>
              <w:keepNext/>
              <w:spacing w:before="0" w:after="0"/>
              <w:ind w:firstLine="0"/>
              <w:jc w:val="left"/>
            </w:pPr>
            <w:r>
              <w:rPr>
                <w:b/>
                <w:sz w:val="16"/>
              </w:rPr>
              <w:t>Judge</w:t>
            </w:r>
          </w:p>
        </w:tc>
        <w:tc>
          <w:tcPr>
            <w:tcW w:type="dxa" w:w="864"/>
            <w:tcBorders>
              <w:top w:val="single" w:sz="12" w:color="000000" w:space="0"/>
              <w:bottom w:val="single" w:sz="6" w:color="000000" w:space="0"/>
            </w:tcBorders>
          </w:tcPr>
          <w:p>
            <w:pPr>
              <w:pStyle w:val="Compact"/>
              <w:keepNext/>
              <w:spacing w:before="0" w:after="0"/>
              <w:ind w:firstLine="0"/>
              <w:jc w:val="left"/>
            </w:pPr>
            <w:r>
              <w:rPr>
                <w:b/>
                <w:sz w:val="16"/>
              </w:rPr>
              <w:t>Budget</w:t>
            </w:r>
          </w:p>
        </w:tc>
        <w:tc>
          <w:tcPr>
            <w:tcW w:type="dxa" w:w="1080"/>
            <w:tcBorders>
              <w:top w:val="single" w:sz="12" w:color="000000" w:space="0"/>
              <w:bottom w:val="single" w:sz="6" w:color="000000" w:space="0"/>
            </w:tcBorders>
          </w:tcPr>
          <w:p>
            <w:pPr>
              <w:pStyle w:val="Compact"/>
              <w:keepNext/>
              <w:spacing w:before="0" w:after="0"/>
              <w:ind w:firstLine="0"/>
              <w:jc w:val="right"/>
            </w:pPr>
            <w:r>
              <w:rPr>
                <w:b/>
                <w:smallCaps/>
                <w:sz w:val="16"/>
              </w:rPr>
              <w:t>en-match</w:t>
            </w:r>
          </w:p>
        </w:tc>
        <w:tc>
          <w:tcPr>
            <w:tcW w:type="dxa" w:w="936"/>
            <w:tcBorders>
              <w:top w:val="single" w:sz="12" w:color="000000" w:space="0"/>
              <w:bottom w:val="single" w:sz="6" w:color="000000" w:space="0"/>
            </w:tcBorders>
          </w:tcPr>
          <w:p>
            <w:pPr>
              <w:pStyle w:val="Compact"/>
              <w:keepNext/>
              <w:spacing w:before="0" w:after="0"/>
              <w:ind w:firstLine="0"/>
              <w:jc w:val="right"/>
            </w:pPr>
            <w:r>
              <w:rPr>
                <w:b/>
                <w:smallCaps/>
                <w:sz w:val="16"/>
              </w:rPr>
              <w:t>cs-lat</w:t>
            </w:r>
          </w:p>
        </w:tc>
        <w:tc>
          <w:tcPr>
            <w:tcW w:type="dxa" w:w="936"/>
            <w:tcBorders>
              <w:top w:val="single" w:sz="12" w:color="000000" w:space="0"/>
              <w:bottom w:val="single" w:sz="6" w:color="000000" w:space="0"/>
            </w:tcBorders>
          </w:tcPr>
          <w:p>
            <w:pPr>
              <w:pStyle w:val="Compact"/>
              <w:keepNext/>
              <w:spacing w:before="0" w:after="0"/>
              <w:ind w:firstLine="0"/>
              <w:jc w:val="right"/>
            </w:pPr>
            <w:r>
              <w:rPr>
                <w:b/>
                <w:smallCaps/>
                <w:sz w:val="16"/>
              </w:rPr>
              <w:t>mixed</w:t>
            </w:r>
          </w:p>
        </w:tc>
        <w:tc>
          <w:tcPr>
            <w:tcW w:type="dxa" w:w="1872"/>
            <w:tcBorders>
              <w:top w:val="single" w:sz="12" w:color="000000" w:space="0"/>
              <w:bottom w:val="single" w:sz="6" w:color="000000" w:space="0"/>
            </w:tcBorders>
          </w:tcPr>
          <w:p>
            <w:pPr>
              <w:pStyle w:val="Compact"/>
              <w:keepNext/>
              <w:spacing w:before="0" w:after="0"/>
              <w:ind w:firstLine="0"/>
              <w:jc w:val="right"/>
            </w:pPr>
            <w:r>
              <w:rPr>
                <w:b/>
                <w:smallCaps/>
                <w:sz w:val="16"/>
              </w:rPr>
              <w:t>cs-lat</w:t>
            </w:r>
            <w:r>
              <w:rPr>
                <w:b/>
                <w:sz w:val="16"/>
              </w:rPr>
              <w:t xml:space="preserve"> − </w:t>
            </w:r>
            <w:r>
              <w:rPr>
                <w:b/>
                <w:smallCaps/>
                <w:sz w:val="16"/>
              </w:rPr>
              <w:t>en-match</w:t>
            </w:r>
          </w:p>
        </w:tc>
        <w:tc>
          <w:tcPr>
            <w:tcW w:type="dxa" w:w="1872"/>
            <w:tcBorders>
              <w:top w:val="single" w:sz="12" w:color="000000" w:space="0"/>
              <w:bottom w:val="single" w:sz="6" w:color="000000" w:space="0"/>
            </w:tcBorders>
          </w:tcPr>
          <w:p>
            <w:pPr>
              <w:pStyle w:val="Compact"/>
              <w:keepNext/>
              <w:spacing w:before="0" w:after="0"/>
              <w:ind w:firstLine="0"/>
              <w:jc w:val="right"/>
            </w:pPr>
            <w:r>
              <w:rPr>
                <w:b/>
                <w:smallCaps/>
                <w:sz w:val="16"/>
              </w:rPr>
              <w:t>mixed</w:t>
            </w:r>
            <w:r>
              <w:rPr>
                <w:b/>
                <w:sz w:val="16"/>
              </w:rPr>
              <w:t xml:space="preserve"> − </w:t>
            </w:r>
            <w:r>
              <w:rPr>
                <w:b/>
                <w:smallCaps/>
                <w:sz w:val="16"/>
              </w:rPr>
              <w:t>cs-lat</w:t>
            </w:r>
          </w:p>
        </w:tc>
        <w:tc>
          <w:tcPr>
            <w:tcW w:type="dxa" w:w="1368"/>
            <w:tcBorders>
              <w:top w:val="single" w:sz="12" w:color="000000" w:space="0"/>
              <w:bottom w:val="single" w:sz="6" w:color="000000" w:space="0"/>
            </w:tcBorders>
          </w:tcPr>
          <w:p>
            <w:pPr>
              <w:pStyle w:val="Compact"/>
              <w:keepNext/>
              <w:spacing w:before="0" w:after="0"/>
              <w:ind w:firstLine="0"/>
              <w:jc w:val="right"/>
            </w:pPr>
            <w:r>
              <w:t>Cap (E/C/M)</w:t>
            </w:r>
          </w:p>
        </w:tc>
      </w:tr>
      <w:tr>
        <w:trPr>
          <w:cantSplit/>
        </w:trPr>
        <w:tc>
          <w:tcPr>
            <w:tcW w:type="dxa" w:w="1008"/>
          </w:tcPr>
          <w:p>
            <w:pPr>
              <w:pStyle w:val="Compact"/>
              <w:keepNext/>
              <w:spacing w:before="0" w:after="0"/>
              <w:ind w:firstLine="0"/>
              <w:jc w:val="left"/>
            </w:pPr>
            <w:r>
              <w:rPr>
                <w:sz w:val="16"/>
              </w:rPr>
              <w:t>J-QWEN</w:t>
            </w:r>
          </w:p>
        </w:tc>
        <w:tc>
          <w:tcPr>
            <w:tcW w:type="dxa" w:w="864"/>
          </w:tcPr>
          <w:p>
            <w:pPr>
              <w:pStyle w:val="Compact"/>
              <w:keepNext/>
              <w:spacing w:before="0" w:after="0"/>
              <w:ind w:firstLine="0"/>
              <w:jc w:val="left"/>
            </w:pPr>
            <w:r>
              <w:rPr>
                <w:sz w:val="16"/>
              </w:rPr>
              <w:t>128</w:t>
            </w:r>
          </w:p>
        </w:tc>
        <w:tc>
          <w:tcPr>
            <w:tcW w:type="dxa" w:w="1080"/>
          </w:tcPr>
          <w:p>
            <w:pPr>
              <w:pStyle w:val="Compact"/>
              <w:keepNext/>
              <w:spacing w:before="0" w:after="0"/>
              <w:ind w:firstLine="0"/>
              <w:jc w:val="right"/>
            </w:pPr>
            <w:r>
              <w:rPr>
                <w:sz w:val="16"/>
              </w:rPr>
              <w:t>60</w:t>
            </w:r>
          </w:p>
        </w:tc>
        <w:tc>
          <w:tcPr>
            <w:tcW w:type="dxa" w:w="936"/>
          </w:tcPr>
          <w:p>
            <w:pPr>
              <w:pStyle w:val="Compact"/>
              <w:keepNext/>
              <w:spacing w:before="0" w:after="0"/>
              <w:ind w:firstLine="0"/>
              <w:jc w:val="right"/>
            </w:pPr>
            <w:r>
              <w:rPr>
                <w:sz w:val="16"/>
              </w:rPr>
              <w:t>49</w:t>
            </w:r>
          </w:p>
        </w:tc>
        <w:tc>
          <w:tcPr>
            <w:tcW w:type="dxa" w:w="936"/>
          </w:tcPr>
          <w:p>
            <w:pPr>
              <w:pStyle w:val="Compact"/>
              <w:keepNext/>
              <w:spacing w:before="0" w:after="0"/>
              <w:ind w:firstLine="0"/>
              <w:jc w:val="right"/>
            </w:pPr>
            <w:r>
              <w:rPr>
                <w:sz w:val="16"/>
              </w:rPr>
              <w:t>26</w:t>
            </w:r>
          </w:p>
        </w:tc>
        <w:tc>
          <w:tcPr>
            <w:tcW w:type="dxa" w:w="1872"/>
          </w:tcPr>
          <w:p>
            <w:pPr>
              <w:pStyle w:val="Compact"/>
              <w:keepNext/>
              <w:spacing w:before="0" w:after="0"/>
              <w:ind w:firstLine="0"/>
              <w:jc w:val="right"/>
            </w:pPr>
            <w:r>
              <w:rPr>
                <w:sz w:val="16"/>
              </w:rPr>
              <w:t>−11 (.13 / .42)</w:t>
            </w:r>
          </w:p>
        </w:tc>
        <w:tc>
          <w:tcPr>
            <w:tcW w:type="dxa" w:w="1872"/>
          </w:tcPr>
          <w:p>
            <w:pPr>
              <w:pStyle w:val="Compact"/>
              <w:keepNext/>
              <w:spacing w:before="0" w:after="0"/>
              <w:ind w:firstLine="0"/>
              <w:jc w:val="right"/>
            </w:pPr>
            <w:r>
              <w:rPr>
                <w:sz w:val="16"/>
              </w:rPr>
              <w:t>−23 (&lt;.001 / .004)</w:t>
            </w:r>
          </w:p>
        </w:tc>
        <w:tc>
          <w:tcPr>
            <w:tcW w:type="dxa" w:w="1368"/>
          </w:tcPr>
          <w:p>
            <w:pPr>
              <w:pStyle w:val="Compact"/>
              <w:keepNext/>
              <w:spacing w:before="0" w:after="0"/>
              <w:ind w:firstLine="0"/>
              <w:jc w:val="right"/>
            </w:pPr>
            <w:r>
              <w:t>100 / 99 / 100</w:t>
            </w:r>
          </w:p>
        </w:tc>
      </w:tr>
      <w:tr>
        <w:trPr>
          <w:cantSplit/>
        </w:trPr>
        <w:tc>
          <w:tcPr>
            <w:tcW w:type="dxa" w:w="1008"/>
          </w:tcPr>
          <w:p>
            <w:pPr>
              <w:pStyle w:val="Compact"/>
              <w:keepNext/>
              <w:spacing w:before="0" w:after="0"/>
              <w:ind w:firstLine="0"/>
              <w:jc w:val="left"/>
            </w:pPr>
            <w:r>
              <w:rPr>
                <w:sz w:val="16"/>
              </w:rPr>
              <w:t>J-QWEN</w:t>
            </w:r>
          </w:p>
        </w:tc>
        <w:tc>
          <w:tcPr>
            <w:tcW w:type="dxa" w:w="864"/>
          </w:tcPr>
          <w:p>
            <w:pPr>
              <w:pStyle w:val="Compact"/>
              <w:keepNext/>
              <w:spacing w:before="0" w:after="0"/>
              <w:ind w:firstLine="0"/>
              <w:jc w:val="left"/>
            </w:pPr>
            <w:r>
              <w:rPr>
                <w:sz w:val="16"/>
              </w:rPr>
              <w:t>512</w:t>
            </w:r>
          </w:p>
        </w:tc>
        <w:tc>
          <w:tcPr>
            <w:tcW w:type="dxa" w:w="1080"/>
          </w:tcPr>
          <w:p>
            <w:pPr>
              <w:pStyle w:val="Compact"/>
              <w:keepNext/>
              <w:spacing w:before="0" w:after="0"/>
              <w:ind w:firstLine="0"/>
              <w:jc w:val="right"/>
            </w:pPr>
            <w:r>
              <w:rPr>
                <w:sz w:val="16"/>
              </w:rPr>
              <w:t>80</w:t>
            </w:r>
          </w:p>
        </w:tc>
        <w:tc>
          <w:tcPr>
            <w:tcW w:type="dxa" w:w="936"/>
          </w:tcPr>
          <w:p>
            <w:pPr>
              <w:pStyle w:val="Compact"/>
              <w:keepNext/>
              <w:spacing w:before="0" w:after="0"/>
              <w:ind w:firstLine="0"/>
              <w:jc w:val="right"/>
            </w:pPr>
            <w:r>
              <w:rPr>
                <w:sz w:val="16"/>
              </w:rPr>
              <w:t>59</w:t>
            </w:r>
          </w:p>
        </w:tc>
        <w:tc>
          <w:tcPr>
            <w:tcW w:type="dxa" w:w="936"/>
          </w:tcPr>
          <w:p>
            <w:pPr>
              <w:pStyle w:val="Compact"/>
              <w:keepNext/>
              <w:spacing w:before="0" w:after="0"/>
              <w:ind w:firstLine="0"/>
              <w:jc w:val="right"/>
            </w:pPr>
            <w:r>
              <w:rPr>
                <w:sz w:val="16"/>
              </w:rPr>
              <w:t>63</w:t>
            </w:r>
          </w:p>
        </w:tc>
        <w:tc>
          <w:tcPr>
            <w:tcW w:type="dxa" w:w="1872"/>
          </w:tcPr>
          <w:p>
            <w:pPr>
              <w:pStyle w:val="Compact"/>
              <w:keepNext/>
              <w:spacing w:before="0" w:after="0"/>
              <w:ind w:firstLine="0"/>
              <w:jc w:val="right"/>
            </w:pPr>
            <w:r>
              <w:rPr>
                <w:sz w:val="16"/>
              </w:rPr>
              <w:t>−21 (&lt;.001 / .082)</w:t>
            </w:r>
          </w:p>
        </w:tc>
        <w:tc>
          <w:tcPr>
            <w:tcW w:type="dxa" w:w="1872"/>
          </w:tcPr>
          <w:p>
            <w:pPr>
              <w:pStyle w:val="Compact"/>
              <w:keepNext/>
              <w:spacing w:before="0" w:after="0"/>
              <w:ind w:firstLine="0"/>
              <w:jc w:val="right"/>
            </w:pPr>
            <w:r>
              <w:rPr>
                <w:sz w:val="16"/>
              </w:rPr>
              <w:t>+4 (.57 / .65)</w:t>
            </w:r>
          </w:p>
        </w:tc>
        <w:tc>
          <w:tcPr>
            <w:tcW w:type="dxa" w:w="1368"/>
          </w:tcPr>
          <w:p>
            <w:pPr>
              <w:pStyle w:val="Compact"/>
              <w:keepNext/>
              <w:spacing w:before="0" w:after="0"/>
              <w:ind w:firstLine="0"/>
              <w:jc w:val="right"/>
            </w:pPr>
            <w:r>
              <w:t>42 / 85 / 95</w:t>
            </w:r>
          </w:p>
        </w:tc>
      </w:tr>
      <w:tr>
        <w:trPr>
          <w:cantSplit/>
        </w:trPr>
        <w:tc>
          <w:tcPr>
            <w:tcW w:type="dxa" w:w="1008"/>
          </w:tcPr>
          <w:p>
            <w:pPr>
              <w:pStyle w:val="Compact"/>
              <w:keepNext/>
              <w:spacing w:before="0" w:after="0"/>
              <w:ind w:firstLine="0"/>
              <w:jc w:val="left"/>
            </w:pPr>
            <w:r>
              <w:rPr>
                <w:sz w:val="16"/>
              </w:rPr>
              <w:t>J-QWEN</w:t>
            </w:r>
          </w:p>
        </w:tc>
        <w:tc>
          <w:tcPr>
            <w:tcW w:type="dxa" w:w="864"/>
          </w:tcPr>
          <w:p>
            <w:pPr>
              <w:pStyle w:val="Compact"/>
              <w:keepNext/>
              <w:spacing w:before="0" w:after="0"/>
              <w:ind w:firstLine="0"/>
              <w:jc w:val="left"/>
            </w:pPr>
            <w:r>
              <w:rPr>
                <w:sz w:val="16"/>
              </w:rPr>
              <w:t>1,024</w:t>
            </w:r>
          </w:p>
        </w:tc>
        <w:tc>
          <w:tcPr>
            <w:tcW w:type="dxa" w:w="1080"/>
          </w:tcPr>
          <w:p>
            <w:pPr>
              <w:pStyle w:val="Compact"/>
              <w:keepNext/>
              <w:spacing w:before="0" w:after="0"/>
              <w:ind w:firstLine="0"/>
              <w:jc w:val="right"/>
            </w:pPr>
            <w:r>
              <w:rPr>
                <w:sz w:val="16"/>
              </w:rPr>
              <w:t>85</w:t>
            </w:r>
          </w:p>
        </w:tc>
        <w:tc>
          <w:tcPr>
            <w:tcW w:type="dxa" w:w="936"/>
          </w:tcPr>
          <w:p>
            <w:pPr>
              <w:pStyle w:val="Compact"/>
              <w:keepNext/>
              <w:spacing w:before="0" w:after="0"/>
              <w:ind w:firstLine="0"/>
              <w:jc w:val="right"/>
            </w:pPr>
            <w:r>
              <w:rPr>
                <w:sz w:val="16"/>
              </w:rPr>
              <w:t>61</w:t>
            </w:r>
          </w:p>
        </w:tc>
        <w:tc>
          <w:tcPr>
            <w:tcW w:type="dxa" w:w="936"/>
          </w:tcPr>
          <w:p>
            <w:pPr>
              <w:pStyle w:val="Compact"/>
              <w:keepNext/>
              <w:spacing w:before="0" w:after="0"/>
              <w:ind w:firstLine="0"/>
              <w:jc w:val="right"/>
            </w:pPr>
            <w:r>
              <w:rPr>
                <w:sz w:val="16"/>
              </w:rPr>
              <w:t>58</w:t>
            </w:r>
          </w:p>
        </w:tc>
        <w:tc>
          <w:tcPr>
            <w:tcW w:type="dxa" w:w="1872"/>
          </w:tcPr>
          <w:p>
            <w:pPr>
              <w:pStyle w:val="Compact"/>
              <w:keepNext/>
              <w:spacing w:before="0" w:after="0"/>
              <w:ind w:firstLine="0"/>
              <w:jc w:val="right"/>
            </w:pPr>
            <w:r>
              <w:rPr>
                <w:sz w:val="16"/>
              </w:rPr>
              <w:t>−24 (&lt;.001 / .018)</w:t>
            </w:r>
          </w:p>
        </w:tc>
        <w:tc>
          <w:tcPr>
            <w:tcW w:type="dxa" w:w="1872"/>
          </w:tcPr>
          <w:p>
            <w:pPr>
              <w:pStyle w:val="Compact"/>
              <w:keepNext/>
              <w:spacing w:before="0" w:after="0"/>
              <w:ind w:firstLine="0"/>
              <w:jc w:val="right"/>
            </w:pPr>
            <w:r>
              <w:rPr>
                <w:sz w:val="16"/>
              </w:rPr>
              <w:t>−3 (.70 / .72)</w:t>
            </w:r>
          </w:p>
        </w:tc>
        <w:tc>
          <w:tcPr>
            <w:tcW w:type="dxa" w:w="1368"/>
          </w:tcPr>
          <w:p>
            <w:pPr>
              <w:pStyle w:val="Compact"/>
              <w:keepNext/>
              <w:spacing w:before="0" w:after="0"/>
              <w:ind w:firstLine="0"/>
              <w:jc w:val="right"/>
            </w:pPr>
            <w:r>
              <w:t>5 / 39 / 64</w:t>
            </w:r>
          </w:p>
        </w:tc>
      </w:tr>
      <w:tr>
        <w:trPr>
          <w:cantSplit/>
        </w:trPr>
        <w:tc>
          <w:tcPr>
            <w:tcW w:type="dxa" w:w="1008"/>
          </w:tcPr>
          <w:p>
            <w:pPr>
              <w:pStyle w:val="Compact"/>
              <w:keepNext/>
              <w:spacing w:before="0" w:after="0"/>
              <w:ind w:firstLine="0"/>
              <w:jc w:val="left"/>
            </w:pPr>
            <w:r>
              <w:rPr>
                <w:sz w:val="16"/>
              </w:rPr>
              <w:t>J-OSS</w:t>
            </w:r>
          </w:p>
        </w:tc>
        <w:tc>
          <w:tcPr>
            <w:tcW w:type="dxa" w:w="864"/>
          </w:tcPr>
          <w:p>
            <w:pPr>
              <w:pStyle w:val="Compact"/>
              <w:keepNext/>
              <w:spacing w:before="0" w:after="0"/>
              <w:ind w:firstLine="0"/>
              <w:jc w:val="left"/>
            </w:pPr>
            <w:r>
              <w:rPr>
                <w:sz w:val="16"/>
              </w:rPr>
              <w:t>128</w:t>
            </w:r>
          </w:p>
        </w:tc>
        <w:tc>
          <w:tcPr>
            <w:tcW w:type="dxa" w:w="1080"/>
          </w:tcPr>
          <w:p>
            <w:pPr>
              <w:pStyle w:val="Compact"/>
              <w:keepNext/>
              <w:spacing w:before="0" w:after="0"/>
              <w:ind w:firstLine="0"/>
              <w:jc w:val="right"/>
            </w:pPr>
            <w:r>
              <w:rPr>
                <w:sz w:val="16"/>
              </w:rPr>
              <w:t>37</w:t>
            </w:r>
          </w:p>
        </w:tc>
        <w:tc>
          <w:tcPr>
            <w:tcW w:type="dxa" w:w="936"/>
          </w:tcPr>
          <w:p>
            <w:pPr>
              <w:pStyle w:val="Compact"/>
              <w:keepNext/>
              <w:spacing w:before="0" w:after="0"/>
              <w:ind w:firstLine="0"/>
              <w:jc w:val="right"/>
            </w:pPr>
            <w:r>
              <w:rPr>
                <w:sz w:val="16"/>
              </w:rPr>
              <w:t>25</w:t>
            </w:r>
          </w:p>
        </w:tc>
        <w:tc>
          <w:tcPr>
            <w:tcW w:type="dxa" w:w="936"/>
          </w:tcPr>
          <w:p>
            <w:pPr>
              <w:pStyle w:val="Compact"/>
              <w:keepNext/>
              <w:spacing w:before="0" w:after="0"/>
              <w:ind w:firstLine="0"/>
              <w:jc w:val="right"/>
            </w:pPr>
            <w:r>
              <w:rPr>
                <w:sz w:val="16"/>
              </w:rPr>
              <w:t>17</w:t>
            </w:r>
          </w:p>
        </w:tc>
        <w:tc>
          <w:tcPr>
            <w:tcW w:type="dxa" w:w="1872"/>
          </w:tcPr>
          <w:p>
            <w:pPr>
              <w:pStyle w:val="Compact"/>
              <w:keepNext/>
              <w:spacing w:before="0" w:after="0"/>
              <w:ind w:firstLine="0"/>
              <w:jc w:val="right"/>
            </w:pPr>
            <w:r>
              <w:rPr>
                <w:sz w:val="16"/>
              </w:rPr>
              <w:t>−12 (.050 / .22)</w:t>
            </w:r>
          </w:p>
        </w:tc>
        <w:tc>
          <w:tcPr>
            <w:tcW w:type="dxa" w:w="1872"/>
          </w:tcPr>
          <w:p>
            <w:pPr>
              <w:pStyle w:val="Compact"/>
              <w:keepNext/>
              <w:spacing w:before="0" w:after="0"/>
              <w:ind w:firstLine="0"/>
              <w:jc w:val="right"/>
            </w:pPr>
            <w:r>
              <w:rPr>
                <w:sz w:val="16"/>
              </w:rPr>
              <w:t>−8 (.18 / .24)</w:t>
            </w:r>
          </w:p>
        </w:tc>
        <w:tc>
          <w:tcPr>
            <w:tcW w:type="dxa" w:w="1368"/>
          </w:tcPr>
          <w:p>
            <w:pPr>
              <w:pStyle w:val="Compact"/>
              <w:keepNext/>
              <w:spacing w:before="0" w:after="0"/>
              <w:ind w:firstLine="0"/>
              <w:jc w:val="right"/>
            </w:pPr>
            <w:r>
              <w:t>100 / 99 / 100</w:t>
            </w:r>
          </w:p>
        </w:tc>
      </w:tr>
      <w:tr>
        <w:trPr>
          <w:cantSplit/>
        </w:trPr>
        <w:tc>
          <w:tcPr>
            <w:tcW w:type="dxa" w:w="1008"/>
          </w:tcPr>
          <w:p>
            <w:pPr>
              <w:pStyle w:val="Compact"/>
              <w:keepNext/>
              <w:spacing w:before="0" w:after="0"/>
              <w:ind w:firstLine="0"/>
              <w:jc w:val="left"/>
            </w:pPr>
            <w:r>
              <w:rPr>
                <w:sz w:val="16"/>
              </w:rPr>
              <w:t>J-OSS</w:t>
            </w:r>
          </w:p>
        </w:tc>
        <w:tc>
          <w:tcPr>
            <w:tcW w:type="dxa" w:w="864"/>
          </w:tcPr>
          <w:p>
            <w:pPr>
              <w:pStyle w:val="Compact"/>
              <w:keepNext/>
              <w:spacing w:before="0" w:after="0"/>
              <w:ind w:firstLine="0"/>
              <w:jc w:val="left"/>
            </w:pPr>
            <w:r>
              <w:rPr>
                <w:sz w:val="16"/>
              </w:rPr>
              <w:t>512</w:t>
            </w:r>
          </w:p>
        </w:tc>
        <w:tc>
          <w:tcPr>
            <w:tcW w:type="dxa" w:w="1080"/>
          </w:tcPr>
          <w:p>
            <w:pPr>
              <w:pStyle w:val="Compact"/>
              <w:keepNext/>
              <w:spacing w:before="0" w:after="0"/>
              <w:ind w:firstLine="0"/>
              <w:jc w:val="right"/>
            </w:pPr>
            <w:r>
              <w:rPr>
                <w:sz w:val="16"/>
              </w:rPr>
              <w:t>58</w:t>
            </w:r>
          </w:p>
        </w:tc>
        <w:tc>
          <w:tcPr>
            <w:tcW w:type="dxa" w:w="936"/>
          </w:tcPr>
          <w:p>
            <w:pPr>
              <w:pStyle w:val="Compact"/>
              <w:keepNext/>
              <w:spacing w:before="0" w:after="0"/>
              <w:ind w:firstLine="0"/>
              <w:jc w:val="right"/>
            </w:pPr>
            <w:r>
              <w:rPr>
                <w:sz w:val="16"/>
              </w:rPr>
              <w:t>54</w:t>
            </w:r>
          </w:p>
        </w:tc>
        <w:tc>
          <w:tcPr>
            <w:tcW w:type="dxa" w:w="936"/>
          </w:tcPr>
          <w:p>
            <w:pPr>
              <w:pStyle w:val="Compact"/>
              <w:keepNext/>
              <w:spacing w:before="0" w:after="0"/>
              <w:ind w:firstLine="0"/>
              <w:jc w:val="right"/>
            </w:pPr>
            <w:r>
              <w:rPr>
                <w:sz w:val="16"/>
              </w:rPr>
              <w:t>48</w:t>
            </w:r>
          </w:p>
        </w:tc>
        <w:tc>
          <w:tcPr>
            <w:tcW w:type="dxa" w:w="1872"/>
          </w:tcPr>
          <w:p>
            <w:pPr>
              <w:pStyle w:val="Compact"/>
              <w:keepNext/>
              <w:spacing w:before="0" w:after="0"/>
              <w:ind w:firstLine="0"/>
              <w:jc w:val="right"/>
            </w:pPr>
            <w:r>
              <w:rPr>
                <w:sz w:val="16"/>
              </w:rPr>
              <w:t>−4 (.57 / .76)</w:t>
            </w:r>
          </w:p>
        </w:tc>
        <w:tc>
          <w:tcPr>
            <w:tcW w:type="dxa" w:w="1872"/>
          </w:tcPr>
          <w:p>
            <w:pPr>
              <w:pStyle w:val="Compact"/>
              <w:keepNext/>
              <w:spacing w:before="0" w:after="0"/>
              <w:ind w:firstLine="0"/>
              <w:jc w:val="right"/>
            </w:pPr>
            <w:r>
              <w:rPr>
                <w:sz w:val="16"/>
              </w:rPr>
              <w:t>−6 (.34 / .44)</w:t>
            </w:r>
          </w:p>
        </w:tc>
        <w:tc>
          <w:tcPr>
            <w:tcW w:type="dxa" w:w="1368"/>
          </w:tcPr>
          <w:p>
            <w:pPr>
              <w:pStyle w:val="Compact"/>
              <w:keepNext/>
              <w:spacing w:before="0" w:after="0"/>
              <w:ind w:firstLine="0"/>
              <w:jc w:val="right"/>
            </w:pPr>
            <w:r>
              <w:t>42 / 85 / 95</w:t>
            </w:r>
          </w:p>
        </w:tc>
      </w:tr>
      <w:tr>
        <w:trPr>
          <w:cantSplit/>
        </w:trPr>
        <w:tc>
          <w:tcPr>
            <w:tcW w:type="dxa" w:w="1008"/>
          </w:tcPr>
          <w:p>
            <w:pPr>
              <w:pStyle w:val="Compact"/>
              <w:keepNext/>
              <w:spacing w:before="0" w:after="0"/>
              <w:ind w:firstLine="0"/>
              <w:jc w:val="left"/>
            </w:pPr>
            <w:r>
              <w:rPr>
                <w:sz w:val="16"/>
              </w:rPr>
              <w:t>J-OSS</w:t>
            </w:r>
          </w:p>
        </w:tc>
        <w:tc>
          <w:tcPr>
            <w:tcW w:type="dxa" w:w="864"/>
          </w:tcPr>
          <w:p>
            <w:pPr>
              <w:pStyle w:val="Compact"/>
              <w:keepNext/>
              <w:spacing w:before="0" w:after="0"/>
              <w:ind w:firstLine="0"/>
              <w:jc w:val="left"/>
            </w:pPr>
            <w:r>
              <w:rPr>
                <w:sz w:val="16"/>
              </w:rPr>
              <w:t>1,024</w:t>
            </w:r>
          </w:p>
        </w:tc>
        <w:tc>
          <w:tcPr>
            <w:tcW w:type="dxa" w:w="1080"/>
          </w:tcPr>
          <w:p>
            <w:pPr>
              <w:pStyle w:val="Compact"/>
              <w:keepNext/>
              <w:spacing w:before="0" w:after="0"/>
              <w:ind w:firstLine="0"/>
              <w:jc w:val="right"/>
            </w:pPr>
            <w:r>
              <w:rPr>
                <w:sz w:val="16"/>
              </w:rPr>
              <w:t>63</w:t>
            </w:r>
          </w:p>
        </w:tc>
        <w:tc>
          <w:tcPr>
            <w:tcW w:type="dxa" w:w="936"/>
          </w:tcPr>
          <w:p>
            <w:pPr>
              <w:pStyle w:val="Compact"/>
              <w:keepNext/>
              <w:spacing w:before="0" w:after="0"/>
              <w:ind w:firstLine="0"/>
              <w:jc w:val="right"/>
            </w:pPr>
            <w:r>
              <w:rPr>
                <w:sz w:val="16"/>
              </w:rPr>
              <w:t>56</w:t>
            </w:r>
          </w:p>
        </w:tc>
        <w:tc>
          <w:tcPr>
            <w:tcW w:type="dxa" w:w="936"/>
          </w:tcPr>
          <w:p>
            <w:pPr>
              <w:pStyle w:val="Compact"/>
              <w:keepNext/>
              <w:spacing w:before="0" w:after="0"/>
              <w:ind w:firstLine="0"/>
              <w:jc w:val="right"/>
            </w:pPr>
            <w:r>
              <w:rPr>
                <w:sz w:val="16"/>
              </w:rPr>
              <w:t>51</w:t>
            </w:r>
          </w:p>
        </w:tc>
        <w:tc>
          <w:tcPr>
            <w:tcW w:type="dxa" w:w="1872"/>
          </w:tcPr>
          <w:p>
            <w:pPr>
              <w:pStyle w:val="Compact"/>
              <w:keepNext/>
              <w:spacing w:before="0" w:after="0"/>
              <w:ind w:firstLine="0"/>
              <w:jc w:val="right"/>
            </w:pPr>
            <w:r>
              <w:rPr>
                <w:sz w:val="16"/>
              </w:rPr>
              <w:t>−7 (.21 / .52)</w:t>
            </w:r>
          </w:p>
        </w:tc>
        <w:tc>
          <w:tcPr>
            <w:tcW w:type="dxa" w:w="1872"/>
          </w:tcPr>
          <w:p>
            <w:pPr>
              <w:pStyle w:val="Compact"/>
              <w:keepNext/>
              <w:spacing w:before="0" w:after="0"/>
              <w:ind w:firstLine="0"/>
              <w:jc w:val="right"/>
            </w:pPr>
            <w:r>
              <w:rPr>
                <w:sz w:val="16"/>
              </w:rPr>
              <w:t>−5 (.40 / .52)</w:t>
            </w:r>
          </w:p>
        </w:tc>
        <w:tc>
          <w:tcPr>
            <w:tcW w:type="dxa" w:w="1368"/>
          </w:tcPr>
          <w:p>
            <w:pPr>
              <w:pStyle w:val="Compact"/>
              <w:keepNext/>
              <w:spacing w:before="0" w:after="0"/>
              <w:ind w:firstLine="0"/>
              <w:jc w:val="right"/>
            </w:pPr>
            <w:r>
              <w:t>5 / 39 / 64</w:t>
            </w:r>
          </w:p>
        </w:tc>
      </w:tr>
    </w:tbl>
    <w:p>
      <w:pPr>
        <w:spacing w:before="0" w:after="0" w:line="20" w:lineRule="exact"/>
        <w:rPr>
          <w:sz w:val="2"/>
        </w:rPr>
        <w:sectPr>
          <w:type w:val="continuous"/>
          <w:pgSz w:w="12240" w:h="15840"/>
          <w:pgMar w:top="1080" w:right="900" w:bottom="1296" w:left="900" w:header="576" w:footer="576" w:gutter="0"/>
          <w:cols w:num="1"/>
        </w:sectPr>
      </w:pPr>
    </w:p>
    <w:p>
      <w:pPr>
        <w:pStyle w:val="BodyText"/>
      </w:pPr>
      <w:r>
        <w:t xml:space="preserve">Three conclusions follow. First, the 128-token </w:t>
      </w:r>
      <w:r>
        <w:rPr>
          <w:smallCaps/>
        </w:rPr>
        <w:t>mixed</w:t>
      </w:r>
      <w:r>
        <w:t xml:space="preserve"> penalty is not evidence that script alternation harms recall: once the budget allows longer answers, no difference between mixed-script and Latin-script code-switched prompts is detected under either judge, and the intervals exclude a gap of the 128-token size. Its most likely source is that Brahmic-script answers reach the cap before reaching the fact, and answers a human would call incomplete are then graded as wrong; the </w:t>
      </w:r>
      <w:r>
        <w:rPr>
          <w:smallCaps/>
        </w:rPr>
        <w:t>en-match</w:t>
      </w:r>
      <w:r>
        <w:t xml:space="preserve"> answer on the MTP Act, for instance, correctly states the one-practitioner rule for the first 20 weeks, is cut off before the 20–24-week rule, and is graded HALLUCINATED. Second, </w:t>
      </w:r>
      <w:r>
        <w:rPr>
          <w:smallCaps/>
        </w:rPr>
        <w:t>native</w:t>
      </w:r>
      <w:r>
        <w:t xml:space="preserve"> and </w:t>
      </w:r>
      <w:r>
        <w:rPr>
          <w:smallCaps/>
        </w:rPr>
        <w:t>mixed</w:t>
      </w:r>
      <w:r>
        <w:t xml:space="preserve"> behave alike at 128 tokens (32% and 26%, p = 0.29) although </w:t>
      </w:r>
      <w:r>
        <w:rPr>
          <w:smallCaps/>
        </w:rPr>
        <w:t>mixed</w:t>
      </w:r>
      <w:r>
        <w:t xml:space="preserve"> has five script boundaries per prompt and </w:t>
      </w:r>
      <w:r>
        <w:rPr>
          <w:smallCaps/>
        </w:rPr>
        <w:t>native</w:t>
      </w:r>
      <w:r>
        <w:t xml:space="preserve"> one, which also argues against a boundary-density account. Third, the English advantage is unstable: it grows with the budget under one judge and stays small under the other, and its topic-level significance under the first does not survive correction across the follow-up. We cannot tell from these data which judge is closer to a careful human reader, so the instability itself is the finding. Because most </w:t>
      </w:r>
      <w:r>
        <w:rPr>
          <w:smallCaps/>
        </w:rPr>
        <w:t>mixed</w:t>
      </w:r>
      <w:r>
        <w:t xml:space="preserve"> and many </w:t>
      </w:r>
      <w:r>
        <w:rPr>
          <w:smallCaps/>
        </w:rPr>
        <w:t>cs-lat</w:t>
      </w:r>
      <w:r>
        <w:t xml:space="preserve"> answers still reach the 1,024-token limit, the output budget remains a possible confound for any residual difference.</w:t>
      </w:r>
    </w:p>
    <w:bookmarkEnd w:id="48"/>
    <w:bookmarkEnd w:id="49"/>
    <w:bookmarkStart w:id="50" w:name="vii.-sensitivity-to-judge-error"/>
    <w:p>
      <w:pPr>
        <w:pStyle w:val="Heading1"/>
      </w:pPr>
      <w:r>
        <w:t>VII. JUDGE DEPENDENCE</w:t>
      </w:r>
    </w:p>
    <w:p>
      <w:pPr>
        <w:pStyle w:val="FirstParagraph"/>
      </w:pPr>
      <w:r>
        <w:t xml:space="preserve">The judge matters in three ways. </w:t>
      </w:r>
      <w:r>
        <w:rPr>
          <w:i/>
        </w:rPr>
        <w:t>Configuration.</w:t>
      </w:r>
      <w:r>
        <w:t xml:space="preserve"> Our first run graded the Indic conditions at temperature 0.3 with the answering system prompt and </w:t>
      </w:r>
      <w:r>
        <w:rPr>
          <w:smallCaps/>
        </w:rPr>
        <w:t>en-match</w:t>
      </w:r>
      <w:r>
        <w:t xml:space="preserve"> at temperature 0 with an evaluator prompt. Harmonising the configuration changed 6–10% of the labels in each re-graded condition and moved </w:t>
      </w:r>
      <w:r>
        <w:rPr>
          <w:smallCaps/>
        </w:rPr>
        <w:t>cs-lat</w:t>
      </w:r>
      <w:r>
        <w:t xml:space="preserve"> accuracy from 43% to 49%, so the stored English–</w:t>
      </w:r>
      <w:r>
        <w:rPr>
          <w:smallCaps/>
        </w:rPr>
        <w:t>cs-lat</w:t>
      </w:r>
      <w:r>
        <w:t xml:space="preserve"> gap (17 points) exceeded the harmonised one (11). </w:t>
      </w:r>
      <w:r>
        <w:rPr>
          <w:i/>
        </w:rPr>
        <w:t>Family.</w:t>
      </w:r>
      <w:r>
        <w:t xml:space="preserve"> Table IV gives agreement between J-QWEN and J-OSS by budget and condition. Agreement is 74.7% at 128 tokens (κ = 0.47), 80.0% at 512 (κ = 0.59) and 81.3% at 1,024 (κ = 0.61), with wide topic-bootstrap intervals for κ. Disagreements run mostly one way: J-QWEN labels CORRECT 30–36% of the answers J-OSS labels wrong, whereas J-OSS labels CORRECT 6–11% of the answers J-QWEN labels wrong. In the disagreements we inspected, J-QWEN accepted answers that were on topic and accurate but did not state the gold fact (for example, answers that only name the governing Act), and J-OSS rejected them; the rubric (“judge only factual correctness and whether it actually addresses the question”) does not say which reading is intended, and truncated answers make such cases common. </w:t>
      </w:r>
      <w:r>
        <w:rPr>
          <w:i/>
        </w:rPr>
        <w:t>Conclusions.</w:t>
      </w:r>
      <w:r>
        <w:t xml:space="preserve"> The </w:t>
      </w:r>
      <w:r>
        <w:rPr>
          <w:smallCaps/>
        </w:rPr>
        <w:t>mixed</w:t>
      </w:r>
      <w:r>
        <w:t>–</w:t>
      </w:r>
      <w:r>
        <w:rPr>
          <w:smallCaps/>
        </w:rPr>
        <w:t>cs-lat</w:t>
      </w:r>
      <w:r>
        <w:t xml:space="preserve"> conclusion depends on the judge at 128 tokens (significant under J-QWEN only) but not at 512 or 1,024 tokens (not significant under either). The English–</w:t>
      </w:r>
      <w:r>
        <w:rPr>
          <w:smallCaps/>
        </w:rPr>
        <w:t>cs-lat</w:t>
      </w:r>
      <w:r>
        <w:t xml:space="preserve"> conclusion depends on the judge at both larger budgets. No human gold-standard labels were collected for any output, so these results establish that conclusions are sensitive to the judge, not which judge is right.</w:t>
      </w:r>
    </w:p>
    <w:p>
      <w:pPr>
        <w:pStyle w:val="BodyText"/>
        <w:keepNext/>
        <w:spacing w:before="120" w:after="60"/>
        <w:ind w:firstLine="0"/>
        <w:jc w:val="center"/>
      </w:pPr>
      <w:r>
        <w:t>TABLE IV</w:t>
      </w:r>
      <w:r>
        <w:br/>
      </w:r>
      <w:r>
        <w:t>Agreement between the two judges on the same 300 outputs at each budget. Agree: share of identical labels; κ: Cohen's kappa with topic-bootstrap 95% CI; Q✓O✗: J-QWEN CORRECT and J-OSS wrong; Q✗O✓: the reverse. No human labels were collected.</w:t>
      </w:r>
    </w:p>
    <w:tbl>
      <w:tblPr>
        <w:tblStyle w:val="Table"/>
        <w:tblW w:type="dxa" w:w="5038"/>
        <w:tblLook w:firstRow="1" w:lastRow="0" w:firstColumn="0" w:lastColumn="0" w:noHBand="0" w:noVBand="0" w:val="0020"/>
        <w:jc w:val="center"/>
        <w:tblCellMar>
          <w:top w:w="10" w:type="dxa"/>
          <w:left w:w="50" w:type="dxa"/>
          <w:bottom w:w="10" w:type="dxa"/>
          <w:right w:w="50" w:type="dxa"/>
        </w:tblCellMar>
        <w:tblLayout w:type="fixed"/>
      </w:tblPr>
      <w:tblGrid>
        <w:gridCol w:w="720"/>
        <w:gridCol w:w="1080"/>
        <w:gridCol w:w="648"/>
        <w:gridCol w:w="1440"/>
        <w:gridCol w:w="648"/>
        <w:gridCol w:w="648"/>
      </w:tblGrid>
      <w:tr>
        <w:trPr>
          <w:tblHeader w:val="true"/>
          <w:cantSplit/>
        </w:trPr>
        <w:tc>
          <w:tcPr>
            <w:tcW w:type="dxa" w:w="720"/>
            <w:tcBorders>
              <w:top w:val="single" w:sz="12" w:color="000000" w:space="0"/>
              <w:bottom w:val="single" w:sz="6" w:color="000000" w:space="0"/>
            </w:tcBorders>
          </w:tcPr>
          <w:p>
            <w:pPr>
              <w:pStyle w:val="Compact"/>
              <w:keepNext/>
              <w:spacing w:before="0" w:after="0"/>
              <w:ind w:firstLine="0"/>
              <w:jc w:val="right"/>
            </w:pPr>
            <w:r>
              <w:rPr>
                <w:b/>
                <w:sz w:val="16"/>
              </w:rPr>
              <w:t>Budget</w:t>
            </w:r>
          </w:p>
        </w:tc>
        <w:tc>
          <w:tcPr>
            <w:tcW w:type="dxa" w:w="1080"/>
            <w:tcBorders>
              <w:top w:val="single" w:sz="12" w:color="000000" w:space="0"/>
              <w:bottom w:val="single" w:sz="6" w:color="000000" w:space="0"/>
            </w:tcBorders>
          </w:tcPr>
          <w:p>
            <w:pPr>
              <w:pStyle w:val="Compact"/>
              <w:keepNext/>
              <w:spacing w:before="0" w:after="0"/>
              <w:ind w:firstLine="0"/>
              <w:jc w:val="right"/>
            </w:pPr>
            <w:r>
              <w:rPr>
                <w:b/>
                <w:sz w:val="16"/>
              </w:rPr>
              <w:t>Condition</w:t>
            </w:r>
          </w:p>
        </w:tc>
        <w:tc>
          <w:tcPr>
            <w:tcW w:type="dxa" w:w="648"/>
            <w:tcBorders>
              <w:top w:val="single" w:sz="12" w:color="000000" w:space="0"/>
              <w:bottom w:val="single" w:sz="6" w:color="000000" w:space="0"/>
            </w:tcBorders>
          </w:tcPr>
          <w:p>
            <w:pPr>
              <w:pStyle w:val="Compact"/>
              <w:keepNext/>
              <w:spacing w:before="0" w:after="0"/>
              <w:ind w:firstLine="0"/>
              <w:jc w:val="right"/>
            </w:pPr>
            <w:r>
              <w:rPr>
                <w:b/>
                <w:sz w:val="16"/>
              </w:rPr>
              <w:t>Agree</w:t>
            </w:r>
          </w:p>
        </w:tc>
        <w:tc>
          <w:tcPr>
            <w:tcW w:type="dxa" w:w="1440"/>
            <w:tcBorders>
              <w:top w:val="single" w:sz="12" w:color="000000" w:space="0"/>
              <w:bottom w:val="single" w:sz="6" w:color="000000" w:space="0"/>
            </w:tcBorders>
          </w:tcPr>
          <w:p>
            <w:pPr>
              <w:pStyle w:val="Compact"/>
              <w:keepNext/>
              <w:spacing w:before="0" w:after="0"/>
              <w:ind w:firstLine="0"/>
              <w:jc w:val="right"/>
            </w:pPr>
            <w:r>
              <w:rPr>
                <w:b/>
                <w:sz w:val="16"/>
              </w:rPr>
              <w:t>κ [95% CI]</w:t>
            </w:r>
          </w:p>
        </w:tc>
        <w:tc>
          <w:tcPr>
            <w:tcW w:type="dxa" w:w="648"/>
            <w:tcBorders>
              <w:top w:val="single" w:sz="12" w:color="000000" w:space="0"/>
              <w:bottom w:val="single" w:sz="6" w:color="000000" w:space="0"/>
            </w:tcBorders>
          </w:tcPr>
          <w:p>
            <w:pPr>
              <w:pStyle w:val="Compact"/>
              <w:keepNext/>
              <w:spacing w:before="0" w:after="0"/>
              <w:ind w:firstLine="0"/>
              <w:jc w:val="right"/>
            </w:pPr>
            <w:r>
              <w:t>Q✓O✗</w:t>
            </w:r>
          </w:p>
        </w:tc>
        <w:tc>
          <w:tcPr>
            <w:tcW w:type="dxa" w:w="648"/>
            <w:tcBorders>
              <w:top w:val="single" w:sz="12" w:color="000000" w:space="0"/>
              <w:bottom w:val="single" w:sz="6" w:color="000000" w:space="0"/>
            </w:tcBorders>
          </w:tcPr>
          <w:p>
            <w:pPr>
              <w:pStyle w:val="Compact"/>
              <w:keepNext/>
              <w:spacing w:before="0" w:after="0"/>
              <w:ind w:firstLine="0"/>
              <w:jc w:val="right"/>
            </w:pPr>
            <w:r>
              <w:t>Q✗O✓</w:t>
            </w:r>
          </w:p>
        </w:tc>
      </w:tr>
      <w:tr>
        <w:trPr>
          <w:cantSplit/>
        </w:trPr>
        <w:tc>
          <w:tcPr>
            <w:tcW w:type="dxa" w:w="720"/>
          </w:tcPr>
          <w:p>
            <w:pPr>
              <w:pStyle w:val="Compact"/>
              <w:keepNext/>
              <w:spacing w:before="0" w:after="0"/>
              <w:ind w:firstLine="0"/>
              <w:jc w:val="right"/>
            </w:pPr>
            <w:r>
              <w:rPr>
                <w:sz w:val="16"/>
              </w:rPr>
              <w:t>128</w:t>
            </w:r>
          </w:p>
        </w:tc>
        <w:tc>
          <w:tcPr>
            <w:tcW w:type="dxa" w:w="1080"/>
          </w:tcPr>
          <w:p>
            <w:pPr>
              <w:pStyle w:val="Compact"/>
              <w:keepNext/>
              <w:spacing w:before="0" w:after="0"/>
              <w:ind w:firstLine="0"/>
              <w:jc w:val="right"/>
            </w:pPr>
            <w:r>
              <w:rPr>
                <w:smallCaps/>
                <w:sz w:val="16"/>
              </w:rPr>
              <w:t>en-match</w:t>
            </w:r>
          </w:p>
        </w:tc>
        <w:tc>
          <w:tcPr>
            <w:tcW w:type="dxa" w:w="648"/>
          </w:tcPr>
          <w:p>
            <w:pPr>
              <w:pStyle w:val="Compact"/>
              <w:keepNext/>
              <w:spacing w:before="0" w:after="0"/>
              <w:ind w:firstLine="0"/>
              <w:jc w:val="right"/>
            </w:pPr>
            <w:r>
              <w:rPr>
                <w:sz w:val="16"/>
              </w:rPr>
              <w:t>0.73</w:t>
            </w:r>
          </w:p>
        </w:tc>
        <w:tc>
          <w:tcPr>
            <w:tcW w:type="dxa" w:w="1440"/>
          </w:tcPr>
          <w:p>
            <w:pPr>
              <w:pStyle w:val="Compact"/>
              <w:keepNext/>
              <w:spacing w:before="0" w:after="0"/>
              <w:ind w:firstLine="0"/>
              <w:jc w:val="right"/>
            </w:pPr>
            <w:r>
              <w:rPr>
                <w:sz w:val="16"/>
              </w:rPr>
              <w:t>0.49 [0.21, 0.77]</w:t>
            </w:r>
          </w:p>
        </w:tc>
        <w:tc>
          <w:tcPr>
            <w:tcW w:type="dxa" w:w="648"/>
          </w:tcPr>
          <w:p>
            <w:pPr>
              <w:pStyle w:val="Compact"/>
              <w:keepNext/>
              <w:spacing w:before="0" w:after="0"/>
              <w:ind w:firstLine="0"/>
              <w:jc w:val="right"/>
            </w:pPr>
            <w:r>
              <w:t>25</w:t>
            </w:r>
          </w:p>
        </w:tc>
        <w:tc>
          <w:tcPr>
            <w:tcW w:type="dxa" w:w="648"/>
          </w:tcPr>
          <w:p>
            <w:pPr>
              <w:pStyle w:val="Compact"/>
              <w:keepNext/>
              <w:spacing w:before="0" w:after="0"/>
              <w:ind w:firstLine="0"/>
              <w:jc w:val="right"/>
            </w:pPr>
            <w:r>
              <w:t>2</w:t>
            </w:r>
          </w:p>
        </w:tc>
      </w:tr>
      <w:tr>
        <w:trPr>
          <w:cantSplit/>
        </w:trPr>
        <w:tc>
          <w:tcPr>
            <w:tcW w:type="dxa" w:w="720"/>
          </w:tcPr>
          <w:p>
            <w:pPr>
              <w:pStyle w:val="Compact"/>
              <w:keepNext/>
              <w:spacing w:before="0" w:after="0"/>
              <w:ind w:firstLine="0"/>
              <w:jc w:val="right"/>
            </w:pPr>
          </w:p>
        </w:tc>
        <w:tc>
          <w:tcPr>
            <w:tcW w:type="dxa" w:w="1080"/>
          </w:tcPr>
          <w:p>
            <w:pPr>
              <w:pStyle w:val="Compact"/>
              <w:keepNext/>
              <w:spacing w:before="0" w:after="0"/>
              <w:ind w:firstLine="0"/>
              <w:jc w:val="right"/>
            </w:pPr>
            <w:r>
              <w:rPr>
                <w:smallCaps/>
                <w:sz w:val="16"/>
              </w:rPr>
              <w:t>cs-lat</w:t>
            </w:r>
          </w:p>
        </w:tc>
        <w:tc>
          <w:tcPr>
            <w:tcW w:type="dxa" w:w="648"/>
          </w:tcPr>
          <w:p>
            <w:pPr>
              <w:pStyle w:val="Compact"/>
              <w:keepNext/>
              <w:spacing w:before="0" w:after="0"/>
              <w:ind w:firstLine="0"/>
              <w:jc w:val="right"/>
            </w:pPr>
            <w:r>
              <w:rPr>
                <w:sz w:val="16"/>
              </w:rPr>
              <w:t>0.72</w:t>
            </w:r>
          </w:p>
        </w:tc>
        <w:tc>
          <w:tcPr>
            <w:tcW w:type="dxa" w:w="1440"/>
          </w:tcPr>
          <w:p>
            <w:pPr>
              <w:pStyle w:val="Compact"/>
              <w:keepNext/>
              <w:spacing w:before="0" w:after="0"/>
              <w:ind w:firstLine="0"/>
              <w:jc w:val="right"/>
            </w:pPr>
            <w:r>
              <w:rPr>
                <w:sz w:val="16"/>
              </w:rPr>
              <w:t>0.43 [0.22, 0.65]</w:t>
            </w:r>
          </w:p>
        </w:tc>
        <w:tc>
          <w:tcPr>
            <w:tcW w:type="dxa" w:w="648"/>
          </w:tcPr>
          <w:p>
            <w:pPr>
              <w:pStyle w:val="Compact"/>
              <w:keepNext/>
              <w:spacing w:before="0" w:after="0"/>
              <w:ind w:firstLine="0"/>
              <w:jc w:val="right"/>
            </w:pPr>
            <w:r>
              <w:t>26</w:t>
            </w:r>
          </w:p>
        </w:tc>
        <w:tc>
          <w:tcPr>
            <w:tcW w:type="dxa" w:w="648"/>
          </w:tcPr>
          <w:p>
            <w:pPr>
              <w:pStyle w:val="Compact"/>
              <w:keepNext/>
              <w:spacing w:before="0" w:after="0"/>
              <w:ind w:firstLine="0"/>
              <w:jc w:val="right"/>
            </w:pPr>
            <w:r>
              <w:t>2</w:t>
            </w:r>
          </w:p>
        </w:tc>
      </w:tr>
      <w:tr>
        <w:trPr>
          <w:cantSplit/>
        </w:trPr>
        <w:tc>
          <w:tcPr>
            <w:tcW w:type="dxa" w:w="720"/>
          </w:tcPr>
          <w:p>
            <w:pPr>
              <w:pStyle w:val="Compact"/>
              <w:keepNext/>
              <w:spacing w:before="0" w:after="0"/>
              <w:ind w:firstLine="0"/>
              <w:jc w:val="right"/>
            </w:pPr>
          </w:p>
        </w:tc>
        <w:tc>
          <w:tcPr>
            <w:tcW w:type="dxa" w:w="1080"/>
          </w:tcPr>
          <w:p>
            <w:pPr>
              <w:pStyle w:val="Compact"/>
              <w:keepNext/>
              <w:spacing w:before="0" w:after="0"/>
              <w:ind w:firstLine="0"/>
              <w:jc w:val="right"/>
            </w:pPr>
            <w:r>
              <w:rPr>
                <w:smallCaps/>
                <w:sz w:val="16"/>
              </w:rPr>
              <w:t>mixed</w:t>
            </w:r>
          </w:p>
        </w:tc>
        <w:tc>
          <w:tcPr>
            <w:tcW w:type="dxa" w:w="648"/>
          </w:tcPr>
          <w:p>
            <w:pPr>
              <w:pStyle w:val="Compact"/>
              <w:keepNext/>
              <w:spacing w:before="0" w:after="0"/>
              <w:ind w:firstLine="0"/>
              <w:jc w:val="right"/>
            </w:pPr>
            <w:r>
              <w:rPr>
                <w:sz w:val="16"/>
              </w:rPr>
              <w:t>0.79</w:t>
            </w:r>
          </w:p>
        </w:tc>
        <w:tc>
          <w:tcPr>
            <w:tcW w:type="dxa" w:w="1440"/>
          </w:tcPr>
          <w:p>
            <w:pPr>
              <w:pStyle w:val="Compact"/>
              <w:keepNext/>
              <w:spacing w:before="0" w:after="0"/>
              <w:ind w:firstLine="0"/>
              <w:jc w:val="right"/>
            </w:pPr>
            <w:r>
              <w:rPr>
                <w:sz w:val="16"/>
              </w:rPr>
              <w:t>0.39 [0.15, 0.61]</w:t>
            </w:r>
          </w:p>
        </w:tc>
        <w:tc>
          <w:tcPr>
            <w:tcW w:type="dxa" w:w="648"/>
          </w:tcPr>
          <w:p>
            <w:pPr>
              <w:pStyle w:val="Compact"/>
              <w:keepNext/>
              <w:spacing w:before="0" w:after="0"/>
              <w:ind w:firstLine="0"/>
              <w:jc w:val="right"/>
            </w:pPr>
            <w:r>
              <w:t>15</w:t>
            </w:r>
          </w:p>
        </w:tc>
        <w:tc>
          <w:tcPr>
            <w:tcW w:type="dxa" w:w="648"/>
          </w:tcPr>
          <w:p>
            <w:pPr>
              <w:pStyle w:val="Compact"/>
              <w:keepNext/>
              <w:spacing w:before="0" w:after="0"/>
              <w:ind w:firstLine="0"/>
              <w:jc w:val="right"/>
            </w:pPr>
            <w:r>
              <w:t>6</w:t>
            </w:r>
          </w:p>
        </w:tc>
      </w:tr>
      <w:tr>
        <w:trPr>
          <w:cantSplit/>
        </w:trPr>
        <w:tc>
          <w:tcPr>
            <w:tcW w:type="dxa" w:w="720"/>
          </w:tcPr>
          <w:p>
            <w:pPr>
              <w:pStyle w:val="Compact"/>
              <w:keepNext/>
              <w:spacing w:before="0" w:after="0"/>
              <w:ind w:firstLine="0"/>
              <w:jc w:val="right"/>
            </w:pPr>
          </w:p>
        </w:tc>
        <w:tc>
          <w:tcPr>
            <w:tcW w:type="dxa" w:w="1080"/>
          </w:tcPr>
          <w:p>
            <w:pPr>
              <w:pStyle w:val="Compact"/>
              <w:keepNext/>
              <w:spacing w:before="0" w:after="0"/>
              <w:ind w:firstLine="0"/>
              <w:jc w:val="right"/>
            </w:pPr>
            <w:r>
              <w:rPr>
                <w:sz w:val="16"/>
              </w:rPr>
              <w:t>All</w:t>
            </w:r>
          </w:p>
        </w:tc>
        <w:tc>
          <w:tcPr>
            <w:tcW w:type="dxa" w:w="648"/>
          </w:tcPr>
          <w:p>
            <w:pPr>
              <w:pStyle w:val="Compact"/>
              <w:keepNext/>
              <w:spacing w:before="0" w:after="0"/>
              <w:ind w:firstLine="0"/>
              <w:jc w:val="right"/>
            </w:pPr>
            <w:r>
              <w:rPr>
                <w:sz w:val="16"/>
              </w:rPr>
              <w:t>0.75</w:t>
            </w:r>
          </w:p>
        </w:tc>
        <w:tc>
          <w:tcPr>
            <w:tcW w:type="dxa" w:w="1440"/>
          </w:tcPr>
          <w:p>
            <w:pPr>
              <w:pStyle w:val="Compact"/>
              <w:keepNext/>
              <w:spacing w:before="0" w:after="0"/>
              <w:ind w:firstLine="0"/>
              <w:jc w:val="right"/>
            </w:pPr>
            <w:r>
              <w:rPr>
                <w:sz w:val="16"/>
              </w:rPr>
              <w:t>0.47 [0.29, 0.66]</w:t>
            </w:r>
          </w:p>
        </w:tc>
        <w:tc>
          <w:tcPr>
            <w:tcW w:type="dxa" w:w="648"/>
          </w:tcPr>
          <w:p>
            <w:pPr>
              <w:pStyle w:val="Compact"/>
              <w:keepNext/>
              <w:spacing w:before="0" w:after="0"/>
              <w:ind w:firstLine="0"/>
              <w:jc w:val="right"/>
            </w:pPr>
            <w:r>
              <w:t>66</w:t>
            </w:r>
          </w:p>
        </w:tc>
        <w:tc>
          <w:tcPr>
            <w:tcW w:type="dxa" w:w="648"/>
          </w:tcPr>
          <w:p>
            <w:pPr>
              <w:pStyle w:val="Compact"/>
              <w:keepNext/>
              <w:spacing w:before="0" w:after="0"/>
              <w:ind w:firstLine="0"/>
              <w:jc w:val="right"/>
            </w:pPr>
            <w:r>
              <w:t>10</w:t>
            </w:r>
          </w:p>
        </w:tc>
      </w:tr>
      <w:tr>
        <w:trPr>
          <w:cantSplit/>
        </w:trPr>
        <w:tc>
          <w:tcPr>
            <w:tcW w:type="dxa" w:w="720"/>
            <w:tcBorders>
              <w:bottom w:val="single" w:sz="12" w:color="000000" w:space="0"/>
            </w:tcBorders>
          </w:tcPr>
          <w:p>
            <w:pPr>
              <w:pStyle w:val="Compact"/>
              <w:spacing w:before="0" w:after="0"/>
              <w:ind w:firstLine="0"/>
              <w:jc w:val="right"/>
            </w:pPr>
            <w:r>
              <w:rPr>
                <w:sz w:val="16"/>
              </w:rPr>
              <w:t>512</w:t>
            </w:r>
          </w:p>
        </w:tc>
        <w:tc>
          <w:tcPr>
            <w:tcW w:type="dxa" w:w="1080"/>
            <w:tcBorders>
              <w:bottom w:val="single" w:sz="12" w:color="000000" w:space="0"/>
            </w:tcBorders>
          </w:tcPr>
          <w:p>
            <w:pPr>
              <w:pStyle w:val="Compact"/>
              <w:spacing w:before="0" w:after="0"/>
              <w:ind w:firstLine="0"/>
              <w:jc w:val="right"/>
            </w:pPr>
            <w:r>
              <w:rPr>
                <w:smallCaps/>
                <w:sz w:val="16"/>
              </w:rPr>
              <w:t>en-match</w:t>
            </w:r>
          </w:p>
        </w:tc>
        <w:tc>
          <w:tcPr>
            <w:tcW w:type="dxa" w:w="648"/>
            <w:tcBorders>
              <w:bottom w:val="single" w:sz="12" w:color="000000" w:space="0"/>
            </w:tcBorders>
          </w:tcPr>
          <w:p>
            <w:pPr>
              <w:pStyle w:val="Compact"/>
              <w:spacing w:before="0" w:after="0"/>
              <w:ind w:firstLine="0"/>
              <w:jc w:val="right"/>
            </w:pPr>
            <w:r>
              <w:rPr>
                <w:sz w:val="16"/>
              </w:rPr>
              <w:t>0.78</w:t>
            </w:r>
          </w:p>
        </w:tc>
        <w:tc>
          <w:tcPr>
            <w:tcW w:type="dxa" w:w="1440"/>
            <w:tcBorders>
              <w:bottom w:val="single" w:sz="12" w:color="000000" w:space="0"/>
            </w:tcBorders>
          </w:tcPr>
          <w:p>
            <w:pPr>
              <w:pStyle w:val="Compact"/>
              <w:spacing w:before="0" w:after="0"/>
              <w:ind w:firstLine="0"/>
              <w:jc w:val="right"/>
            </w:pPr>
            <w:r>
              <w:rPr>
                <w:sz w:val="16"/>
              </w:rPr>
              <w:t>0.51 [0.16, 0.86]</w:t>
            </w:r>
          </w:p>
        </w:tc>
        <w:tc>
          <w:tcPr>
            <w:tcW w:type="dxa" w:w="648"/>
            <w:tcBorders>
              <w:bottom w:val="single" w:sz="12" w:color="000000" w:space="0"/>
            </w:tcBorders>
          </w:tcPr>
          <w:p>
            <w:pPr>
              <w:pStyle w:val="Compact"/>
              <w:spacing w:before="0" w:after="0"/>
              <w:ind w:firstLine="0"/>
              <w:jc w:val="right"/>
            </w:pPr>
            <w:r>
              <w:t>22</w:t>
            </w:r>
          </w:p>
        </w:tc>
        <w:tc>
          <w:tcPr>
            <w:tcW w:type="dxa" w:w="648"/>
            <w:tcBorders>
              <w:bottom w:val="single" w:sz="12" w:color="000000" w:space="0"/>
            </w:tcBorders>
          </w:tcPr>
          <w:p>
            <w:pPr>
              <w:pStyle w:val="Compact"/>
              <w:spacing w:before="0" w:after="0"/>
              <w:ind w:firstLine="0"/>
              <w:jc w:val="right"/>
            </w:pPr>
            <w:r>
              <w:t>0</w:t>
            </w:r>
          </w:p>
        </w:tc>
      </w:tr>
      <w:tr>
        <w:trPr>
          <w:cantSplit/>
        </w:trPr>
        <w:tc>
          <w:tcPr>
            <w:tcW w:type="dxa" w:w="720"/>
            <w:tcBorders>
              <w:bottom w:val="single" w:sz="12" w:color="000000" w:space="0"/>
            </w:tcBorders>
          </w:tcPr>
          <w:p>
            <w:pPr>
              <w:pStyle w:val="Compact"/>
              <w:spacing w:before="0" w:after="0"/>
              <w:ind w:firstLine="0"/>
              <w:jc w:val="right"/>
            </w:pPr>
          </w:p>
        </w:tc>
        <w:tc>
          <w:tcPr>
            <w:tcW w:type="dxa" w:w="1080"/>
            <w:tcBorders>
              <w:bottom w:val="single" w:sz="12" w:color="000000" w:space="0"/>
            </w:tcBorders>
          </w:tcPr>
          <w:p>
            <w:pPr>
              <w:pStyle w:val="Compact"/>
              <w:spacing w:before="0" w:after="0"/>
              <w:ind w:firstLine="0"/>
              <w:jc w:val="right"/>
            </w:pPr>
            <w:r>
              <w:rPr>
                <w:smallCaps/>
                <w:sz w:val="16"/>
              </w:rPr>
              <w:t>cs-lat</w:t>
            </w:r>
          </w:p>
        </w:tc>
        <w:tc>
          <w:tcPr>
            <w:tcW w:type="dxa" w:w="648"/>
            <w:tcBorders>
              <w:bottom w:val="single" w:sz="12" w:color="000000" w:space="0"/>
            </w:tcBorders>
          </w:tcPr>
          <w:p>
            <w:pPr>
              <w:pStyle w:val="Compact"/>
              <w:spacing w:before="0" w:after="0"/>
              <w:ind w:firstLine="0"/>
              <w:jc w:val="right"/>
            </w:pPr>
            <w:r>
              <w:rPr>
                <w:sz w:val="16"/>
              </w:rPr>
              <w:t>0.83</w:t>
            </w:r>
          </w:p>
        </w:tc>
        <w:tc>
          <w:tcPr>
            <w:tcW w:type="dxa" w:w="1440"/>
            <w:tcBorders>
              <w:bottom w:val="single" w:sz="12" w:color="000000" w:space="0"/>
            </w:tcBorders>
          </w:tcPr>
          <w:p>
            <w:pPr>
              <w:pStyle w:val="Compact"/>
              <w:spacing w:before="0" w:after="0"/>
              <w:ind w:firstLine="0"/>
              <w:jc w:val="right"/>
            </w:pPr>
            <w:r>
              <w:rPr>
                <w:sz w:val="16"/>
              </w:rPr>
              <w:t>0.66 [0.39, 0.84]</w:t>
            </w:r>
          </w:p>
        </w:tc>
        <w:tc>
          <w:tcPr>
            <w:tcW w:type="dxa" w:w="648"/>
            <w:tcBorders>
              <w:bottom w:val="single" w:sz="12" w:color="000000" w:space="0"/>
            </w:tcBorders>
          </w:tcPr>
          <w:p>
            <w:pPr>
              <w:pStyle w:val="Compact"/>
              <w:spacing w:before="0" w:after="0"/>
              <w:ind w:firstLine="0"/>
              <w:jc w:val="right"/>
            </w:pPr>
            <w:r>
              <w:t>11</w:t>
            </w:r>
          </w:p>
        </w:tc>
        <w:tc>
          <w:tcPr>
            <w:tcW w:type="dxa" w:w="648"/>
            <w:tcBorders>
              <w:bottom w:val="single" w:sz="12" w:color="000000" w:space="0"/>
            </w:tcBorders>
          </w:tcPr>
          <w:p>
            <w:pPr>
              <w:pStyle w:val="Compact"/>
              <w:spacing w:before="0" w:after="0"/>
              <w:ind w:firstLine="0"/>
              <w:jc w:val="right"/>
            </w:pPr>
            <w:r>
              <w:t>6</w:t>
            </w:r>
          </w:p>
        </w:tc>
      </w:tr>
      <w:tr>
        <w:trPr>
          <w:cantSplit/>
        </w:trPr>
        <w:tc>
          <w:tcPr>
            <w:tcW w:type="dxa" w:w="720"/>
            <w:tcBorders>
              <w:bottom w:val="single" w:sz="12" w:color="000000" w:space="0"/>
            </w:tcBorders>
          </w:tcPr>
          <w:p>
            <w:pPr>
              <w:pStyle w:val="Compact"/>
              <w:spacing w:before="0" w:after="0"/>
              <w:ind w:firstLine="0"/>
              <w:jc w:val="right"/>
            </w:pPr>
          </w:p>
        </w:tc>
        <w:tc>
          <w:tcPr>
            <w:tcW w:type="dxa" w:w="1080"/>
            <w:tcBorders>
              <w:bottom w:val="single" w:sz="12" w:color="000000" w:space="0"/>
            </w:tcBorders>
          </w:tcPr>
          <w:p>
            <w:pPr>
              <w:pStyle w:val="Compact"/>
              <w:spacing w:before="0" w:after="0"/>
              <w:ind w:firstLine="0"/>
              <w:jc w:val="right"/>
            </w:pPr>
            <w:r>
              <w:rPr>
                <w:smallCaps/>
                <w:sz w:val="16"/>
              </w:rPr>
              <w:t>mixed</w:t>
            </w:r>
          </w:p>
        </w:tc>
        <w:tc>
          <w:tcPr>
            <w:tcW w:type="dxa" w:w="648"/>
            <w:tcBorders>
              <w:bottom w:val="single" w:sz="12" w:color="000000" w:space="0"/>
            </w:tcBorders>
          </w:tcPr>
          <w:p>
            <w:pPr>
              <w:pStyle w:val="Compact"/>
              <w:spacing w:before="0" w:after="0"/>
              <w:ind w:firstLine="0"/>
              <w:jc w:val="right"/>
            </w:pPr>
            <w:r>
              <w:rPr>
                <w:sz w:val="16"/>
              </w:rPr>
              <w:t>0.79</w:t>
            </w:r>
          </w:p>
        </w:tc>
        <w:tc>
          <w:tcPr>
            <w:tcW w:type="dxa" w:w="1440"/>
            <w:tcBorders>
              <w:bottom w:val="single" w:sz="12" w:color="000000" w:space="0"/>
            </w:tcBorders>
          </w:tcPr>
          <w:p>
            <w:pPr>
              <w:pStyle w:val="Compact"/>
              <w:spacing w:before="0" w:after="0"/>
              <w:ind w:firstLine="0"/>
              <w:jc w:val="right"/>
            </w:pPr>
            <w:r>
              <w:rPr>
                <w:sz w:val="16"/>
              </w:rPr>
              <w:t>0.58 [0.36, 0.76]</w:t>
            </w:r>
          </w:p>
        </w:tc>
        <w:tc>
          <w:tcPr>
            <w:tcW w:type="dxa" w:w="648"/>
            <w:tcBorders>
              <w:bottom w:val="single" w:sz="12" w:color="000000" w:space="0"/>
            </w:tcBorders>
          </w:tcPr>
          <w:p>
            <w:pPr>
              <w:pStyle w:val="Compact"/>
              <w:spacing w:before="0" w:after="0"/>
              <w:ind w:firstLine="0"/>
              <w:jc w:val="right"/>
            </w:pPr>
            <w:r>
              <w:t>18</w:t>
            </w:r>
          </w:p>
        </w:tc>
        <w:tc>
          <w:tcPr>
            <w:tcW w:type="dxa" w:w="648"/>
            <w:tcBorders>
              <w:bottom w:val="single" w:sz="12" w:color="000000" w:space="0"/>
            </w:tcBorders>
          </w:tcPr>
          <w:p>
            <w:pPr>
              <w:pStyle w:val="Compact"/>
              <w:spacing w:before="0" w:after="0"/>
              <w:ind w:firstLine="0"/>
              <w:jc w:val="right"/>
            </w:pPr>
            <w:r>
              <w:t>3</w:t>
            </w:r>
          </w:p>
        </w:tc>
      </w:tr>
      <w:tr>
        <w:trPr>
          <w:cantSplit/>
        </w:trPr>
        <w:tc>
          <w:tcPr>
            <w:tcW w:type="dxa" w:w="720"/>
            <w:tcBorders>
              <w:bottom w:val="single" w:sz="12" w:color="000000" w:space="0"/>
            </w:tcBorders>
          </w:tcPr>
          <w:p>
            <w:pPr>
              <w:pStyle w:val="Compact"/>
              <w:spacing w:before="0" w:after="0"/>
              <w:ind w:firstLine="0"/>
              <w:jc w:val="right"/>
            </w:pPr>
          </w:p>
        </w:tc>
        <w:tc>
          <w:tcPr>
            <w:tcW w:type="dxa" w:w="1080"/>
            <w:tcBorders>
              <w:bottom w:val="single" w:sz="12" w:color="000000" w:space="0"/>
            </w:tcBorders>
          </w:tcPr>
          <w:p>
            <w:pPr>
              <w:pStyle w:val="Compact"/>
              <w:spacing w:before="0" w:after="0"/>
              <w:ind w:firstLine="0"/>
              <w:jc w:val="right"/>
            </w:pPr>
            <w:r>
              <w:rPr>
                <w:sz w:val="16"/>
              </w:rPr>
              <w:t>All</w:t>
            </w:r>
          </w:p>
        </w:tc>
        <w:tc>
          <w:tcPr>
            <w:tcW w:type="dxa" w:w="648"/>
            <w:tcBorders>
              <w:bottom w:val="single" w:sz="12" w:color="000000" w:space="0"/>
            </w:tcBorders>
          </w:tcPr>
          <w:p>
            <w:pPr>
              <w:pStyle w:val="Compact"/>
              <w:spacing w:before="0" w:after="0"/>
              <w:ind w:firstLine="0"/>
              <w:jc w:val="right"/>
            </w:pPr>
            <w:r>
              <w:rPr>
                <w:sz w:val="16"/>
              </w:rPr>
              <w:t>0.80</w:t>
            </w:r>
          </w:p>
        </w:tc>
        <w:tc>
          <w:tcPr>
            <w:tcW w:type="dxa" w:w="1440"/>
            <w:tcBorders>
              <w:bottom w:val="single" w:sz="12" w:color="000000" w:space="0"/>
            </w:tcBorders>
          </w:tcPr>
          <w:p>
            <w:pPr>
              <w:pStyle w:val="Compact"/>
              <w:spacing w:before="0" w:after="0"/>
              <w:ind w:firstLine="0"/>
              <w:jc w:val="right"/>
            </w:pPr>
            <w:r>
              <w:rPr>
                <w:sz w:val="16"/>
              </w:rPr>
              <w:t>0.59 [0.37, 0.77]</w:t>
            </w:r>
          </w:p>
        </w:tc>
        <w:tc>
          <w:tcPr>
            <w:tcW w:type="dxa" w:w="648"/>
            <w:tcBorders>
              <w:bottom w:val="single" w:sz="12" w:color="000000" w:space="0"/>
            </w:tcBorders>
          </w:tcPr>
          <w:p>
            <w:pPr>
              <w:pStyle w:val="Compact"/>
              <w:spacing w:before="0" w:after="0"/>
              <w:ind w:firstLine="0"/>
              <w:jc w:val="right"/>
            </w:pPr>
            <w:r>
              <w:t>51</w:t>
            </w:r>
          </w:p>
        </w:tc>
        <w:tc>
          <w:tcPr>
            <w:tcW w:type="dxa" w:w="648"/>
            <w:tcBorders>
              <w:bottom w:val="single" w:sz="12" w:color="000000" w:space="0"/>
            </w:tcBorders>
          </w:tcPr>
          <w:p>
            <w:pPr>
              <w:pStyle w:val="Compact"/>
              <w:spacing w:before="0" w:after="0"/>
              <w:ind w:firstLine="0"/>
              <w:jc w:val="right"/>
            </w:pPr>
            <w:r>
              <w:t>9</w:t>
            </w:r>
          </w:p>
        </w:tc>
      </w:tr>
      <w:tr>
        <w:trPr>
          <w:cantSplit/>
        </w:trPr>
        <w:tc>
          <w:tcPr>
            <w:tcW w:type="dxa" w:w="720"/>
            <w:tcBorders>
              <w:bottom w:val="single" w:sz="12" w:color="000000" w:space="0"/>
            </w:tcBorders>
          </w:tcPr>
          <w:p>
            <w:pPr>
              <w:pStyle w:val="Compact"/>
              <w:spacing w:before="0" w:after="0"/>
              <w:ind w:firstLine="0"/>
              <w:jc w:val="right"/>
            </w:pPr>
            <w:r>
              <w:rPr>
                <w:sz w:val="16"/>
              </w:rPr>
              <w:t>1,024</w:t>
            </w:r>
          </w:p>
        </w:tc>
        <w:tc>
          <w:tcPr>
            <w:tcW w:type="dxa" w:w="1080"/>
            <w:tcBorders>
              <w:bottom w:val="single" w:sz="12" w:color="000000" w:space="0"/>
            </w:tcBorders>
          </w:tcPr>
          <w:p>
            <w:pPr>
              <w:pStyle w:val="Compact"/>
              <w:spacing w:before="0" w:after="0"/>
              <w:ind w:firstLine="0"/>
              <w:jc w:val="right"/>
            </w:pPr>
            <w:r>
              <w:rPr>
                <w:smallCaps/>
                <w:sz w:val="16"/>
              </w:rPr>
              <w:t>en-match</w:t>
            </w:r>
          </w:p>
        </w:tc>
        <w:tc>
          <w:tcPr>
            <w:tcW w:type="dxa" w:w="648"/>
            <w:tcBorders>
              <w:bottom w:val="single" w:sz="12" w:color="000000" w:space="0"/>
            </w:tcBorders>
          </w:tcPr>
          <w:p>
            <w:pPr>
              <w:pStyle w:val="Compact"/>
              <w:spacing w:before="0" w:after="0"/>
              <w:ind w:firstLine="0"/>
              <w:jc w:val="right"/>
            </w:pPr>
            <w:r>
              <w:rPr>
                <w:sz w:val="16"/>
              </w:rPr>
              <w:t>0.78</w:t>
            </w:r>
          </w:p>
        </w:tc>
        <w:tc>
          <w:tcPr>
            <w:tcW w:type="dxa" w:w="1440"/>
            <w:tcBorders>
              <w:bottom w:val="single" w:sz="12" w:color="000000" w:space="0"/>
            </w:tcBorders>
          </w:tcPr>
          <w:p>
            <w:pPr>
              <w:pStyle w:val="Compact"/>
              <w:spacing w:before="0" w:after="0"/>
              <w:ind w:firstLine="0"/>
              <w:jc w:val="right"/>
            </w:pPr>
            <w:r>
              <w:rPr>
                <w:sz w:val="16"/>
              </w:rPr>
              <w:t>0.46 [0.00, 0.83]</w:t>
            </w:r>
          </w:p>
        </w:tc>
        <w:tc>
          <w:tcPr>
            <w:tcW w:type="dxa" w:w="648"/>
            <w:tcBorders>
              <w:bottom w:val="single" w:sz="12" w:color="000000" w:space="0"/>
            </w:tcBorders>
          </w:tcPr>
          <w:p>
            <w:pPr>
              <w:pStyle w:val="Compact"/>
              <w:spacing w:before="0" w:after="0"/>
              <w:ind w:firstLine="0"/>
              <w:jc w:val="right"/>
            </w:pPr>
            <w:r>
              <w:t>22</w:t>
            </w:r>
          </w:p>
        </w:tc>
        <w:tc>
          <w:tcPr>
            <w:tcW w:type="dxa" w:w="648"/>
            <w:tcBorders>
              <w:bottom w:val="single" w:sz="12" w:color="000000" w:space="0"/>
            </w:tcBorders>
          </w:tcPr>
          <w:p>
            <w:pPr>
              <w:pStyle w:val="Compact"/>
              <w:spacing w:before="0" w:after="0"/>
              <w:ind w:firstLine="0"/>
              <w:jc w:val="right"/>
            </w:pPr>
            <w:r>
              <w:t>0</w:t>
            </w:r>
          </w:p>
        </w:tc>
      </w:tr>
      <w:tr>
        <w:trPr>
          <w:cantSplit/>
        </w:trPr>
        <w:tc>
          <w:tcPr>
            <w:tcW w:type="dxa" w:w="720"/>
            <w:tcBorders>
              <w:bottom w:val="single" w:sz="12" w:color="000000" w:space="0"/>
            </w:tcBorders>
          </w:tcPr>
          <w:p>
            <w:pPr>
              <w:pStyle w:val="Compact"/>
              <w:spacing w:before="0" w:after="0"/>
              <w:ind w:firstLine="0"/>
              <w:jc w:val="right"/>
            </w:pPr>
          </w:p>
        </w:tc>
        <w:tc>
          <w:tcPr>
            <w:tcW w:type="dxa" w:w="1080"/>
            <w:tcBorders>
              <w:bottom w:val="single" w:sz="12" w:color="000000" w:space="0"/>
            </w:tcBorders>
          </w:tcPr>
          <w:p>
            <w:pPr>
              <w:pStyle w:val="Compact"/>
              <w:spacing w:before="0" w:after="0"/>
              <w:ind w:firstLine="0"/>
              <w:jc w:val="right"/>
            </w:pPr>
            <w:r>
              <w:rPr>
                <w:smallCaps/>
                <w:sz w:val="16"/>
              </w:rPr>
              <w:t>cs-lat</w:t>
            </w:r>
          </w:p>
        </w:tc>
        <w:tc>
          <w:tcPr>
            <w:tcW w:type="dxa" w:w="648"/>
            <w:tcBorders>
              <w:bottom w:val="single" w:sz="12" w:color="000000" w:space="0"/>
            </w:tcBorders>
          </w:tcPr>
          <w:p>
            <w:pPr>
              <w:pStyle w:val="Compact"/>
              <w:spacing w:before="0" w:after="0"/>
              <w:ind w:firstLine="0"/>
              <w:jc w:val="right"/>
            </w:pPr>
            <w:r>
              <w:rPr>
                <w:sz w:val="16"/>
              </w:rPr>
              <w:t>0.83</w:t>
            </w:r>
          </w:p>
        </w:tc>
        <w:tc>
          <w:tcPr>
            <w:tcW w:type="dxa" w:w="1440"/>
            <w:tcBorders>
              <w:bottom w:val="single" w:sz="12" w:color="000000" w:space="0"/>
            </w:tcBorders>
          </w:tcPr>
          <w:p>
            <w:pPr>
              <w:pStyle w:val="Compact"/>
              <w:spacing w:before="0" w:after="0"/>
              <w:ind w:firstLine="0"/>
              <w:jc w:val="right"/>
            </w:pPr>
            <w:r>
              <w:rPr>
                <w:sz w:val="16"/>
              </w:rPr>
              <w:t>0.65 [0.42, 0.82]</w:t>
            </w:r>
          </w:p>
        </w:tc>
        <w:tc>
          <w:tcPr>
            <w:tcW w:type="dxa" w:w="648"/>
            <w:tcBorders>
              <w:bottom w:val="single" w:sz="12" w:color="000000" w:space="0"/>
            </w:tcBorders>
          </w:tcPr>
          <w:p>
            <w:pPr>
              <w:pStyle w:val="Compact"/>
              <w:spacing w:before="0" w:after="0"/>
              <w:ind w:firstLine="0"/>
              <w:jc w:val="right"/>
            </w:pPr>
            <w:r>
              <w:t>11</w:t>
            </w:r>
          </w:p>
        </w:tc>
        <w:tc>
          <w:tcPr>
            <w:tcW w:type="dxa" w:w="648"/>
            <w:tcBorders>
              <w:bottom w:val="single" w:sz="12" w:color="000000" w:space="0"/>
            </w:tcBorders>
          </w:tcPr>
          <w:p>
            <w:pPr>
              <w:pStyle w:val="Compact"/>
              <w:spacing w:before="0" w:after="0"/>
              <w:ind w:firstLine="0"/>
              <w:jc w:val="right"/>
            </w:pPr>
            <w:r>
              <w:t>6</w:t>
            </w:r>
          </w:p>
        </w:tc>
      </w:tr>
      <w:tr>
        <w:trPr>
          <w:cantSplit/>
        </w:trPr>
        <w:tc>
          <w:tcPr>
            <w:tcW w:type="dxa" w:w="720"/>
            <w:tcBorders>
              <w:bottom w:val="single" w:sz="12" w:color="000000" w:space="0"/>
            </w:tcBorders>
          </w:tcPr>
          <w:p>
            <w:pPr>
              <w:pStyle w:val="Compact"/>
              <w:spacing w:before="0" w:after="0"/>
              <w:ind w:firstLine="0"/>
              <w:jc w:val="right"/>
            </w:pPr>
          </w:p>
        </w:tc>
        <w:tc>
          <w:tcPr>
            <w:tcW w:type="dxa" w:w="1080"/>
            <w:tcBorders>
              <w:bottom w:val="single" w:sz="12" w:color="000000" w:space="0"/>
            </w:tcBorders>
          </w:tcPr>
          <w:p>
            <w:pPr>
              <w:pStyle w:val="Compact"/>
              <w:spacing w:before="0" w:after="0"/>
              <w:ind w:firstLine="0"/>
              <w:jc w:val="right"/>
            </w:pPr>
            <w:r>
              <w:rPr>
                <w:smallCaps/>
                <w:sz w:val="16"/>
              </w:rPr>
              <w:t>mixed</w:t>
            </w:r>
          </w:p>
        </w:tc>
        <w:tc>
          <w:tcPr>
            <w:tcW w:type="dxa" w:w="648"/>
            <w:tcBorders>
              <w:bottom w:val="single" w:sz="12" w:color="000000" w:space="0"/>
            </w:tcBorders>
          </w:tcPr>
          <w:p>
            <w:pPr>
              <w:pStyle w:val="Compact"/>
              <w:spacing w:before="0" w:after="0"/>
              <w:ind w:firstLine="0"/>
              <w:jc w:val="right"/>
            </w:pPr>
            <w:r>
              <w:rPr>
                <w:sz w:val="16"/>
              </w:rPr>
              <w:t>0.83</w:t>
            </w:r>
          </w:p>
        </w:tc>
        <w:tc>
          <w:tcPr>
            <w:tcW w:type="dxa" w:w="1440"/>
            <w:tcBorders>
              <w:bottom w:val="single" w:sz="12" w:color="000000" w:space="0"/>
            </w:tcBorders>
          </w:tcPr>
          <w:p>
            <w:pPr>
              <w:pStyle w:val="Compact"/>
              <w:spacing w:before="0" w:after="0"/>
              <w:ind w:firstLine="0"/>
              <w:jc w:val="right"/>
            </w:pPr>
            <w:r>
              <w:rPr>
                <w:sz w:val="16"/>
              </w:rPr>
              <w:t>0.66 [0.41, 0.86]</w:t>
            </w:r>
          </w:p>
        </w:tc>
        <w:tc>
          <w:tcPr>
            <w:tcW w:type="dxa" w:w="648"/>
            <w:tcBorders>
              <w:bottom w:val="single" w:sz="12" w:color="000000" w:space="0"/>
            </w:tcBorders>
          </w:tcPr>
          <w:p>
            <w:pPr>
              <w:pStyle w:val="Compact"/>
              <w:spacing w:before="0" w:after="0"/>
              <w:ind w:firstLine="0"/>
              <w:jc w:val="right"/>
            </w:pPr>
            <w:r>
              <w:t>12</w:t>
            </w:r>
          </w:p>
        </w:tc>
        <w:tc>
          <w:tcPr>
            <w:tcW w:type="dxa" w:w="648"/>
            <w:tcBorders>
              <w:bottom w:val="single" w:sz="12" w:color="000000" w:space="0"/>
            </w:tcBorders>
          </w:tcPr>
          <w:p>
            <w:pPr>
              <w:pStyle w:val="Compact"/>
              <w:spacing w:before="0" w:after="0"/>
              <w:ind w:firstLine="0"/>
              <w:jc w:val="right"/>
            </w:pPr>
            <w:r>
              <w:t>5</w:t>
            </w:r>
          </w:p>
        </w:tc>
      </w:tr>
      <w:tr>
        <w:trPr>
          <w:cantSplit/>
        </w:trPr>
        <w:tc>
          <w:tcPr>
            <w:tcW w:type="dxa" w:w="720"/>
            <w:tcBorders>
              <w:bottom w:val="single" w:sz="12" w:color="000000" w:space="0"/>
            </w:tcBorders>
          </w:tcPr>
          <w:p>
            <w:pPr>
              <w:pStyle w:val="Compact"/>
              <w:spacing w:before="0" w:after="0"/>
              <w:ind w:firstLine="0"/>
              <w:jc w:val="right"/>
            </w:pPr>
          </w:p>
        </w:tc>
        <w:tc>
          <w:tcPr>
            <w:tcW w:type="dxa" w:w="1080"/>
            <w:tcBorders>
              <w:bottom w:val="single" w:sz="12" w:color="000000" w:space="0"/>
            </w:tcBorders>
          </w:tcPr>
          <w:p>
            <w:pPr>
              <w:pStyle w:val="Compact"/>
              <w:spacing w:before="0" w:after="0"/>
              <w:ind w:firstLine="0"/>
              <w:jc w:val="right"/>
            </w:pPr>
            <w:r>
              <w:rPr>
                <w:sz w:val="16"/>
              </w:rPr>
              <w:t>All</w:t>
            </w:r>
          </w:p>
        </w:tc>
        <w:tc>
          <w:tcPr>
            <w:tcW w:type="dxa" w:w="648"/>
            <w:tcBorders>
              <w:bottom w:val="single" w:sz="12" w:color="000000" w:space="0"/>
            </w:tcBorders>
          </w:tcPr>
          <w:p>
            <w:pPr>
              <w:pStyle w:val="Compact"/>
              <w:spacing w:before="0" w:after="0"/>
              <w:ind w:firstLine="0"/>
              <w:jc w:val="right"/>
            </w:pPr>
            <w:r>
              <w:rPr>
                <w:sz w:val="16"/>
              </w:rPr>
              <w:t>0.81</w:t>
            </w:r>
          </w:p>
        </w:tc>
        <w:tc>
          <w:tcPr>
            <w:tcW w:type="dxa" w:w="1440"/>
            <w:tcBorders>
              <w:bottom w:val="single" w:sz="12" w:color="000000" w:space="0"/>
            </w:tcBorders>
          </w:tcPr>
          <w:p>
            <w:pPr>
              <w:pStyle w:val="Compact"/>
              <w:spacing w:before="0" w:after="0"/>
              <w:ind w:firstLine="0"/>
              <w:jc w:val="right"/>
            </w:pPr>
            <w:r>
              <w:rPr>
                <w:sz w:val="16"/>
              </w:rPr>
              <w:t>0.61 [0.40, 0.78]</w:t>
            </w:r>
          </w:p>
        </w:tc>
        <w:tc>
          <w:tcPr>
            <w:tcW w:type="dxa" w:w="648"/>
            <w:tcBorders>
              <w:bottom w:val="single" w:sz="12" w:color="000000" w:space="0"/>
            </w:tcBorders>
          </w:tcPr>
          <w:p>
            <w:pPr>
              <w:pStyle w:val="Compact"/>
              <w:spacing w:before="0" w:after="0"/>
              <w:ind w:firstLine="0"/>
              <w:jc w:val="right"/>
            </w:pPr>
            <w:r>
              <w:t>45</w:t>
            </w:r>
          </w:p>
        </w:tc>
        <w:tc>
          <w:tcPr>
            <w:tcW w:type="dxa" w:w="648"/>
            <w:tcBorders>
              <w:bottom w:val="single" w:sz="12" w:color="000000" w:space="0"/>
            </w:tcBorders>
          </w:tcPr>
          <w:p>
            <w:pPr>
              <w:pStyle w:val="Compact"/>
              <w:spacing w:before="0" w:after="0"/>
              <w:ind w:firstLine="0"/>
              <w:jc w:val="right"/>
            </w:pPr>
            <w:r>
              <w:t>11</w:t>
            </w:r>
          </w:p>
        </w:tc>
      </w:tr>
    </w:tbl>
    <w:p>
      <w:pPr>
        <w:pStyle w:val="BodyText"/>
      </w:pPr>
      <w:r>
        <w:t xml:space="preserve">Table V turns the remaining uncertainty into tipping points. Assuming English answers are judged without error, it gives the sensitivity the judge would need on the comparison condition for that condition's true accuracy to equal the reference's. A correction applied equally to both conditions (the Rogan–Gladen estimator [22]) divides a gap by TPR − FPR and can only enlarge it, so a common-error grid cannot show robustness; the relevant threat is differential error. At a false-accept rate of 0.08, erasing the </w:t>
      </w:r>
      <w:r>
        <w:rPr>
          <w:smallCaps/>
        </w:rPr>
        <w:t>cs-lat</w:t>
      </w:r>
      <w:r>
        <w:t xml:space="preserve"> gap would need a judge that rejects 24% of truly correct </w:t>
      </w:r>
      <w:r>
        <w:rPr>
          <w:smallCaps/>
        </w:rPr>
        <w:t>cs-lat</w:t>
      </w:r>
      <w:r>
        <w:t xml:space="preserve"> answers (sensitivity 0.76), and erasing the </w:t>
      </w:r>
      <w:r>
        <w:rPr>
          <w:smallCaps/>
        </w:rPr>
        <w:t>mixed</w:t>
      </w:r>
      <w:r>
        <w:t xml:space="preserve"> gap one that rejects 62% (0.38). These are hypothetical error rates, not estimates of the judge's actual errors, which are unknown; the cross-family disagreement shows they are not small. A crude check agrees: on the 330 outputs whose gold answer contains numerals, the J-QWEN label matches whether all gold numerals appear in the response 67% of the time, with disagreements in both directions (73 accepted answers lack the figure; 35 rejected ones contain it).</w:t>
      </w:r>
    </w:p>
    <w:p>
      <w:pPr>
        <w:pStyle w:val="BodyText"/>
        <w:keepNext/>
        <w:spacing w:before="120" w:after="60"/>
        <w:ind w:firstLine="0"/>
        <w:jc w:val="center"/>
      </w:pPr>
      <w:r>
        <w:t>TABLE V</w:t>
      </w:r>
      <w:r>
        <w:br/>
      </w:r>
      <w:r>
        <w:t>Sensitivity the judge would need on the comparison condition for its true accuracy to equal the reference condition's, at the given false-accept rate (J-QWEN, 128 tokens). Reference answers assumed judged without error. Lower entries mean a larger error would be needed.</w:t>
      </w:r>
    </w:p>
    <w:tbl>
      <w:tblPr>
        <w:tblStyle w:val="Table"/>
        <w:tblW w:type="dxa" w:w="5038"/>
        <w:tblLook w:firstRow="1" w:lastRow="0" w:firstColumn="0" w:lastColumn="0" w:noHBand="0" w:noVBand="0" w:val="0020"/>
        <w:jc w:val="center"/>
        <w:tblCellMar>
          <w:top w:w="10" w:type="dxa"/>
          <w:left w:w="50" w:type="dxa"/>
          <w:bottom w:w="10" w:type="dxa"/>
          <w:right w:w="50" w:type="dxa"/>
        </w:tblCellMar>
        <w:tblLayout w:type="fixed"/>
      </w:tblPr>
      <w:tblGrid>
        <w:gridCol w:w="889"/>
        <w:gridCol w:w="1482"/>
        <w:gridCol w:w="1482"/>
        <w:gridCol w:w="1185"/>
      </w:tblGrid>
      <w:tr>
        <w:trPr>
          <w:tblHeader w:val="true"/>
          <w:cantSplit/>
        </w:trPr>
        <w:tc>
          <w:tcPr>
            <w:tcW w:type="dxa" w:w="889"/>
            <w:tcBorders>
              <w:top w:val="single" w:sz="12" w:color="000000" w:space="0"/>
              <w:bottom w:val="single" w:sz="6" w:color="000000" w:space="0"/>
            </w:tcBorders>
          </w:tcPr>
          <w:p>
            <w:pPr>
              <w:pStyle w:val="Compact"/>
              <w:keepNext/>
              <w:spacing w:before="0" w:after="0"/>
              <w:ind w:firstLine="0"/>
              <w:jc w:val="right"/>
            </w:pPr>
            <w:r>
              <w:rPr>
                <w:b/>
                <w:sz w:val="16"/>
              </w:rPr>
              <w:t>FPR</w:t>
            </w:r>
          </w:p>
        </w:tc>
        <w:tc>
          <w:tcPr>
            <w:tcW w:type="dxa" w:w="1482"/>
            <w:tcBorders>
              <w:top w:val="single" w:sz="12" w:color="000000" w:space="0"/>
              <w:bottom w:val="single" w:sz="6" w:color="000000" w:space="0"/>
            </w:tcBorders>
          </w:tcPr>
          <w:p>
            <w:pPr>
              <w:pStyle w:val="Compact"/>
              <w:keepNext/>
              <w:spacing w:before="0" w:after="0"/>
              <w:ind w:firstLine="0"/>
              <w:jc w:val="right"/>
            </w:pPr>
            <w:r>
              <w:rPr>
                <w:b/>
                <w:smallCaps/>
                <w:sz w:val="16"/>
              </w:rPr>
              <w:t>cs-lat</w:t>
            </w:r>
            <w:r>
              <w:rPr>
                <w:b/>
                <w:sz w:val="16"/>
              </w:rPr>
              <w:t xml:space="preserve"> vs. </w:t>
            </w:r>
            <w:r>
              <w:rPr>
                <w:b/>
                <w:smallCaps/>
                <w:sz w:val="16"/>
              </w:rPr>
              <w:t>en-match</w:t>
            </w:r>
          </w:p>
        </w:tc>
        <w:tc>
          <w:tcPr>
            <w:tcW w:type="dxa" w:w="1482"/>
            <w:tcBorders>
              <w:top w:val="single" w:sz="12" w:color="000000" w:space="0"/>
              <w:bottom w:val="single" w:sz="6" w:color="000000" w:space="0"/>
            </w:tcBorders>
          </w:tcPr>
          <w:p>
            <w:pPr>
              <w:pStyle w:val="Compact"/>
              <w:keepNext/>
              <w:spacing w:before="0" w:after="0"/>
              <w:ind w:firstLine="0"/>
              <w:jc w:val="right"/>
            </w:pPr>
            <w:r>
              <w:rPr>
                <w:b/>
                <w:smallCaps/>
                <w:sz w:val="16"/>
              </w:rPr>
              <w:t>mixed</w:t>
            </w:r>
            <w:r>
              <w:rPr>
                <w:b/>
                <w:sz w:val="16"/>
              </w:rPr>
              <w:t xml:space="preserve"> vs. </w:t>
            </w:r>
            <w:r>
              <w:rPr>
                <w:b/>
                <w:smallCaps/>
                <w:sz w:val="16"/>
              </w:rPr>
              <w:t>en-match</w:t>
            </w:r>
          </w:p>
        </w:tc>
        <w:tc>
          <w:tcPr>
            <w:tcW w:type="dxa" w:w="1185"/>
            <w:tcBorders>
              <w:top w:val="single" w:sz="12" w:color="000000" w:space="0"/>
              <w:bottom w:val="single" w:sz="6" w:color="000000" w:space="0"/>
            </w:tcBorders>
          </w:tcPr>
          <w:p>
            <w:pPr>
              <w:pStyle w:val="Compact"/>
              <w:keepNext/>
              <w:spacing w:before="0" w:after="0"/>
              <w:ind w:firstLine="0"/>
              <w:jc w:val="right"/>
            </w:pPr>
            <w:r>
              <w:rPr>
                <w:b/>
                <w:smallCaps/>
                <w:sz w:val="16"/>
              </w:rPr>
              <w:t>mixed</w:t>
            </w:r>
            <w:r>
              <w:rPr>
                <w:b/>
                <w:sz w:val="16"/>
              </w:rPr>
              <w:t xml:space="preserve"> vs. </w:t>
            </w:r>
            <w:r>
              <w:rPr>
                <w:b/>
                <w:smallCaps/>
                <w:sz w:val="16"/>
              </w:rPr>
              <w:t>cs-lat</w:t>
            </w:r>
          </w:p>
        </w:tc>
      </w:tr>
      <w:tr>
        <w:trPr>
          <w:cantSplit/>
        </w:trPr>
        <w:tc>
          <w:tcPr>
            <w:tcW w:type="dxa" w:w="889"/>
          </w:tcPr>
          <w:p>
            <w:pPr>
              <w:pStyle w:val="Compact"/>
              <w:keepNext/>
              <w:spacing w:before="0" w:after="0"/>
              <w:ind w:firstLine="0"/>
              <w:jc w:val="right"/>
            </w:pPr>
            <w:r>
              <w:rPr>
                <w:sz w:val="16"/>
              </w:rPr>
              <w:t>0.00</w:t>
            </w:r>
          </w:p>
        </w:tc>
        <w:tc>
          <w:tcPr>
            <w:tcW w:type="dxa" w:w="1482"/>
          </w:tcPr>
          <w:p>
            <w:pPr>
              <w:pStyle w:val="Compact"/>
              <w:keepNext/>
              <w:spacing w:before="0" w:after="0"/>
              <w:ind w:firstLine="0"/>
              <w:jc w:val="right"/>
            </w:pPr>
            <w:r>
              <w:rPr>
                <w:sz w:val="16"/>
              </w:rPr>
              <w:t>0.82</w:t>
            </w:r>
          </w:p>
        </w:tc>
        <w:tc>
          <w:tcPr>
            <w:tcW w:type="dxa" w:w="1482"/>
          </w:tcPr>
          <w:p>
            <w:pPr>
              <w:pStyle w:val="Compact"/>
              <w:keepNext/>
              <w:spacing w:before="0" w:after="0"/>
              <w:ind w:firstLine="0"/>
              <w:jc w:val="right"/>
            </w:pPr>
            <w:r>
              <w:rPr>
                <w:sz w:val="16"/>
              </w:rPr>
              <w:t>0.43</w:t>
            </w:r>
          </w:p>
        </w:tc>
        <w:tc>
          <w:tcPr>
            <w:tcW w:type="dxa" w:w="1185"/>
          </w:tcPr>
          <w:p>
            <w:pPr>
              <w:pStyle w:val="Compact"/>
              <w:keepNext/>
              <w:spacing w:before="0" w:after="0"/>
              <w:ind w:firstLine="0"/>
              <w:jc w:val="right"/>
            </w:pPr>
            <w:r>
              <w:rPr>
                <w:sz w:val="16"/>
              </w:rPr>
              <w:t>0.53</w:t>
            </w:r>
          </w:p>
        </w:tc>
      </w:tr>
      <w:tr>
        <w:trPr>
          <w:cantSplit/>
        </w:trPr>
        <w:tc>
          <w:tcPr>
            <w:tcW w:type="dxa" w:w="889"/>
          </w:tcPr>
          <w:p>
            <w:pPr>
              <w:pStyle w:val="Compact"/>
              <w:keepNext/>
              <w:spacing w:before="0" w:after="0"/>
              <w:ind w:firstLine="0"/>
              <w:jc w:val="right"/>
            </w:pPr>
            <w:r>
              <w:rPr>
                <w:sz w:val="16"/>
              </w:rPr>
              <w:t>0.04</w:t>
            </w:r>
          </w:p>
        </w:tc>
        <w:tc>
          <w:tcPr>
            <w:tcW w:type="dxa" w:w="1482"/>
          </w:tcPr>
          <w:p>
            <w:pPr>
              <w:pStyle w:val="Compact"/>
              <w:keepNext/>
              <w:spacing w:before="0" w:after="0"/>
              <w:ind w:firstLine="0"/>
              <w:jc w:val="right"/>
            </w:pPr>
            <w:r>
              <w:rPr>
                <w:sz w:val="16"/>
              </w:rPr>
              <w:t>0.79</w:t>
            </w:r>
          </w:p>
        </w:tc>
        <w:tc>
          <w:tcPr>
            <w:tcW w:type="dxa" w:w="1482"/>
          </w:tcPr>
          <w:p>
            <w:pPr>
              <w:pStyle w:val="Compact"/>
              <w:keepNext/>
              <w:spacing w:before="0" w:after="0"/>
              <w:ind w:firstLine="0"/>
              <w:jc w:val="right"/>
            </w:pPr>
            <w:r>
              <w:rPr>
                <w:sz w:val="16"/>
              </w:rPr>
              <w:t>0.41</w:t>
            </w:r>
          </w:p>
        </w:tc>
        <w:tc>
          <w:tcPr>
            <w:tcW w:type="dxa" w:w="1185"/>
          </w:tcPr>
          <w:p>
            <w:pPr>
              <w:pStyle w:val="Compact"/>
              <w:keepNext/>
              <w:spacing w:before="0" w:after="0"/>
              <w:ind w:firstLine="0"/>
              <w:jc w:val="right"/>
            </w:pPr>
            <w:r>
              <w:rPr>
                <w:sz w:val="16"/>
              </w:rPr>
              <w:t>0.49</w:t>
            </w:r>
          </w:p>
        </w:tc>
      </w:tr>
      <w:tr>
        <w:trPr>
          <w:cantSplit/>
        </w:trPr>
        <w:tc>
          <w:tcPr>
            <w:tcW w:type="dxa" w:w="889"/>
          </w:tcPr>
          <w:p>
            <w:pPr>
              <w:pStyle w:val="Compact"/>
              <w:keepNext/>
              <w:spacing w:before="0" w:after="0"/>
              <w:ind w:firstLine="0"/>
              <w:jc w:val="right"/>
            </w:pPr>
            <w:r>
              <w:rPr>
                <w:sz w:val="16"/>
              </w:rPr>
              <w:t>0.08</w:t>
            </w:r>
          </w:p>
        </w:tc>
        <w:tc>
          <w:tcPr>
            <w:tcW w:type="dxa" w:w="1482"/>
          </w:tcPr>
          <w:p>
            <w:pPr>
              <w:pStyle w:val="Compact"/>
              <w:keepNext/>
              <w:spacing w:before="0" w:after="0"/>
              <w:ind w:firstLine="0"/>
              <w:jc w:val="right"/>
            </w:pPr>
            <w:r>
              <w:rPr>
                <w:sz w:val="16"/>
              </w:rPr>
              <w:t>0.76</w:t>
            </w:r>
          </w:p>
        </w:tc>
        <w:tc>
          <w:tcPr>
            <w:tcW w:type="dxa" w:w="1482"/>
          </w:tcPr>
          <w:p>
            <w:pPr>
              <w:pStyle w:val="Compact"/>
              <w:keepNext/>
              <w:spacing w:before="0" w:after="0"/>
              <w:ind w:firstLine="0"/>
              <w:jc w:val="right"/>
            </w:pPr>
            <w:r>
              <w:rPr>
                <w:sz w:val="16"/>
              </w:rPr>
              <w:t>0.38</w:t>
            </w:r>
          </w:p>
        </w:tc>
        <w:tc>
          <w:tcPr>
            <w:tcW w:type="dxa" w:w="1185"/>
          </w:tcPr>
          <w:p>
            <w:pPr>
              <w:pStyle w:val="Compact"/>
              <w:keepNext/>
              <w:spacing w:before="0" w:after="0"/>
              <w:ind w:firstLine="0"/>
              <w:jc w:val="right"/>
            </w:pPr>
            <w:r>
              <w:rPr>
                <w:sz w:val="16"/>
              </w:rPr>
              <w:t>0.45</w:t>
            </w:r>
          </w:p>
        </w:tc>
      </w:tr>
      <w:tr>
        <w:trPr>
          <w:cantSplit/>
        </w:trPr>
        <w:tc>
          <w:tcPr>
            <w:tcW w:type="dxa" w:w="889"/>
          </w:tcPr>
          <w:p>
            <w:pPr>
              <w:pStyle w:val="Compact"/>
              <w:keepNext/>
              <w:spacing w:before="0" w:after="0"/>
              <w:ind w:firstLine="0"/>
              <w:jc w:val="right"/>
            </w:pPr>
            <w:r>
              <w:rPr>
                <w:sz w:val="16"/>
              </w:rPr>
              <w:t>0.12</w:t>
            </w:r>
          </w:p>
        </w:tc>
        <w:tc>
          <w:tcPr>
            <w:tcW w:type="dxa" w:w="1482"/>
          </w:tcPr>
          <w:p>
            <w:pPr>
              <w:pStyle w:val="Compact"/>
              <w:keepNext/>
              <w:spacing w:before="0" w:after="0"/>
              <w:ind w:firstLine="0"/>
              <w:jc w:val="right"/>
            </w:pPr>
            <w:r>
              <w:rPr>
                <w:sz w:val="16"/>
              </w:rPr>
              <w:t>0.74</w:t>
            </w:r>
          </w:p>
        </w:tc>
        <w:tc>
          <w:tcPr>
            <w:tcW w:type="dxa" w:w="1482"/>
          </w:tcPr>
          <w:p>
            <w:pPr>
              <w:pStyle w:val="Compact"/>
              <w:keepNext/>
              <w:spacing w:before="0" w:after="0"/>
              <w:ind w:firstLine="0"/>
              <w:jc w:val="right"/>
            </w:pPr>
            <w:r>
              <w:rPr>
                <w:sz w:val="16"/>
              </w:rPr>
              <w:t>0.35</w:t>
            </w:r>
          </w:p>
        </w:tc>
        <w:tc>
          <w:tcPr>
            <w:tcW w:type="dxa" w:w="1185"/>
          </w:tcPr>
          <w:p>
            <w:pPr>
              <w:pStyle w:val="Compact"/>
              <w:keepNext/>
              <w:spacing w:before="0" w:after="0"/>
              <w:ind w:firstLine="0"/>
              <w:jc w:val="right"/>
            </w:pPr>
            <w:r>
              <w:rPr>
                <w:sz w:val="16"/>
              </w:rPr>
              <w:t>0.41</w:t>
            </w:r>
          </w:p>
        </w:tc>
      </w:tr>
      <w:tr>
        <w:trPr>
          <w:cantSplit/>
        </w:trPr>
        <w:tc>
          <w:tcPr>
            <w:tcW w:type="dxa" w:w="889"/>
            <w:tcBorders>
              <w:bottom w:val="single" w:sz="12" w:color="000000" w:space="0"/>
            </w:tcBorders>
          </w:tcPr>
          <w:p>
            <w:pPr>
              <w:pStyle w:val="Compact"/>
              <w:spacing w:before="0" w:after="0"/>
              <w:ind w:firstLine="0"/>
              <w:jc w:val="right"/>
            </w:pPr>
            <w:r>
              <w:rPr>
                <w:sz w:val="16"/>
              </w:rPr>
              <w:t>0.16</w:t>
            </w:r>
          </w:p>
        </w:tc>
        <w:tc>
          <w:tcPr>
            <w:tcW w:type="dxa" w:w="1482"/>
            <w:tcBorders>
              <w:bottom w:val="single" w:sz="12" w:color="000000" w:space="0"/>
            </w:tcBorders>
          </w:tcPr>
          <w:p>
            <w:pPr>
              <w:pStyle w:val="Compact"/>
              <w:spacing w:before="0" w:after="0"/>
              <w:ind w:firstLine="0"/>
              <w:jc w:val="right"/>
            </w:pPr>
            <w:r>
              <w:rPr>
                <w:sz w:val="16"/>
              </w:rPr>
              <w:t>0.71</w:t>
            </w:r>
          </w:p>
        </w:tc>
        <w:tc>
          <w:tcPr>
            <w:tcW w:type="dxa" w:w="1482"/>
            <w:tcBorders>
              <w:bottom w:val="single" w:sz="12" w:color="000000" w:space="0"/>
            </w:tcBorders>
          </w:tcPr>
          <w:p>
            <w:pPr>
              <w:pStyle w:val="Compact"/>
              <w:spacing w:before="0" w:after="0"/>
              <w:ind w:firstLine="0"/>
              <w:jc w:val="right"/>
            </w:pPr>
            <w:r>
              <w:rPr>
                <w:sz w:val="16"/>
              </w:rPr>
              <w:t>0.33</w:t>
            </w:r>
          </w:p>
        </w:tc>
        <w:tc>
          <w:tcPr>
            <w:tcW w:type="dxa" w:w="1185"/>
            <w:tcBorders>
              <w:bottom w:val="single" w:sz="12" w:color="000000" w:space="0"/>
            </w:tcBorders>
          </w:tcPr>
          <w:p>
            <w:pPr>
              <w:pStyle w:val="Compact"/>
              <w:spacing w:before="0" w:after="0"/>
              <w:ind w:firstLine="0"/>
              <w:jc w:val="right"/>
            </w:pPr>
            <w:r>
              <w:rPr>
                <w:sz w:val="16"/>
              </w:rPr>
              <w:t>0.36</w:t>
            </w:r>
          </w:p>
        </w:tc>
      </w:tr>
    </w:tbl>
    <w:bookmarkEnd w:id="50"/>
    <w:bookmarkStart w:id="51" w:name="viii.-discussion"/>
    <w:p>
      <w:pPr>
        <w:pStyle w:val="Heading1"/>
      </w:pPr>
      <w:r>
        <w:t xml:space="preserve">VIII. DISCUSSION</w:t>
      </w:r>
    </w:p>
    <w:p>
      <w:pPr>
        <w:pStyle w:val="FirstParagraph"/>
      </w:pPr>
      <w:r>
        <w:t>What the data support is narrower than the design promised, and different from what our first run suggested. Evaluating multilingual LLMs across representation conditions is sensitive to the output-token budget and to the choice of evaluator, and observed differences should not automatically be interpreted as representation effects. For this model and these 20 topics, the clearest representation effect at a 128-token budget, the mixed-script penalty, is no longer detected when answers can be longer, under either judge; the English advantage over code-switching appears or disappears with the judge. We do not claim that native script or code-switching damages factual recall, and we make no claim about other models.</w:t>
      </w:r>
    </w:p>
    <w:p>
      <w:pPr>
        <w:pStyle w:val="BodyText"/>
      </w:pPr>
      <w:r>
        <w:t>The practical lesson is methodological. Output caps are often set low to save cost, and tokenizers make some scripts more expensive per character, so a shared cap gives answers in those scripts less room. Studies that compare languages or scripts through generated answers should report how often the cap binds in each condition and show that conclusions hold at a non-binding budget; judges should be configured identically across conditions, at least two judges from different families should be used, and their agreement should be reported per condition. Whether this cautionary result is novel enough for a given venue depends on prior work on tokenization premiums and multilingual judge reliability [5], [6], [26], [27], which documents the ingredients but, to our knowledge, not their combined effect on paired representation contrasts. Table VI lists claims we examined.</w:t>
      </w:r>
    </w:p>
    <w:p>
      <w:pPr>
        <w:pStyle w:val="BodyText"/>
        <w:keepNext/>
        <w:spacing w:before="120" w:after="60"/>
        <w:ind w:firstLine="0"/>
        <w:jc w:val="center"/>
      </w:pPr>
      <w:r>
        <w:t>TABLE VI</w:t>
      </w:r>
      <w:r>
        <w:br/>
      </w:r>
      <w:r>
        <w:t>Claims examined and not supported, or supported only under some evaluation settings.</w:t>
      </w:r>
    </w:p>
    <w:tbl>
      <w:tblPr>
        <w:tblStyle w:val="Table"/>
        <w:tblW w:type="dxa" w:w="5040"/>
        <w:tblLook w:firstRow="1" w:lastRow="0" w:firstColumn="0" w:lastColumn="0" w:noHBand="0" w:noVBand="0" w:val="0020"/>
        <w:jc w:val="center"/>
        <w:tblCellMar>
          <w:top w:w="10" w:type="dxa"/>
          <w:left w:w="50" w:type="dxa"/>
          <w:bottom w:w="10" w:type="dxa"/>
          <w:right w:w="50" w:type="dxa"/>
        </w:tblCellMar>
        <w:tblLayout w:type="fixed"/>
      </w:tblPr>
      <w:tblGrid>
        <w:gridCol w:w="2940"/>
        <w:gridCol w:w="2100"/>
      </w:tblGrid>
      <w:tr>
        <w:trPr>
          <w:tblHeader w:val="true"/>
          <w:cantSplit/>
        </w:trPr>
        <w:tc>
          <w:tcPr>
            <w:tcW w:type="dxa" w:w="2940"/>
            <w:tcBorders>
              <w:top w:val="single" w:sz="12" w:color="000000" w:space="0"/>
              <w:bottom w:val="single" w:sz="6" w:color="000000" w:space="0"/>
            </w:tcBorders>
          </w:tcPr>
          <w:p>
            <w:pPr>
              <w:pStyle w:val="Compact"/>
              <w:keepNext/>
              <w:spacing w:before="0" w:after="0"/>
              <w:ind w:firstLine="0"/>
              <w:jc w:val="left"/>
            </w:pPr>
            <w:r>
              <w:rPr>
                <w:b/>
                <w:sz w:val="16"/>
              </w:rPr>
              <w:t>Examined claim</w:t>
            </w:r>
          </w:p>
        </w:tc>
        <w:tc>
          <w:tcPr>
            <w:tcW w:type="dxa" w:w="2100"/>
            <w:tcBorders>
              <w:top w:val="single" w:sz="12" w:color="000000" w:space="0"/>
              <w:bottom w:val="single" w:sz="6" w:color="000000" w:space="0"/>
            </w:tcBorders>
          </w:tcPr>
          <w:p>
            <w:pPr>
              <w:pStyle w:val="Compact"/>
              <w:keepNext/>
              <w:spacing w:before="0" w:after="0"/>
              <w:ind w:firstLine="0"/>
              <w:jc w:val="left"/>
            </w:pPr>
            <w:r>
              <w:rPr>
                <w:b/>
                <w:sz w:val="16"/>
              </w:rPr>
              <w:t>Outcome</w:t>
            </w:r>
          </w:p>
        </w:tc>
      </w:tr>
      <w:tr>
        <w:trPr>
          <w:cantSplit/>
        </w:trPr>
        <w:tc>
          <w:tcPr>
            <w:tcW w:type="dxa" w:w="2940"/>
          </w:tcPr>
          <w:p>
            <w:pPr>
              <w:pStyle w:val="Compact"/>
              <w:keepNext/>
              <w:spacing w:before="0" w:after="0"/>
              <w:ind w:firstLine="0"/>
              <w:jc w:val="left"/>
            </w:pPr>
            <w:r>
              <w:rPr>
                <w:sz w:val="16"/>
              </w:rPr>
              <w:t>Script alternation (</w:t>
            </w:r>
            <w:r>
              <w:rPr>
                <w:smallCaps/>
                <w:sz w:val="16"/>
              </w:rPr>
              <w:t>cs-lat</w:t>
            </w:r>
            <w:r>
              <w:rPr>
                <w:sz w:val="16"/>
              </w:rPr>
              <w:t xml:space="preserve"> → </w:t>
            </w:r>
            <w:r>
              <w:rPr>
                <w:smallCaps/>
                <w:sz w:val="16"/>
              </w:rPr>
              <w:t>mixed</w:t>
            </w:r>
            <w:r>
              <w:rPr>
                <w:sz w:val="16"/>
              </w:rPr>
              <w:t>) lowers recall</w:t>
            </w:r>
          </w:p>
        </w:tc>
        <w:tc>
          <w:tcPr>
            <w:tcW w:type="dxa" w:w="2100"/>
          </w:tcPr>
          <w:p>
            <w:pPr>
              <w:pStyle w:val="Compact"/>
              <w:keepNext/>
              <w:spacing w:before="0" w:after="0"/>
              <w:ind w:firstLine="0"/>
              <w:jc w:val="left"/>
            </w:pPr>
            <w:r>
              <w:rPr>
                <w:sz w:val="16"/>
              </w:rPr>
              <w:t>Not supported: only at 128 tokens; +4 (512), −3 (1,024), n.s. under both judges (not an equivalence test)</w:t>
            </w:r>
          </w:p>
        </w:tc>
      </w:tr>
      <w:tr>
        <w:trPr>
          <w:cantSplit/>
        </w:trPr>
        <w:tc>
          <w:tcPr>
            <w:tcW w:type="dxa" w:w="2940"/>
          </w:tcPr>
          <w:p>
            <w:pPr>
              <w:pStyle w:val="Compact"/>
              <w:keepNext/>
              <w:spacing w:before="0" w:after="0"/>
              <w:ind w:firstLine="0"/>
              <w:jc w:val="left"/>
            </w:pPr>
            <w:r>
              <w:rPr>
                <w:sz w:val="16"/>
              </w:rPr>
              <w:t xml:space="preserve">English advantage over </w:t>
            </w:r>
            <w:r>
              <w:rPr>
                <w:smallCaps/>
                <w:sz w:val="16"/>
              </w:rPr>
              <w:t>cs-lat</w:t>
            </w:r>
          </w:p>
        </w:tc>
        <w:tc>
          <w:tcPr>
            <w:tcW w:type="dxa" w:w="2100"/>
          </w:tcPr>
          <w:p>
            <w:pPr>
              <w:pStyle w:val="Compact"/>
              <w:keepNext/>
              <w:spacing w:before="0" w:after="0"/>
              <w:ind w:firstLine="0"/>
              <w:jc w:val="left"/>
            </w:pPr>
            <w:r>
              <w:rPr>
                <w:sz w:val="16"/>
              </w:rPr>
              <w:t>Judge-dependent: topic p = 0.018 at 1,024 tokens under J-QWEN (0.29 after Holm over 18 tests); n.s. at every budget under J-OSS</w:t>
            </w:r>
          </w:p>
        </w:tc>
      </w:tr>
      <w:tr>
        <w:trPr>
          <w:cantSplit/>
        </w:trPr>
        <w:tc>
          <w:tcPr>
            <w:tcW w:type="dxa" w:w="2940"/>
          </w:tcPr>
          <w:p>
            <w:pPr>
              <w:pStyle w:val="Compact"/>
              <w:keepNext/>
              <w:spacing w:before="0" w:after="0"/>
              <w:ind w:firstLine="0"/>
              <w:jc w:val="left"/>
            </w:pPr>
            <w:r>
              <w:rPr>
                <w:sz w:val="16"/>
              </w:rPr>
              <w:t xml:space="preserve">Prompt token fertility mediates </w:t>
            </w:r>
            <w:r>
              <w:rPr>
                <w:smallCaps/>
                <w:sz w:val="16"/>
              </w:rPr>
              <w:t>cs-lat</w:t>
            </w:r>
            <w:r>
              <w:rPr>
                <w:sz w:val="16"/>
              </w:rPr>
              <w:t xml:space="preserve"> → </w:t>
            </w:r>
            <w:r>
              <w:rPr>
                <w:smallCaps/>
                <w:sz w:val="16"/>
              </w:rPr>
              <w:t>mixed</w:t>
            </w:r>
          </w:p>
        </w:tc>
        <w:tc>
          <w:tcPr>
            <w:tcW w:type="dxa" w:w="2100"/>
          </w:tcPr>
          <w:p>
            <w:pPr>
              <w:pStyle w:val="Compact"/>
              <w:keepNext/>
              <w:spacing w:before="0" w:after="0"/>
              <w:ind w:firstLine="0"/>
              <w:jc w:val="left"/>
            </w:pPr>
            <w:r>
              <w:rPr>
                <w:sz w:val="16"/>
              </w:rPr>
              <w:t>Not detected (p = 0.08, wrong sign; exploratory)</w:t>
            </w:r>
          </w:p>
        </w:tc>
      </w:tr>
      <w:tr>
        <w:trPr>
          <w:cantSplit/>
        </w:trPr>
        <w:tc>
          <w:tcPr>
            <w:tcW w:type="dxa" w:w="2940"/>
          </w:tcPr>
          <w:p>
            <w:pPr>
              <w:pStyle w:val="Compact"/>
              <w:keepNext/>
              <w:spacing w:before="0" w:after="0"/>
              <w:ind w:firstLine="0"/>
              <w:jc w:val="left"/>
            </w:pPr>
            <w:r>
              <w:rPr>
                <w:sz w:val="16"/>
              </w:rPr>
              <w:t>Language dependence of the profile</w:t>
            </w:r>
          </w:p>
        </w:tc>
        <w:tc>
          <w:tcPr>
            <w:tcW w:type="dxa" w:w="2100"/>
          </w:tcPr>
          <w:p>
            <w:pPr>
              <w:pStyle w:val="Compact"/>
              <w:keepNext/>
              <w:spacing w:before="0" w:after="0"/>
              <w:ind w:firstLine="0"/>
              <w:jc w:val="left"/>
            </w:pPr>
            <w:r>
              <w:rPr>
                <w:sz w:val="16"/>
              </w:rPr>
              <w:t>Not detected (p = 0.17), low power</w:t>
            </w:r>
          </w:p>
        </w:tc>
      </w:tr>
      <w:tr>
        <w:trPr>
          <w:cantSplit/>
        </w:trPr>
        <w:tc>
          <w:tcPr>
            <w:tcW w:type="dxa" w:w="2940"/>
          </w:tcPr>
          <w:p>
            <w:pPr>
              <w:pStyle w:val="Compact"/>
              <w:keepNext/>
              <w:spacing w:before="0" w:after="0"/>
              <w:ind w:firstLine="0"/>
              <w:jc w:val="left"/>
            </w:pPr>
            <w:r>
              <w:rPr>
                <w:sz w:val="16"/>
              </w:rPr>
              <w:t>Rank agreement with ALLaM-2-7B</w:t>
            </w:r>
          </w:p>
        </w:tc>
        <w:tc>
          <w:tcPr>
            <w:tcW w:type="dxa" w:w="2100"/>
          </w:tcPr>
          <w:p>
            <w:pPr>
              <w:pStyle w:val="Compact"/>
              <w:keepNext/>
              <w:spacing w:before="0" w:after="0"/>
              <w:ind w:firstLine="0"/>
              <w:jc w:val="left"/>
            </w:pPr>
            <w:r>
              <w:rPr>
                <w:sz w:val="16"/>
              </w:rPr>
              <w:t>Uninformative (floor; ρ = 0.67, p = 0.22)</w:t>
            </w:r>
          </w:p>
        </w:tc>
      </w:tr>
      <w:tr>
        <w:trPr>
          <w:cantSplit/>
        </w:trPr>
        <w:tc>
          <w:tcPr>
            <w:tcW w:type="dxa" w:w="2940"/>
            <w:tcBorders>
              <w:bottom w:val="single" w:sz="12" w:color="000000" w:space="0"/>
            </w:tcBorders>
          </w:tcPr>
          <w:p>
            <w:pPr>
              <w:pStyle w:val="Compact"/>
              <w:spacing w:before="0" w:after="0"/>
              <w:ind w:firstLine="0"/>
              <w:jc w:val="left"/>
            </w:pPr>
            <w:r>
              <w:rPr>
                <w:sz w:val="16"/>
              </w:rPr>
              <w:t>Errors rise with script transitions</w:t>
            </w:r>
          </w:p>
        </w:tc>
        <w:tc>
          <w:tcPr>
            <w:tcW w:type="dxa" w:w="2100"/>
            <w:tcBorders>
              <w:bottom w:val="single" w:sz="12" w:color="000000" w:space="0"/>
            </w:tcBorders>
          </w:tcPr>
          <w:p>
            <w:pPr>
              <w:pStyle w:val="Compact"/>
              <w:spacing w:before="0" w:after="0"/>
              <w:ind w:firstLine="0"/>
              <w:jc w:val="left"/>
            </w:pPr>
            <w:r>
              <w:rPr>
                <w:sz w:val="16"/>
              </w:rPr>
              <w:t>Not supported (</w:t>
            </w:r>
            <w:r>
              <w:rPr>
                <w:smallCaps/>
                <w:sz w:val="16"/>
              </w:rPr>
              <w:t>native</w:t>
            </w:r>
            <w:r>
              <w:rPr>
                <w:sz w:val="16"/>
              </w:rPr>
              <w:t xml:space="preserve"> ≈ </w:t>
            </w:r>
            <w:r>
              <w:rPr>
                <w:smallCaps/>
                <w:sz w:val="16"/>
              </w:rPr>
              <w:t>mixed</w:t>
            </w:r>
            <w:r>
              <w:rPr>
                <w:sz w:val="16"/>
              </w:rPr>
              <w:t>)</w:t>
            </w:r>
          </w:p>
        </w:tc>
      </w:tr>
      <w:tr>
        <w:trPr>
          <w:cantSplit/>
        </w:trPr>
        <w:tc>
          <w:tcPr>
            <w:tcW w:type="dxa" w:w="2940"/>
            <w:tcBorders>
              <w:bottom w:val="single" w:sz="12" w:color="000000" w:space="0"/>
            </w:tcBorders>
          </w:tcPr>
          <w:p>
            <w:pPr>
              <w:pStyle w:val="Compact"/>
              <w:spacing w:before="0" w:after="0"/>
              <w:ind w:firstLine="0"/>
              <w:jc w:val="left"/>
            </w:pPr>
            <w:r>
              <w:rPr>
                <w:sz w:val="16"/>
              </w:rPr>
              <w:t>Original 20-fold truncation ratio</w:t>
            </w:r>
          </w:p>
        </w:tc>
        <w:tc>
          <w:tcPr>
            <w:tcW w:type="dxa" w:w="2100"/>
            <w:tcBorders>
              <w:bottom w:val="single" w:sz="12" w:color="000000" w:space="0"/>
            </w:tcBorders>
          </w:tcPr>
          <w:p>
            <w:pPr>
              <w:pStyle w:val="Compact"/>
              <w:spacing w:before="0" w:after="0"/>
              <w:ind w:firstLine="0"/>
              <w:jc w:val="left"/>
            </w:pPr>
            <w:r>
              <w:rPr>
                <w:sz w:val="16"/>
              </w:rPr>
              <w:t>Not reproducible from files</w:t>
            </w:r>
          </w:p>
        </w:tc>
      </w:tr>
    </w:tbl>
    <w:bookmarkEnd w:id="51"/>
    <w:bookmarkStart w:id="52" w:name="ix.-limitations"/>
    <w:p>
      <w:pPr>
        <w:pStyle w:val="Heading1"/>
      </w:pPr>
      <w:r>
        <w:t xml:space="preserve">IX. LIMITATIONS</w:t>
      </w:r>
    </w:p>
    <w:p>
      <w:pPr>
        <w:pStyle w:val="FirstParagraph"/>
      </w:pPr>
      <w:r>
        <w:rPr>
          <w:b/>
        </w:rPr>
        <w:t>Topics.</w:t>
      </w:r>
      <w:r>
        <w:t xml:space="preserve"> Twenty topics with heavy within-topic concentration bound what any statistic can show (effective n ≈ 67 of 500). A 25-proposition expansion has been written but not evaluated. </w:t>
      </w:r>
      <w:r>
        <w:rPr>
          <w:b/>
        </w:rPr>
        <w:t>Output budget.</w:t>
      </w:r>
      <w:r>
        <w:t xml:space="preserve"> At 1,024 tokens, 39 </w:t>
      </w:r>
      <w:r>
        <w:rPr>
          <w:smallCaps/>
        </w:rPr>
        <w:t>cs-lat</w:t>
      </w:r>
      <w:r>
        <w:t xml:space="preserve"> and 64 </w:t>
      </w:r>
      <w:r>
        <w:rPr>
          <w:smallCaps/>
        </w:rPr>
        <w:t>mixed</w:t>
      </w:r>
      <w:r>
        <w:t xml:space="preserve"> responses still hit the cap, so the budget is not fully removed as a confound; the 1,024-token run was added after the 512-token results were seen and is exploratory; we re-ran three of the six conditions and did not test an instruction fixing the answer language. </w:t>
      </w:r>
      <w:r>
        <w:rPr>
          <w:b/>
        </w:rPr>
        <w:t>Equivalence.</w:t>
      </w:r>
      <w:r>
        <w:t xml:space="preserve"> No equivalence margin was pre-specified, so non-significant gaps are reported with intervals, not as equivalence. </w:t>
      </w:r>
      <w:r>
        <w:rPr>
          <w:b/>
        </w:rPr>
        <w:t>Judges.</w:t>
      </w:r>
      <w:r>
        <w:t xml:space="preserve"> Two LLM judges that disagree on a fifth to a quarter of items, and no human labels on any output; a stratified, blinded sample of 210 outputs and an annotation protocol are released but not annotated. </w:t>
      </w:r>
      <w:r>
        <w:rPr>
          <w:b/>
        </w:rPr>
        <w:t>Questions and gold answers.</w:t>
      </w:r>
      <w:r>
        <w:t xml:space="preserve"> One generic template that under-specifies the target for several topics; volunteer gold checks without an item-level record; one superseded scheme. </w:t>
      </w:r>
      <w:r>
        <w:rPr>
          <w:b/>
        </w:rPr>
        <w:t>Prompts.</w:t>
      </w:r>
      <w:r>
        <w:t xml:space="preserve"> The fluent-speaker review was an informal yes/no check of the templates; </w:t>
      </w:r>
      <w:r>
        <w:rPr>
          <w:smallCaps/>
        </w:rPr>
        <w:t>cs-lat</w:t>
      </w:r>
      <w:r>
        <w:t xml:space="preserve"> and </w:t>
      </w:r>
      <w:r>
        <w:rPr>
          <w:smallCaps/>
        </w:rPr>
        <w:t>mixed</w:t>
      </w:r>
      <w:r>
        <w:t xml:space="preserve"> differ by one word in Telugu and Kannada, and Hindi </w:t>
      </w:r>
      <w:r>
        <w:rPr>
          <w:smallCaps/>
        </w:rPr>
        <w:t>roman</w:t>
      </w:r>
      <w:r>
        <w:t xml:space="preserve"> is not a transliteration of Hindi </w:t>
      </w:r>
      <w:r>
        <w:rPr>
          <w:smallCaps/>
        </w:rPr>
        <w:t>native</w:t>
      </w:r>
      <w:r>
        <w:t xml:space="preserve">. </w:t>
      </w:r>
      <w:r>
        <w:rPr>
          <w:b/>
        </w:rPr>
        <w:t>Models and languages.</w:t>
      </w:r>
      <w:r>
        <w:t xml:space="preserve"> One informative model, served under an API identifier whose underlying weights we cannot independently verify, and five languages. </w:t>
      </w:r>
      <w:r>
        <w:rPr>
          <w:b/>
        </w:rPr>
        <w:t>Single run.</w:t>
      </w:r>
      <w:r>
        <w:t xml:space="preserve"> No repeated sampling; hosted greedy decoding was not fully deterministic, and API behaviour can change over time.</w:t>
      </w:r>
    </w:p>
    <w:bookmarkEnd w:id="52"/>
    <w:bookmarkStart w:id="53" w:name="x.-ethics-and-broader-impact"/>
    <w:p>
      <w:pPr>
        <w:pStyle w:val="Heading1"/>
      </w:pPr>
      <w:r>
        <w:t xml:space="preserve">X. ETHICS AND BROADER IMPACT</w:t>
      </w:r>
    </w:p>
    <w:p>
      <w:pPr>
        <w:pStyle w:val="FirstParagraph"/>
      </w:pPr>
      <w:r>
        <w:t>Evaluations like this one guide where civic and legal information systems are considered safe to deploy for speakers who write the way our conditions do. Overstated gaps could discourage building for these users; understated ones could hide failures. We therefore report effect sizes with their dependence on clustering, output budget and judge. The prompts contain no personal data. The benchmark contains legal and policy facts that become outdated (one already has) and should not be used as legal advice. We do not estimate how many people use each representation, and make no claim about it.</w:t>
      </w:r>
    </w:p>
    <w:bookmarkEnd w:id="53"/>
    <w:bookmarkStart w:id="54" w:name="reproducibility"/>
    <w:p>
      <w:pPr>
        <w:pStyle w:val="Heading1"/>
      </w:pPr>
      <w:r>
        <w:t xml:space="preserve">REPRODUCIBILITY</w:t>
      </w:r>
    </w:p>
    <w:p>
      <w:pPr>
        <w:pStyle w:val="FirstParagraph"/>
      </w:pPr>
      <w:r>
        <w:t xml:space="preserve">All numbers, tables and figures are produced from the raw files by the scripts in </w:t>
      </w:r>
      <w:r>
        <w:rPr>
          <w:rFonts w:ascii="Courier New" w:hAnsi="Courier New"/>
          <w:sz w:val="15"/>
        </w:rPr>
        <w:t>paper_v2/scripts/</w:t>
      </w:r>
      <w:r>
        <w:t xml:space="preserve"> (Appendix E). The two follow-up runs cost $1.10 (512 tokens plus re-grading of the 128-token outputs) and $1.23 (1,024 tokens) at the provider's list prices in October 2026; all 2,700 follow-up judgements parsed, and no call failed after retries. The project's budget ledger records $0.21 for the earlier runs but priced every call at a flat $0.08 per million tokens; at list prices the Qwen3.8-27B generation and grading in EXP-002 and EXP-003 would cost about $2.1. The provider's billing record is the authoritative figure.</w:t>
      </w:r>
    </w:p>
    <w:bookmarkEnd w:id="54"/>
    <w:bookmarkStart w:id="57" w:name="appendix-a-benchmark-details"/>
    <w:p>
      <w:pPr>
        <w:pStyle w:val="Heading1"/>
      </w:pPr>
      <w:r>
        <w:t xml:space="preserve">APPENDIX A: BENCHMARK DETAILS</w:t>
      </w:r>
    </w:p>
    <w:bookmarkStart w:id="55" w:name="a.1.-topics"/>
    <w:p>
      <w:pPr>
        <w:pStyle w:val="Heading2"/>
      </w:pPr>
      <w:r>
        <w:t xml:space="preserve">A.1. Topics</w:t>
      </w:r>
    </w:p>
    <w:p>
      <w:pPr>
        <w:pStyle w:val="FirstParagraph"/>
      </w:pPr>
      <w:r>
        <w:t xml:space="preserve">Table VII lists the 20 topics, the provision against which each gold answer was verified, the outcome, and the number of languages (of five) in which each condition was answered correctly under J-QWEN. Topics are Indian public-policy and regulatory subjects, several comparing two schemes or institutions (e.g. NEFT vs. RTGS, Covaxin vs. Covishield, PSLV vs. GSLV Mk III); not all are statutes, so we call them public-policy topics. Gold column: </w:t>
      </w:r>
      <w:r>
        <w:rPr>
          <w:i/>
        </w:rPr>
        <w:t>ok</w:t>
      </w:r>
      <w:r>
        <w:t xml:space="preserve">, consistent and adequate; </w:t>
      </w:r>
      <w:r>
        <w:rPr>
          <w:i/>
        </w:rPr>
        <w:t>simpl.</w:t>
      </w:r>
      <w:r>
        <w:t xml:space="preserve">, a correct simplification; </w:t>
      </w:r>
      <w:r>
        <w:rPr>
          <w:i/>
        </w:rPr>
        <w:t>narrow</w:t>
      </w:r>
      <w:r>
        <w:t xml:space="preserve">, other correct answers to the generic question exist; </w:t>
      </w:r>
      <w:r>
        <w:rPr>
          <w:i/>
        </w:rPr>
        <w:t>dated</w:t>
      </w:r>
      <w:r>
        <w:t>, the scheme has been superseded.</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t>TABLE VII</w:t>
      </w:r>
      <w:r>
        <w:br/>
      </w:r>
      <w:r>
        <w:t>Topics, provision used to verify the gold answer, verification outcome, and languages (of five) answered correctly per condition (Qwen3.8-27B, J-QWEN, 128 tokens).</w:t>
      </w:r>
    </w:p>
    <w:tbl>
      <w:tblPr>
        <w:tblStyle w:val="Table"/>
        <w:tblW w:type="dxa" w:w="10437"/>
        <w:tblLook w:firstRow="1" w:lastRow="0" w:firstColumn="0" w:lastColumn="0" w:noHBand="0" w:noVBand="0" w:val="0020"/>
        <w:jc w:val="center"/>
        <w:tblCellMar>
          <w:top w:w="10" w:type="dxa"/>
          <w:left w:w="50" w:type="dxa"/>
          <w:bottom w:w="10" w:type="dxa"/>
          <w:right w:w="50" w:type="dxa"/>
        </w:tblCellMar>
        <w:tblLayout w:type="fixed"/>
      </w:tblPr>
      <w:tblGrid>
        <w:gridCol w:w="2520"/>
        <w:gridCol w:w="2808"/>
        <w:gridCol w:w="648"/>
        <w:gridCol w:w="720"/>
        <w:gridCol w:w="792"/>
        <w:gridCol w:w="648"/>
        <w:gridCol w:w="648"/>
        <w:gridCol w:w="648"/>
        <w:gridCol w:w="648"/>
      </w:tblGrid>
      <w:tr>
        <w:trPr>
          <w:tblHeader w:val="true"/>
          <w:cantSplit/>
        </w:trPr>
        <w:tc>
          <w:tcPr>
            <w:tcW w:type="dxa" w:w="2520"/>
            <w:tcBorders>
              <w:top w:val="single" w:sz="12" w:color="000000" w:space="0"/>
              <w:bottom w:val="single" w:sz="6" w:color="000000" w:space="0"/>
            </w:tcBorders>
          </w:tcPr>
          <w:p>
            <w:pPr>
              <w:pStyle w:val="Compact"/>
              <w:keepNext/>
              <w:spacing w:before="0" w:after="0"/>
              <w:ind w:firstLine="0"/>
              <w:jc w:val="left"/>
            </w:pPr>
            <w:r>
              <w:rPr>
                <w:b/>
                <w:sz w:val="16"/>
              </w:rPr>
              <w:t>Topic</w:t>
            </w:r>
          </w:p>
        </w:tc>
        <w:tc>
          <w:tcPr>
            <w:tcW w:type="dxa" w:w="2808"/>
            <w:tcBorders>
              <w:top w:val="single" w:sz="12" w:color="000000" w:space="0"/>
              <w:bottom w:val="single" w:sz="6" w:color="000000" w:space="0"/>
            </w:tcBorders>
          </w:tcPr>
          <w:p>
            <w:pPr>
              <w:pStyle w:val="Compact"/>
              <w:keepNext/>
              <w:spacing w:before="0" w:after="0"/>
              <w:ind w:firstLine="0"/>
              <w:jc w:val="right"/>
            </w:pPr>
            <w:r>
              <w:rPr>
                <w:b/>
                <w:sz w:val="16"/>
              </w:rPr>
              <w:t>Provision verified</w:t>
            </w:r>
          </w:p>
        </w:tc>
        <w:tc>
          <w:tcPr>
            <w:tcW w:type="dxa" w:w="648"/>
            <w:tcBorders>
              <w:top w:val="single" w:sz="12" w:color="000000" w:space="0"/>
              <w:bottom w:val="single" w:sz="6" w:color="000000" w:space="0"/>
            </w:tcBorders>
          </w:tcPr>
          <w:p>
            <w:pPr>
              <w:pStyle w:val="Compact"/>
              <w:keepNext/>
              <w:spacing w:before="0" w:after="0"/>
              <w:ind w:firstLine="0"/>
              <w:jc w:val="right"/>
            </w:pPr>
            <w:r>
              <w:rPr>
                <w:b/>
                <w:sz w:val="16"/>
              </w:rPr>
              <w:t>Gold</w:t>
            </w:r>
          </w:p>
        </w:tc>
        <w:tc>
          <w:tcPr>
            <w:tcW w:type="dxa" w:w="720"/>
            <w:tcBorders>
              <w:top w:val="single" w:sz="12" w:color="000000" w:space="0"/>
              <w:bottom w:val="single" w:sz="6" w:color="000000" w:space="0"/>
            </w:tcBorders>
          </w:tcPr>
          <w:p>
            <w:pPr>
              <w:pStyle w:val="Compact"/>
              <w:keepNext/>
              <w:spacing w:before="0" w:after="0"/>
              <w:ind w:firstLine="0"/>
              <w:jc w:val="right"/>
            </w:pPr>
            <w:r>
              <w:rPr>
                <w:b/>
                <w:smallCaps/>
                <w:sz w:val="16"/>
              </w:rPr>
              <w:t>en-orig</w:t>
            </w:r>
          </w:p>
        </w:tc>
        <w:tc>
          <w:tcPr>
            <w:tcW w:type="dxa" w:w="792"/>
            <w:tcBorders>
              <w:top w:val="single" w:sz="12" w:color="000000" w:space="0"/>
              <w:bottom w:val="single" w:sz="6" w:color="000000" w:space="0"/>
            </w:tcBorders>
          </w:tcPr>
          <w:p>
            <w:pPr>
              <w:pStyle w:val="Compact"/>
              <w:keepNext/>
              <w:spacing w:before="0" w:after="0"/>
              <w:ind w:firstLine="0"/>
              <w:jc w:val="right"/>
            </w:pPr>
            <w:r>
              <w:rPr>
                <w:b/>
                <w:smallCaps/>
                <w:sz w:val="16"/>
              </w:rPr>
              <w:t>en-match</w:t>
            </w:r>
          </w:p>
        </w:tc>
        <w:tc>
          <w:tcPr>
            <w:tcW w:type="dxa" w:w="648"/>
            <w:tcBorders>
              <w:top w:val="single" w:sz="12" w:color="000000" w:space="0"/>
              <w:bottom w:val="single" w:sz="6" w:color="000000" w:space="0"/>
            </w:tcBorders>
          </w:tcPr>
          <w:p>
            <w:pPr>
              <w:pStyle w:val="Compact"/>
              <w:keepNext/>
              <w:spacing w:before="0" w:after="0"/>
              <w:ind w:firstLine="0"/>
              <w:jc w:val="right"/>
            </w:pPr>
            <w:r>
              <w:rPr>
                <w:b/>
                <w:smallCaps/>
                <w:sz w:val="16"/>
              </w:rPr>
              <w:t>cs-lat</w:t>
            </w:r>
          </w:p>
        </w:tc>
        <w:tc>
          <w:tcPr>
            <w:tcW w:type="dxa" w:w="648"/>
            <w:tcBorders>
              <w:top w:val="single" w:sz="12" w:color="000000" w:space="0"/>
              <w:bottom w:val="single" w:sz="6" w:color="000000" w:space="0"/>
            </w:tcBorders>
          </w:tcPr>
          <w:p>
            <w:pPr>
              <w:pStyle w:val="Compact"/>
              <w:keepNext/>
              <w:spacing w:before="0" w:after="0"/>
              <w:ind w:firstLine="0"/>
              <w:jc w:val="right"/>
            </w:pPr>
            <w:r>
              <w:rPr>
                <w:b/>
                <w:smallCaps/>
                <w:sz w:val="16"/>
              </w:rPr>
              <w:t>roman</w:t>
            </w:r>
          </w:p>
        </w:tc>
        <w:tc>
          <w:tcPr>
            <w:tcW w:type="dxa" w:w="648"/>
            <w:tcBorders>
              <w:top w:val="single" w:sz="12" w:color="000000" w:space="0"/>
              <w:bottom w:val="single" w:sz="6" w:color="000000" w:space="0"/>
            </w:tcBorders>
          </w:tcPr>
          <w:p>
            <w:pPr>
              <w:pStyle w:val="Compact"/>
              <w:keepNext/>
              <w:spacing w:before="0" w:after="0"/>
              <w:ind w:firstLine="0"/>
              <w:jc w:val="right"/>
            </w:pPr>
            <w:r>
              <w:rPr>
                <w:smallCaps/>
              </w:rPr>
              <w:t>native</w:t>
            </w:r>
          </w:p>
        </w:tc>
        <w:tc>
          <w:tcPr>
            <w:tcW w:type="dxa" w:w="648"/>
            <w:tcBorders>
              <w:top w:val="single" w:sz="12" w:color="000000" w:space="0"/>
              <w:bottom w:val="single" w:sz="6" w:color="000000" w:space="0"/>
            </w:tcBorders>
          </w:tcPr>
          <w:p>
            <w:pPr>
              <w:pStyle w:val="Compact"/>
              <w:keepNext/>
              <w:spacing w:before="0" w:after="0"/>
              <w:ind w:firstLine="0"/>
              <w:jc w:val="right"/>
            </w:pPr>
            <w:r>
              <w:rPr>
                <w:smallCaps/>
              </w:rPr>
              <w:t>mixed</w:t>
            </w:r>
          </w:p>
        </w:tc>
      </w:tr>
      <w:tr>
        <w:trPr>
          <w:cantSplit/>
        </w:trPr>
        <w:tc>
          <w:tcPr>
            <w:tcW w:type="dxa" w:w="2520"/>
          </w:tcPr>
          <w:p>
            <w:pPr>
              <w:pStyle w:val="Compact"/>
              <w:keepNext/>
              <w:spacing w:before="0" w:after="0"/>
              <w:ind w:firstLine="0"/>
              <w:jc w:val="left"/>
            </w:pPr>
            <w:r>
              <w:rPr>
                <w:sz w:val="16"/>
              </w:rPr>
              <w:t>Citizenship Amendment Act Cut-off</w:t>
            </w:r>
          </w:p>
        </w:tc>
        <w:tc>
          <w:tcPr>
            <w:tcW w:type="dxa" w:w="2808"/>
          </w:tcPr>
          <w:p>
            <w:pPr>
              <w:pStyle w:val="Compact"/>
              <w:keepNext/>
              <w:spacing w:before="0" w:after="0"/>
              <w:ind w:firstLine="0"/>
              <w:jc w:val="right"/>
            </w:pPr>
            <w:r>
              <w:rPr>
                <w:sz w:val="16"/>
              </w:rPr>
              <w:t>Citizenship (Amendment) Act 2019, s. 2</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1</w:t>
            </w:r>
          </w:p>
        </w:tc>
        <w:tc>
          <w:tcPr>
            <w:tcW w:type="dxa" w:w="648"/>
          </w:tcPr>
          <w:p>
            <w:pPr>
              <w:pStyle w:val="Compact"/>
              <w:keepNext/>
              <w:spacing w:before="0" w:after="0"/>
              <w:ind w:firstLine="0"/>
              <w:jc w:val="right"/>
            </w:pPr>
            <w:r>
              <w:rPr>
                <w:sz w:val="16"/>
              </w:rPr>
              <w:t>3</w:t>
            </w:r>
          </w:p>
        </w:tc>
        <w:tc>
          <w:tcPr>
            <w:tcW w:type="dxa" w:w="648"/>
          </w:tcPr>
          <w:p>
            <w:pPr>
              <w:pStyle w:val="Compact"/>
              <w:keepNext/>
              <w:spacing w:before="0" w:after="0"/>
              <w:ind w:firstLine="0"/>
              <w:jc w:val="right"/>
            </w:pPr>
            <w:r>
              <w:t>4</w:t>
            </w:r>
          </w:p>
        </w:tc>
        <w:tc>
          <w:tcPr>
            <w:tcW w:type="dxa" w:w="648"/>
          </w:tcPr>
          <w:p>
            <w:pPr>
              <w:pStyle w:val="Compact"/>
              <w:keepNext/>
              <w:spacing w:before="0" w:after="0"/>
              <w:ind w:firstLine="0"/>
              <w:jc w:val="right"/>
            </w:pPr>
            <w:r>
              <w:t>2</w:t>
            </w:r>
          </w:p>
        </w:tc>
      </w:tr>
      <w:tr>
        <w:trPr>
          <w:cantSplit/>
        </w:trPr>
        <w:tc>
          <w:tcPr>
            <w:tcW w:type="dxa" w:w="2520"/>
          </w:tcPr>
          <w:p>
            <w:pPr>
              <w:pStyle w:val="Compact"/>
              <w:keepNext/>
              <w:spacing w:before="0" w:after="0"/>
              <w:ind w:firstLine="0"/>
              <w:jc w:val="left"/>
            </w:pPr>
            <w:r>
              <w:rPr>
                <w:sz w:val="16"/>
              </w:rPr>
              <w:t>Companies Act CSR Mandate</w:t>
            </w:r>
          </w:p>
        </w:tc>
        <w:tc>
          <w:tcPr>
            <w:tcW w:type="dxa" w:w="2808"/>
          </w:tcPr>
          <w:p>
            <w:pPr>
              <w:pStyle w:val="Compact"/>
              <w:keepNext/>
              <w:spacing w:before="0" w:after="0"/>
              <w:ind w:firstLine="0"/>
              <w:jc w:val="right"/>
            </w:pPr>
            <w:r>
              <w:rPr>
                <w:sz w:val="16"/>
              </w:rPr>
              <w:t>Companies Act 2013, s. 135(1)</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3</w:t>
            </w:r>
          </w:p>
        </w:tc>
        <w:tc>
          <w:tcPr>
            <w:tcW w:type="dxa" w:w="648"/>
          </w:tcPr>
          <w:p>
            <w:pPr>
              <w:pStyle w:val="Compact"/>
              <w:keepNext/>
              <w:spacing w:before="0" w:after="0"/>
              <w:ind w:firstLine="0"/>
              <w:jc w:val="right"/>
            </w:pPr>
            <w:r>
              <w:rPr>
                <w:sz w:val="16"/>
              </w:rPr>
              <w:t>2</w:t>
            </w:r>
          </w:p>
        </w:tc>
        <w:tc>
          <w:tcPr>
            <w:tcW w:type="dxa" w:w="648"/>
          </w:tcPr>
          <w:p>
            <w:pPr>
              <w:pStyle w:val="Compact"/>
              <w:keepNext/>
              <w:spacing w:before="0" w:after="0"/>
              <w:ind w:firstLine="0"/>
              <w:jc w:val="right"/>
            </w:pPr>
            <w:r>
              <w:t>0</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Covaxin vs Covishield</w:t>
            </w:r>
          </w:p>
        </w:tc>
        <w:tc>
          <w:tcPr>
            <w:tcW w:type="dxa" w:w="2808"/>
          </w:tcPr>
          <w:p>
            <w:pPr>
              <w:pStyle w:val="Compact"/>
              <w:keepNext/>
              <w:spacing w:before="0" w:after="0"/>
              <w:ind w:firstLine="0"/>
              <w:jc w:val="right"/>
            </w:pPr>
            <w:r>
              <w:rPr>
                <w:sz w:val="16"/>
              </w:rPr>
              <w:t>CDSCO approvals, Jan. 2021</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4</w:t>
            </w:r>
          </w:p>
        </w:tc>
        <w:tc>
          <w:tcPr>
            <w:tcW w:type="dxa" w:w="648"/>
          </w:tcPr>
          <w:p>
            <w:pPr>
              <w:pStyle w:val="Compact"/>
              <w:keepNext/>
              <w:spacing w:before="0" w:after="0"/>
              <w:ind w:firstLine="0"/>
              <w:jc w:val="right"/>
            </w:pPr>
            <w:r>
              <w:t>2</w:t>
            </w:r>
          </w:p>
        </w:tc>
        <w:tc>
          <w:tcPr>
            <w:tcW w:type="dxa" w:w="648"/>
          </w:tcPr>
          <w:p>
            <w:pPr>
              <w:pStyle w:val="Compact"/>
              <w:keepNext/>
              <w:spacing w:before="0" w:after="0"/>
              <w:ind w:firstLine="0"/>
              <w:jc w:val="right"/>
            </w:pPr>
            <w:r>
              <w:t>4</w:t>
            </w:r>
          </w:p>
        </w:tc>
      </w:tr>
      <w:tr>
        <w:trPr>
          <w:cantSplit/>
        </w:trPr>
        <w:tc>
          <w:tcPr>
            <w:tcW w:type="dxa" w:w="2520"/>
          </w:tcPr>
          <w:p>
            <w:pPr>
              <w:pStyle w:val="Compact"/>
              <w:keepNext/>
              <w:spacing w:before="0" w:after="0"/>
              <w:ind w:firstLine="0"/>
              <w:jc w:val="left"/>
            </w:pPr>
            <w:r>
              <w:rPr>
                <w:sz w:val="16"/>
              </w:rPr>
              <w:t>GST Registration Exemption</w:t>
            </w:r>
          </w:p>
        </w:tc>
        <w:tc>
          <w:tcPr>
            <w:tcW w:type="dxa" w:w="2808"/>
          </w:tcPr>
          <w:p>
            <w:pPr>
              <w:pStyle w:val="Compact"/>
              <w:keepNext/>
              <w:spacing w:before="0" w:after="0"/>
              <w:ind w:firstLine="0"/>
              <w:jc w:val="right"/>
            </w:pPr>
            <w:r>
              <w:rPr>
                <w:sz w:val="16"/>
              </w:rPr>
              <w:t>CGST Act s. 22; Notif. 10/2019-CT</w:t>
            </w:r>
          </w:p>
        </w:tc>
        <w:tc>
          <w:tcPr>
            <w:tcW w:type="dxa" w:w="648"/>
          </w:tcPr>
          <w:p>
            <w:pPr>
              <w:pStyle w:val="Compact"/>
              <w:keepNext/>
              <w:spacing w:before="0" w:after="0"/>
              <w:ind w:firstLine="0"/>
              <w:jc w:val="right"/>
            </w:pPr>
            <w:r>
              <w:rPr>
                <w:sz w:val="16"/>
              </w:rPr>
              <w:t>narrow</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4</w:t>
            </w:r>
          </w:p>
        </w:tc>
        <w:tc>
          <w:tcPr>
            <w:tcW w:type="dxa" w:w="648"/>
          </w:tcPr>
          <w:p>
            <w:pPr>
              <w:pStyle w:val="Compact"/>
              <w:keepNext/>
              <w:spacing w:before="0" w:after="0"/>
              <w:ind w:firstLine="0"/>
              <w:jc w:val="right"/>
            </w:pPr>
            <w:r>
              <w:rPr>
                <w:sz w:val="16"/>
              </w:rPr>
              <w:t>2</w:t>
            </w:r>
          </w:p>
        </w:tc>
        <w:tc>
          <w:tcPr>
            <w:tcW w:type="dxa" w:w="648"/>
          </w:tcPr>
          <w:p>
            <w:pPr>
              <w:pStyle w:val="Compact"/>
              <w:keepNext/>
              <w:spacing w:before="0" w:after="0"/>
              <w:ind w:firstLine="0"/>
              <w:jc w:val="right"/>
            </w:pPr>
            <w:r>
              <w:t>4</w:t>
            </w:r>
          </w:p>
        </w:tc>
        <w:tc>
          <w:tcPr>
            <w:tcW w:type="dxa" w:w="648"/>
          </w:tcPr>
          <w:p>
            <w:pPr>
              <w:pStyle w:val="Compact"/>
              <w:keepNext/>
              <w:spacing w:before="0" w:after="0"/>
              <w:ind w:firstLine="0"/>
              <w:jc w:val="right"/>
            </w:pPr>
            <w:r>
              <w:t>1</w:t>
            </w:r>
          </w:p>
        </w:tc>
      </w:tr>
      <w:tr>
        <w:trPr>
          <w:cantSplit/>
        </w:trPr>
        <w:tc>
          <w:tcPr>
            <w:tcW w:type="dxa" w:w="2520"/>
          </w:tcPr>
          <w:p>
            <w:pPr>
              <w:pStyle w:val="Compact"/>
              <w:keepNext/>
              <w:spacing w:before="0" w:after="0"/>
              <w:ind w:firstLine="0"/>
              <w:jc w:val="left"/>
            </w:pPr>
            <w:r>
              <w:rPr>
                <w:sz w:val="16"/>
              </w:rPr>
              <w:t>ISRO PSLV vs GSLV Mk III</w:t>
            </w:r>
          </w:p>
        </w:tc>
        <w:tc>
          <w:tcPr>
            <w:tcW w:type="dxa" w:w="2808"/>
          </w:tcPr>
          <w:p>
            <w:pPr>
              <w:pStyle w:val="Compact"/>
              <w:keepNext/>
              <w:spacing w:before="0" w:after="0"/>
              <w:ind w:firstLine="0"/>
              <w:jc w:val="right"/>
            </w:pPr>
            <w:r>
              <w:rPr>
                <w:sz w:val="16"/>
              </w:rPr>
              <w:t>ISRO launcher specifications</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2</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t>1</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Kharif vs Rabi Rice</w:t>
            </w:r>
          </w:p>
        </w:tc>
        <w:tc>
          <w:tcPr>
            <w:tcW w:type="dxa" w:w="2808"/>
          </w:tcPr>
          <w:p>
            <w:pPr>
              <w:pStyle w:val="Compact"/>
              <w:keepNext/>
              <w:spacing w:before="0" w:after="0"/>
              <w:ind w:firstLine="0"/>
              <w:jc w:val="right"/>
            </w:pPr>
            <w:r>
              <w:rPr>
                <w:sz w:val="16"/>
              </w:rPr>
              <w:t>ICAR crop-season references</w:t>
            </w:r>
          </w:p>
        </w:tc>
        <w:tc>
          <w:tcPr>
            <w:tcW w:type="dxa" w:w="648"/>
          </w:tcPr>
          <w:p>
            <w:pPr>
              <w:pStyle w:val="Compact"/>
              <w:keepNext/>
              <w:spacing w:before="0" w:after="0"/>
              <w:ind w:firstLine="0"/>
              <w:jc w:val="right"/>
            </w:pPr>
            <w:r>
              <w:rPr>
                <w:sz w:val="16"/>
              </w:rPr>
              <w:t>simpl.</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4</w:t>
            </w:r>
          </w:p>
        </w:tc>
        <w:tc>
          <w:tcPr>
            <w:tcW w:type="dxa" w:w="648"/>
          </w:tcPr>
          <w:p>
            <w:pPr>
              <w:pStyle w:val="Compact"/>
              <w:keepNext/>
              <w:spacing w:before="0" w:after="0"/>
              <w:ind w:firstLine="0"/>
              <w:jc w:val="right"/>
            </w:pPr>
            <w:r>
              <w:t>4</w:t>
            </w:r>
          </w:p>
        </w:tc>
        <w:tc>
          <w:tcPr>
            <w:tcW w:type="dxa" w:w="648"/>
          </w:tcPr>
          <w:p>
            <w:pPr>
              <w:pStyle w:val="Compact"/>
              <w:keepNext/>
              <w:spacing w:before="0" w:after="0"/>
              <w:ind w:firstLine="0"/>
              <w:jc w:val="right"/>
            </w:pPr>
            <w:r>
              <w:t>4</w:t>
            </w:r>
          </w:p>
        </w:tc>
      </w:tr>
      <w:tr>
        <w:trPr>
          <w:cantSplit/>
        </w:trPr>
        <w:tc>
          <w:tcPr>
            <w:tcW w:type="dxa" w:w="2520"/>
          </w:tcPr>
          <w:p>
            <w:pPr>
              <w:pStyle w:val="Compact"/>
              <w:keepNext/>
              <w:spacing w:before="0" w:after="0"/>
              <w:ind w:firstLine="0"/>
              <w:jc w:val="left"/>
            </w:pPr>
            <w:r>
              <w:rPr>
                <w:sz w:val="16"/>
              </w:rPr>
              <w:t>Lok Sabha vs Rajya Sabha Money Bill</w:t>
            </w:r>
          </w:p>
        </w:tc>
        <w:tc>
          <w:tcPr>
            <w:tcW w:type="dxa" w:w="2808"/>
          </w:tcPr>
          <w:p>
            <w:pPr>
              <w:pStyle w:val="Compact"/>
              <w:keepNext/>
              <w:spacing w:before="0" w:after="0"/>
              <w:ind w:firstLine="0"/>
              <w:jc w:val="right"/>
            </w:pPr>
            <w:r>
              <w:rPr>
                <w:sz w:val="16"/>
              </w:rPr>
              <w:t>Constitution, Arts. 109–110</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2</w:t>
            </w:r>
          </w:p>
        </w:tc>
        <w:tc>
          <w:tcPr>
            <w:tcW w:type="dxa" w:w="648"/>
          </w:tcPr>
          <w:p>
            <w:pPr>
              <w:pStyle w:val="Compact"/>
              <w:keepNext/>
              <w:spacing w:before="0" w:after="0"/>
              <w:ind w:firstLine="0"/>
              <w:jc w:val="right"/>
            </w:pPr>
            <w:r>
              <w:rPr>
                <w:sz w:val="16"/>
              </w:rPr>
              <w:t>3</w:t>
            </w:r>
          </w:p>
        </w:tc>
        <w:tc>
          <w:tcPr>
            <w:tcW w:type="dxa" w:w="648"/>
          </w:tcPr>
          <w:p>
            <w:pPr>
              <w:pStyle w:val="Compact"/>
              <w:keepNext/>
              <w:spacing w:before="0" w:after="0"/>
              <w:ind w:firstLine="0"/>
              <w:jc w:val="right"/>
            </w:pPr>
            <w:r>
              <w:t>3</w:t>
            </w:r>
          </w:p>
        </w:tc>
        <w:tc>
          <w:tcPr>
            <w:tcW w:type="dxa" w:w="648"/>
          </w:tcPr>
          <w:p>
            <w:pPr>
              <w:pStyle w:val="Compact"/>
              <w:keepNext/>
              <w:spacing w:before="0" w:after="0"/>
              <w:ind w:firstLine="0"/>
              <w:jc w:val="right"/>
            </w:pPr>
            <w:r>
              <w:t>3</w:t>
            </w:r>
          </w:p>
        </w:tc>
      </w:tr>
      <w:tr>
        <w:trPr>
          <w:cantSplit/>
        </w:trPr>
        <w:tc>
          <w:tcPr>
            <w:tcW w:type="dxa" w:w="2520"/>
          </w:tcPr>
          <w:p>
            <w:pPr>
              <w:pStyle w:val="Compact"/>
              <w:keepNext/>
              <w:spacing w:before="0" w:after="0"/>
              <w:ind w:firstLine="0"/>
              <w:jc w:val="left"/>
            </w:pPr>
            <w:r>
              <w:rPr>
                <w:sz w:val="16"/>
              </w:rPr>
              <w:t>National Park vs Wildlife Sanctuary</w:t>
            </w:r>
          </w:p>
        </w:tc>
        <w:tc>
          <w:tcPr>
            <w:tcW w:type="dxa" w:w="2808"/>
          </w:tcPr>
          <w:p>
            <w:pPr>
              <w:pStyle w:val="Compact"/>
              <w:keepNext/>
              <w:spacing w:before="0" w:after="0"/>
              <w:ind w:firstLine="0"/>
              <w:jc w:val="right"/>
            </w:pPr>
            <w:r>
              <w:rPr>
                <w:sz w:val="16"/>
              </w:rPr>
              <w:t>Wild Life (Protection) Act 1972, ss. 33, 35</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3</w:t>
            </w:r>
          </w:p>
        </w:tc>
        <w:tc>
          <w:tcPr>
            <w:tcW w:type="dxa" w:w="648"/>
          </w:tcPr>
          <w:p>
            <w:pPr>
              <w:pStyle w:val="Compact"/>
              <w:keepNext/>
              <w:spacing w:before="0" w:after="0"/>
              <w:ind w:firstLine="0"/>
              <w:jc w:val="right"/>
            </w:pPr>
            <w:r>
              <w:rPr>
                <w:sz w:val="16"/>
              </w:rPr>
              <w:t>2</w:t>
            </w:r>
          </w:p>
        </w:tc>
        <w:tc>
          <w:tcPr>
            <w:tcW w:type="dxa" w:w="648"/>
          </w:tcPr>
          <w:p>
            <w:pPr>
              <w:pStyle w:val="Compact"/>
              <w:keepNext/>
              <w:spacing w:before="0" w:after="0"/>
              <w:ind w:firstLine="0"/>
              <w:jc w:val="right"/>
            </w:pPr>
            <w:r>
              <w:t>2</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Patents Act Compulsory License</w:t>
            </w:r>
          </w:p>
        </w:tc>
        <w:tc>
          <w:tcPr>
            <w:tcW w:type="dxa" w:w="2808"/>
          </w:tcPr>
          <w:p>
            <w:pPr>
              <w:pStyle w:val="Compact"/>
              <w:keepNext/>
              <w:spacing w:before="0" w:after="0"/>
              <w:ind w:firstLine="0"/>
              <w:jc w:val="right"/>
            </w:pPr>
            <w:r>
              <w:rPr>
                <w:sz w:val="16"/>
              </w:rPr>
              <w:t>Patents Act 1970, s. 84(1)</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3</w:t>
            </w:r>
          </w:p>
        </w:tc>
        <w:tc>
          <w:tcPr>
            <w:tcW w:type="dxa" w:w="648"/>
          </w:tcPr>
          <w:p>
            <w:pPr>
              <w:pStyle w:val="Compact"/>
              <w:keepNext/>
              <w:spacing w:before="0" w:after="0"/>
              <w:ind w:firstLine="0"/>
              <w:jc w:val="right"/>
            </w:pPr>
            <w:r>
              <w:rPr>
                <w:sz w:val="16"/>
              </w:rPr>
              <w:t>3</w:t>
            </w:r>
          </w:p>
        </w:tc>
        <w:tc>
          <w:tcPr>
            <w:tcW w:type="dxa" w:w="648"/>
          </w:tcPr>
          <w:p>
            <w:pPr>
              <w:pStyle w:val="Compact"/>
              <w:keepNext/>
              <w:spacing w:before="0" w:after="0"/>
              <w:ind w:firstLine="0"/>
              <w:jc w:val="right"/>
            </w:pPr>
            <w:r>
              <w:t>3</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SEBI Insider Trading Pre-Clearance</w:t>
            </w:r>
          </w:p>
        </w:tc>
        <w:tc>
          <w:tcPr>
            <w:tcW w:type="dxa" w:w="2808"/>
          </w:tcPr>
          <w:p>
            <w:pPr>
              <w:pStyle w:val="Compact"/>
              <w:keepNext/>
              <w:spacing w:before="0" w:after="0"/>
              <w:ind w:firstLine="0"/>
              <w:jc w:val="right"/>
            </w:pPr>
            <w:r>
              <w:rPr>
                <w:sz w:val="16"/>
              </w:rPr>
              <w:t>SEBI PIT Regulations 2015, Sch. B</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4</w:t>
            </w:r>
          </w:p>
        </w:tc>
        <w:tc>
          <w:tcPr>
            <w:tcW w:type="dxa" w:w="648"/>
          </w:tcPr>
          <w:p>
            <w:pPr>
              <w:pStyle w:val="Compact"/>
              <w:keepNext/>
              <w:spacing w:before="0" w:after="0"/>
              <w:ind w:firstLine="0"/>
              <w:jc w:val="right"/>
            </w:pPr>
            <w:r>
              <w:rPr>
                <w:sz w:val="16"/>
              </w:rPr>
              <w:t>2</w:t>
            </w:r>
          </w:p>
        </w:tc>
        <w:tc>
          <w:tcPr>
            <w:tcW w:type="dxa" w:w="648"/>
          </w:tcPr>
          <w:p>
            <w:pPr>
              <w:pStyle w:val="Compact"/>
              <w:keepNext/>
              <w:spacing w:before="0" w:after="0"/>
              <w:ind w:firstLine="0"/>
              <w:jc w:val="right"/>
            </w:pPr>
            <w:r>
              <w:t>1</w:t>
            </w:r>
          </w:p>
        </w:tc>
        <w:tc>
          <w:tcPr>
            <w:tcW w:type="dxa" w:w="648"/>
          </w:tcPr>
          <w:p>
            <w:pPr>
              <w:pStyle w:val="Compact"/>
              <w:keepNext/>
              <w:spacing w:before="0" w:after="0"/>
              <w:ind w:firstLine="0"/>
              <w:jc w:val="right"/>
            </w:pPr>
            <w:r>
              <w:t>1</w:t>
            </w:r>
          </w:p>
        </w:tc>
      </w:tr>
      <w:tr>
        <w:trPr>
          <w:cantSplit/>
        </w:trPr>
        <w:tc>
          <w:tcPr>
            <w:tcW w:type="dxa" w:w="2520"/>
          </w:tcPr>
          <w:p>
            <w:pPr>
              <w:pStyle w:val="Compact"/>
              <w:keepNext/>
              <w:spacing w:before="0" w:after="0"/>
              <w:ind w:firstLine="0"/>
              <w:jc w:val="left"/>
            </w:pPr>
            <w:r>
              <w:rPr>
                <w:sz w:val="16"/>
              </w:rPr>
              <w:t>Arbitration Act Time Limit</w:t>
            </w:r>
          </w:p>
        </w:tc>
        <w:tc>
          <w:tcPr>
            <w:tcW w:type="dxa" w:w="2808"/>
          </w:tcPr>
          <w:p>
            <w:pPr>
              <w:pStyle w:val="Compact"/>
              <w:keepNext/>
              <w:spacing w:before="0" w:after="0"/>
              <w:ind w:firstLine="0"/>
              <w:jc w:val="right"/>
            </w:pPr>
            <w:r>
              <w:rPr>
                <w:sz w:val="16"/>
              </w:rPr>
              <w:t>Arbitration Act 1996, s. 29A</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0</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1</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t>0</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PMFBY vs WBCIS</w:t>
            </w:r>
          </w:p>
        </w:tc>
        <w:tc>
          <w:tcPr>
            <w:tcW w:type="dxa" w:w="2808"/>
          </w:tcPr>
          <w:p>
            <w:pPr>
              <w:pStyle w:val="Compact"/>
              <w:keepNext/>
              <w:spacing w:before="0" w:after="0"/>
              <w:ind w:firstLine="0"/>
              <w:jc w:val="right"/>
            </w:pPr>
            <w:r>
              <w:rPr>
                <w:sz w:val="16"/>
              </w:rPr>
              <w:t>PMFBY/RWBCIS operational guidelines</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0</w:t>
            </w:r>
          </w:p>
        </w:tc>
        <w:tc>
          <w:tcPr>
            <w:tcW w:type="dxa" w:w="792"/>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t>0</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Classical Tamil vs Sanskrit Grammar</w:t>
            </w:r>
          </w:p>
        </w:tc>
        <w:tc>
          <w:tcPr>
            <w:tcW w:type="dxa" w:w="2808"/>
          </w:tcPr>
          <w:p>
            <w:pPr>
              <w:pStyle w:val="Compact"/>
              <w:keepNext/>
              <w:spacing w:before="0" w:after="0"/>
              <w:ind w:firstLine="0"/>
              <w:jc w:val="right"/>
            </w:pPr>
            <w:r>
              <w:rPr>
                <w:sz w:val="16"/>
              </w:rPr>
              <w:t>Philological references</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3</w:t>
            </w:r>
          </w:p>
        </w:tc>
        <w:tc>
          <w:tcPr>
            <w:tcW w:type="dxa" w:w="648"/>
          </w:tcPr>
          <w:p>
            <w:pPr>
              <w:pStyle w:val="Compact"/>
              <w:keepNext/>
              <w:spacing w:before="0" w:after="0"/>
              <w:ind w:firstLine="0"/>
              <w:jc w:val="right"/>
            </w:pPr>
            <w:r>
              <w:rPr>
                <w:sz w:val="16"/>
              </w:rPr>
              <w:t>1</w:t>
            </w:r>
          </w:p>
        </w:tc>
        <w:tc>
          <w:tcPr>
            <w:tcW w:type="dxa" w:w="648"/>
          </w:tcPr>
          <w:p>
            <w:pPr>
              <w:pStyle w:val="Compact"/>
              <w:keepNext/>
              <w:spacing w:before="0" w:after="0"/>
              <w:ind w:firstLine="0"/>
              <w:jc w:val="right"/>
            </w:pPr>
            <w:r>
              <w:t>0</w:t>
            </w:r>
          </w:p>
        </w:tc>
        <w:tc>
          <w:tcPr>
            <w:tcW w:type="dxa" w:w="648"/>
          </w:tcPr>
          <w:p>
            <w:pPr>
              <w:pStyle w:val="Compact"/>
              <w:keepNext/>
              <w:spacing w:before="0" w:after="0"/>
              <w:ind w:firstLine="0"/>
              <w:jc w:val="right"/>
            </w:pPr>
            <w:r>
              <w:t>3</w:t>
            </w:r>
          </w:p>
        </w:tc>
      </w:tr>
      <w:tr>
        <w:trPr>
          <w:cantSplit/>
        </w:trPr>
        <w:tc>
          <w:tcPr>
            <w:tcW w:type="dxa" w:w="2520"/>
          </w:tcPr>
          <w:p>
            <w:pPr>
              <w:pStyle w:val="Compact"/>
              <w:keepNext/>
              <w:spacing w:before="0" w:after="0"/>
              <w:ind w:firstLine="0"/>
              <w:jc w:val="left"/>
            </w:pPr>
            <w:r>
              <w:rPr>
                <w:sz w:val="16"/>
              </w:rPr>
              <w:t>Medical Termination of Pregnancy Act</w:t>
            </w:r>
          </w:p>
        </w:tc>
        <w:tc>
          <w:tcPr>
            <w:tcW w:type="dxa" w:w="2808"/>
          </w:tcPr>
          <w:p>
            <w:pPr>
              <w:pStyle w:val="Compact"/>
              <w:keepNext/>
              <w:spacing w:before="0" w:after="0"/>
              <w:ind w:firstLine="0"/>
              <w:jc w:val="right"/>
            </w:pPr>
            <w:r>
              <w:rPr>
                <w:sz w:val="16"/>
              </w:rPr>
              <w:t>MTP Act 1971 (am. 2021), s. 3(2)</w:t>
            </w:r>
          </w:p>
        </w:tc>
        <w:tc>
          <w:tcPr>
            <w:tcW w:type="dxa" w:w="648"/>
          </w:tcPr>
          <w:p>
            <w:pPr>
              <w:pStyle w:val="Compact"/>
              <w:keepNext/>
              <w:spacing w:before="0" w:after="0"/>
              <w:ind w:firstLine="0"/>
              <w:jc w:val="right"/>
            </w:pPr>
            <w:r>
              <w:rPr>
                <w:sz w:val="16"/>
              </w:rPr>
              <w:t>narrow</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1</w:t>
            </w:r>
          </w:p>
        </w:tc>
        <w:tc>
          <w:tcPr>
            <w:tcW w:type="dxa" w:w="648"/>
          </w:tcPr>
          <w:p>
            <w:pPr>
              <w:pStyle w:val="Compact"/>
              <w:keepNext/>
              <w:spacing w:before="0" w:after="0"/>
              <w:ind w:firstLine="0"/>
              <w:jc w:val="right"/>
            </w:pPr>
            <w:r>
              <w:t>0</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NEFT vs RTGS</w:t>
            </w:r>
          </w:p>
        </w:tc>
        <w:tc>
          <w:tcPr>
            <w:tcW w:type="dxa" w:w="2808"/>
          </w:tcPr>
          <w:p>
            <w:pPr>
              <w:pStyle w:val="Compact"/>
              <w:keepNext/>
              <w:spacing w:before="0" w:after="0"/>
              <w:ind w:firstLine="0"/>
              <w:jc w:val="right"/>
            </w:pPr>
            <w:r>
              <w:rPr>
                <w:sz w:val="16"/>
              </w:rPr>
              <w:t>RBI NEFT/RTGS directions</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4</w:t>
            </w:r>
          </w:p>
        </w:tc>
        <w:tc>
          <w:tcPr>
            <w:tcW w:type="dxa" w:w="648"/>
          </w:tcPr>
          <w:p>
            <w:pPr>
              <w:pStyle w:val="Compact"/>
              <w:keepNext/>
              <w:spacing w:before="0" w:after="0"/>
              <w:ind w:firstLine="0"/>
              <w:jc w:val="right"/>
            </w:pPr>
            <w:r>
              <w:rPr>
                <w:sz w:val="16"/>
              </w:rPr>
              <w:t>5</w:t>
            </w:r>
          </w:p>
        </w:tc>
        <w:tc>
          <w:tcPr>
            <w:tcW w:type="dxa" w:w="648"/>
          </w:tcPr>
          <w:p>
            <w:pPr>
              <w:pStyle w:val="Compact"/>
              <w:keepNext/>
              <w:spacing w:before="0" w:after="0"/>
              <w:ind w:firstLine="0"/>
              <w:jc w:val="right"/>
            </w:pPr>
            <w:r>
              <w:t>4</w:t>
            </w:r>
          </w:p>
        </w:tc>
        <w:tc>
          <w:tcPr>
            <w:tcW w:type="dxa" w:w="648"/>
          </w:tcPr>
          <w:p>
            <w:pPr>
              <w:pStyle w:val="Compact"/>
              <w:keepNext/>
              <w:spacing w:before="0" w:after="0"/>
              <w:ind w:firstLine="0"/>
              <w:jc w:val="right"/>
            </w:pPr>
            <w:r>
              <w:t>4</w:t>
            </w:r>
          </w:p>
        </w:tc>
      </w:tr>
      <w:tr>
        <w:trPr>
          <w:cantSplit/>
        </w:trPr>
        <w:tc>
          <w:tcPr>
            <w:tcW w:type="dxa" w:w="2520"/>
          </w:tcPr>
          <w:p>
            <w:pPr>
              <w:pStyle w:val="Compact"/>
              <w:keepNext/>
              <w:spacing w:before="0" w:after="0"/>
              <w:ind w:firstLine="0"/>
              <w:jc w:val="left"/>
            </w:pPr>
            <w:r>
              <w:rPr>
                <w:sz w:val="16"/>
              </w:rPr>
              <w:t>RTI Third Party Information</w:t>
            </w:r>
          </w:p>
        </w:tc>
        <w:tc>
          <w:tcPr>
            <w:tcW w:type="dxa" w:w="2808"/>
          </w:tcPr>
          <w:p>
            <w:pPr>
              <w:pStyle w:val="Compact"/>
              <w:keepNext/>
              <w:spacing w:before="0" w:after="0"/>
              <w:ind w:firstLine="0"/>
              <w:jc w:val="right"/>
            </w:pPr>
            <w:r>
              <w:rPr>
                <w:sz w:val="16"/>
              </w:rPr>
              <w:t>RTI Act 2005, s. 11(1)</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5</w:t>
            </w:r>
          </w:p>
        </w:tc>
        <w:tc>
          <w:tcPr>
            <w:tcW w:type="dxa" w:w="792"/>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1</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t>0</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Environment Clearance Public Hearing</w:t>
            </w:r>
          </w:p>
        </w:tc>
        <w:tc>
          <w:tcPr>
            <w:tcW w:type="dxa" w:w="2808"/>
          </w:tcPr>
          <w:p>
            <w:pPr>
              <w:pStyle w:val="Compact"/>
              <w:keepNext/>
              <w:spacing w:before="0" w:after="0"/>
              <w:ind w:firstLine="0"/>
              <w:jc w:val="right"/>
            </w:pPr>
            <w:r>
              <w:rPr>
                <w:sz w:val="16"/>
              </w:rPr>
              <w:t>EIA Notification 2006, para. 7</w:t>
            </w:r>
          </w:p>
        </w:tc>
        <w:tc>
          <w:tcPr>
            <w:tcW w:type="dxa" w:w="648"/>
          </w:tcPr>
          <w:p>
            <w:pPr>
              <w:pStyle w:val="Compact"/>
              <w:keepNext/>
              <w:spacing w:before="0" w:after="0"/>
              <w:ind w:firstLine="0"/>
              <w:jc w:val="right"/>
            </w:pPr>
            <w:r>
              <w:rPr>
                <w:sz w:val="16"/>
              </w:rPr>
              <w:t>narrow</w:t>
            </w:r>
          </w:p>
        </w:tc>
        <w:tc>
          <w:tcPr>
            <w:tcW w:type="dxa" w:w="720"/>
          </w:tcPr>
          <w:p>
            <w:pPr>
              <w:pStyle w:val="Compact"/>
              <w:keepNext/>
              <w:spacing w:before="0" w:after="0"/>
              <w:ind w:firstLine="0"/>
              <w:jc w:val="right"/>
            </w:pPr>
            <w:r>
              <w:rPr>
                <w:sz w:val="16"/>
              </w:rPr>
              <w:t>0</w:t>
            </w:r>
          </w:p>
        </w:tc>
        <w:tc>
          <w:tcPr>
            <w:tcW w:type="dxa" w:w="792"/>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t>0</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IBC Section 7 Default Threshold</w:t>
            </w:r>
          </w:p>
        </w:tc>
        <w:tc>
          <w:tcPr>
            <w:tcW w:type="dxa" w:w="2808"/>
          </w:tcPr>
          <w:p>
            <w:pPr>
              <w:pStyle w:val="Compact"/>
              <w:keepNext/>
              <w:spacing w:before="0" w:after="0"/>
              <w:ind w:firstLine="0"/>
              <w:jc w:val="right"/>
            </w:pPr>
            <w:r>
              <w:rPr>
                <w:sz w:val="16"/>
              </w:rPr>
              <w:t>IBC 2016, s. 4 (₹1 crore from 2020)</w:t>
            </w:r>
          </w:p>
        </w:tc>
        <w:tc>
          <w:tcPr>
            <w:tcW w:type="dxa" w:w="648"/>
          </w:tcPr>
          <w:p>
            <w:pPr>
              <w:pStyle w:val="Compact"/>
              <w:keepNext/>
              <w:spacing w:before="0" w:after="0"/>
              <w:ind w:firstLine="0"/>
              <w:jc w:val="right"/>
            </w:pPr>
            <w:r>
              <w:rPr>
                <w:sz w:val="16"/>
              </w:rPr>
              <w:t>ok</w:t>
            </w:r>
          </w:p>
        </w:tc>
        <w:tc>
          <w:tcPr>
            <w:tcW w:type="dxa" w:w="720"/>
          </w:tcPr>
          <w:p>
            <w:pPr>
              <w:pStyle w:val="Compact"/>
              <w:keepNext/>
              <w:spacing w:before="0" w:after="0"/>
              <w:ind w:firstLine="0"/>
              <w:jc w:val="right"/>
            </w:pPr>
            <w:r>
              <w:rPr>
                <w:sz w:val="16"/>
              </w:rPr>
              <w:t>0</w:t>
            </w:r>
          </w:p>
        </w:tc>
        <w:tc>
          <w:tcPr>
            <w:tcW w:type="dxa" w:w="792"/>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t>0</w:t>
            </w:r>
          </w:p>
        </w:tc>
        <w:tc>
          <w:tcPr>
            <w:tcW w:type="dxa" w:w="648"/>
          </w:tcPr>
          <w:p>
            <w:pPr>
              <w:pStyle w:val="Compact"/>
              <w:keepNext/>
              <w:spacing w:before="0" w:after="0"/>
              <w:ind w:firstLine="0"/>
              <w:jc w:val="right"/>
            </w:pPr>
            <w:r>
              <w:t>0</w:t>
            </w:r>
          </w:p>
        </w:tc>
      </w:tr>
      <w:tr>
        <w:trPr>
          <w:cantSplit/>
        </w:trPr>
        <w:tc>
          <w:tcPr>
            <w:tcW w:type="dxa" w:w="2520"/>
          </w:tcPr>
          <w:p>
            <w:pPr>
              <w:pStyle w:val="Compact"/>
              <w:keepNext/>
              <w:spacing w:before="0" w:after="0"/>
              <w:ind w:firstLine="0"/>
              <w:jc w:val="left"/>
            </w:pPr>
            <w:r>
              <w:rPr>
                <w:sz w:val="16"/>
              </w:rPr>
              <w:t>PM-KISAN vs Rythu Bandhu</w:t>
            </w:r>
          </w:p>
        </w:tc>
        <w:tc>
          <w:tcPr>
            <w:tcW w:type="dxa" w:w="2808"/>
          </w:tcPr>
          <w:p>
            <w:pPr>
              <w:pStyle w:val="Compact"/>
              <w:keepNext/>
              <w:spacing w:before="0" w:after="0"/>
              <w:ind w:firstLine="0"/>
              <w:jc w:val="right"/>
            </w:pPr>
            <w:r>
              <w:rPr>
                <w:sz w:val="16"/>
              </w:rPr>
              <w:t>PM-KISAN guidelines; Telangana G.O.s</w:t>
            </w:r>
          </w:p>
        </w:tc>
        <w:tc>
          <w:tcPr>
            <w:tcW w:type="dxa" w:w="648"/>
          </w:tcPr>
          <w:p>
            <w:pPr>
              <w:pStyle w:val="Compact"/>
              <w:keepNext/>
              <w:spacing w:before="0" w:after="0"/>
              <w:ind w:firstLine="0"/>
              <w:jc w:val="right"/>
            </w:pPr>
            <w:r>
              <w:rPr>
                <w:sz w:val="16"/>
              </w:rPr>
              <w:t>dated</w:t>
            </w:r>
          </w:p>
        </w:tc>
        <w:tc>
          <w:tcPr>
            <w:tcW w:type="dxa" w:w="720"/>
          </w:tcPr>
          <w:p>
            <w:pPr>
              <w:pStyle w:val="Compact"/>
              <w:keepNext/>
              <w:spacing w:before="0" w:after="0"/>
              <w:ind w:firstLine="0"/>
              <w:jc w:val="right"/>
            </w:pPr>
            <w:r>
              <w:rPr>
                <w:sz w:val="16"/>
              </w:rPr>
              <w:t>0</w:t>
            </w:r>
          </w:p>
        </w:tc>
        <w:tc>
          <w:tcPr>
            <w:tcW w:type="dxa" w:w="792"/>
          </w:tcPr>
          <w:p>
            <w:pPr>
              <w:pStyle w:val="Compact"/>
              <w:keepNext/>
              <w:spacing w:before="0" w:after="0"/>
              <w:ind w:firstLine="0"/>
              <w:jc w:val="right"/>
            </w:pPr>
            <w:r>
              <w:rPr>
                <w:sz w:val="16"/>
              </w:rPr>
              <w:t>0</w:t>
            </w:r>
          </w:p>
        </w:tc>
        <w:tc>
          <w:tcPr>
            <w:tcW w:type="dxa" w:w="648"/>
          </w:tcPr>
          <w:p>
            <w:pPr>
              <w:pStyle w:val="Compact"/>
              <w:keepNext/>
              <w:spacing w:before="0" w:after="0"/>
              <w:ind w:firstLine="0"/>
              <w:jc w:val="right"/>
            </w:pPr>
            <w:r>
              <w:rPr>
                <w:sz w:val="16"/>
              </w:rPr>
              <w:t>3</w:t>
            </w:r>
          </w:p>
        </w:tc>
        <w:tc>
          <w:tcPr>
            <w:tcW w:type="dxa" w:w="648"/>
          </w:tcPr>
          <w:p>
            <w:pPr>
              <w:pStyle w:val="Compact"/>
              <w:keepNext/>
              <w:spacing w:before="0" w:after="0"/>
              <w:ind w:firstLine="0"/>
              <w:jc w:val="right"/>
            </w:pPr>
            <w:r>
              <w:rPr>
                <w:sz w:val="16"/>
              </w:rPr>
              <w:t>2</w:t>
            </w:r>
          </w:p>
        </w:tc>
        <w:tc>
          <w:tcPr>
            <w:tcW w:type="dxa" w:w="648"/>
          </w:tcPr>
          <w:p>
            <w:pPr>
              <w:pStyle w:val="Compact"/>
              <w:keepNext/>
              <w:spacing w:before="0" w:after="0"/>
              <w:ind w:firstLine="0"/>
              <w:jc w:val="right"/>
            </w:pPr>
            <w:r>
              <w:t>1</w:t>
            </w:r>
          </w:p>
        </w:tc>
        <w:tc>
          <w:tcPr>
            <w:tcW w:type="dxa" w:w="648"/>
          </w:tcPr>
          <w:p>
            <w:pPr>
              <w:pStyle w:val="Compact"/>
              <w:keepNext/>
              <w:spacing w:before="0" w:after="0"/>
              <w:ind w:firstLine="0"/>
              <w:jc w:val="right"/>
            </w:pPr>
            <w:r>
              <w:t>0</w:t>
            </w:r>
          </w:p>
        </w:tc>
      </w:tr>
      <w:tr>
        <w:trPr>
          <w:cantSplit/>
        </w:trPr>
        <w:tc>
          <w:tcPr>
            <w:tcW w:type="dxa" w:w="2520"/>
            <w:tcBorders>
              <w:bottom w:val="single" w:sz="12" w:color="000000" w:space="0"/>
            </w:tcBorders>
          </w:tcPr>
          <w:p>
            <w:pPr>
              <w:pStyle w:val="Compact"/>
              <w:spacing w:before="0" w:after="0"/>
              <w:ind w:firstLine="0"/>
              <w:jc w:val="left"/>
            </w:pPr>
            <w:r>
              <w:rPr>
                <w:sz w:val="16"/>
              </w:rPr>
              <w:t>Supreme Court vs High Court Writ Jurisdiction</w:t>
            </w:r>
          </w:p>
        </w:tc>
        <w:tc>
          <w:tcPr>
            <w:tcW w:type="dxa" w:w="2808"/>
            <w:tcBorders>
              <w:bottom w:val="single" w:sz="12" w:color="000000" w:space="0"/>
            </w:tcBorders>
          </w:tcPr>
          <w:p>
            <w:pPr>
              <w:pStyle w:val="Compact"/>
              <w:spacing w:before="0" w:after="0"/>
              <w:ind w:firstLine="0"/>
              <w:jc w:val="right"/>
            </w:pPr>
            <w:r>
              <w:rPr>
                <w:sz w:val="16"/>
              </w:rPr>
              <w:t>Constitution, Arts. 32, 226</w:t>
            </w:r>
          </w:p>
        </w:tc>
        <w:tc>
          <w:tcPr>
            <w:tcW w:type="dxa" w:w="648"/>
            <w:tcBorders>
              <w:bottom w:val="single" w:sz="12" w:color="000000" w:space="0"/>
            </w:tcBorders>
          </w:tcPr>
          <w:p>
            <w:pPr>
              <w:pStyle w:val="Compact"/>
              <w:spacing w:before="0" w:after="0"/>
              <w:ind w:firstLine="0"/>
              <w:jc w:val="right"/>
            </w:pPr>
            <w:r>
              <w:rPr>
                <w:sz w:val="16"/>
              </w:rPr>
              <w:t>ok</w:t>
            </w:r>
          </w:p>
        </w:tc>
        <w:tc>
          <w:tcPr>
            <w:tcW w:type="dxa" w:w="720"/>
            <w:tcBorders>
              <w:bottom w:val="single" w:sz="12" w:color="000000" w:space="0"/>
            </w:tcBorders>
          </w:tcPr>
          <w:p>
            <w:pPr>
              <w:pStyle w:val="Compact"/>
              <w:spacing w:before="0" w:after="0"/>
              <w:ind w:firstLine="0"/>
              <w:jc w:val="right"/>
            </w:pPr>
            <w:r>
              <w:rPr>
                <w:sz w:val="16"/>
              </w:rPr>
              <w:t>0</w:t>
            </w:r>
          </w:p>
        </w:tc>
        <w:tc>
          <w:tcPr>
            <w:tcW w:type="dxa" w:w="792"/>
            <w:tcBorders>
              <w:bottom w:val="single" w:sz="12" w:color="000000" w:space="0"/>
            </w:tcBorders>
          </w:tcPr>
          <w:p>
            <w:pPr>
              <w:pStyle w:val="Compact"/>
              <w:spacing w:before="0" w:after="0"/>
              <w:ind w:firstLine="0"/>
              <w:jc w:val="right"/>
            </w:pPr>
            <w:r>
              <w:rPr>
                <w:sz w:val="16"/>
              </w:rPr>
              <w:t>0</w:t>
            </w:r>
          </w:p>
        </w:tc>
        <w:tc>
          <w:tcPr>
            <w:tcW w:type="dxa" w:w="648"/>
            <w:tcBorders>
              <w:bottom w:val="single" w:sz="12" w:color="000000" w:space="0"/>
            </w:tcBorders>
          </w:tcPr>
          <w:p>
            <w:pPr>
              <w:pStyle w:val="Compact"/>
              <w:spacing w:before="0" w:after="0"/>
              <w:ind w:firstLine="0"/>
              <w:jc w:val="right"/>
            </w:pPr>
            <w:r>
              <w:rPr>
                <w:sz w:val="16"/>
              </w:rPr>
              <w:t>5</w:t>
            </w:r>
          </w:p>
        </w:tc>
        <w:tc>
          <w:tcPr>
            <w:tcW w:type="dxa" w:w="648"/>
            <w:tcBorders>
              <w:bottom w:val="single" w:sz="12" w:color="000000" w:space="0"/>
            </w:tcBorders>
          </w:tcPr>
          <w:p>
            <w:pPr>
              <w:pStyle w:val="Compact"/>
              <w:spacing w:before="0" w:after="0"/>
              <w:ind w:firstLine="0"/>
              <w:jc w:val="right"/>
            </w:pPr>
            <w:r>
              <w:rPr>
                <w:sz w:val="16"/>
              </w:rPr>
              <w:t>3</w:t>
            </w:r>
          </w:p>
        </w:tc>
        <w:tc>
          <w:tcPr>
            <w:tcW w:type="dxa" w:w="648"/>
            <w:tcBorders>
              <w:bottom w:val="single" w:sz="12" w:color="000000" w:space="0"/>
            </w:tcBorders>
          </w:tcPr>
          <w:p>
            <w:pPr>
              <w:pStyle w:val="Compact"/>
              <w:spacing w:before="0" w:after="0"/>
              <w:ind w:firstLine="0"/>
              <w:jc w:val="right"/>
            </w:pPr>
            <w:r>
              <w:t>3</w:t>
            </w:r>
          </w:p>
        </w:tc>
        <w:tc>
          <w:tcPr>
            <w:tcW w:type="dxa" w:w="648"/>
            <w:tcBorders>
              <w:bottom w:val="single" w:sz="12" w:color="000000" w:space="0"/>
            </w:tcBorders>
          </w:tcPr>
          <w:p>
            <w:pPr>
              <w:pStyle w:val="Compact"/>
              <w:spacing w:before="0" w:after="0"/>
              <w:ind w:firstLine="0"/>
              <w:jc w:val="right"/>
            </w:pPr>
            <w:r>
              <w:t>4</w:t>
            </w:r>
          </w:p>
        </w:tc>
      </w:tr>
    </w:tbl>
    <w:p>
      <w:pPr>
        <w:spacing w:before="0" w:after="0" w:line="20" w:lineRule="exact"/>
        <w:rPr>
          <w:sz w:val="2"/>
        </w:rPr>
        <w:sectPr>
          <w:type w:val="continuous"/>
          <w:pgSz w:w="12240" w:h="15840"/>
          <w:pgMar w:top="1080" w:right="900" w:bottom="1296" w:left="900" w:header="576" w:footer="576" w:gutter="0"/>
          <w:cols w:num="1"/>
        </w:sectPr>
      </w:pPr>
    </w:p>
    <w:bookmarkEnd w:id="55"/>
    <w:bookmarkStart w:id="56" w:name="Xc3cf18e27b14ca9ebadeff1d92307e088430561"/>
    <w:p>
      <w:pPr>
        <w:pStyle w:val="Heading2"/>
      </w:pPr>
      <w:r>
        <w:t xml:space="preserve">A.2. Partitions and the unevaluated expansion</w:t>
      </w:r>
    </w:p>
    <w:p>
      <w:pPr>
        <w:pStyle w:val="FirstParagraph"/>
      </w:pPr>
      <w:r>
        <w:t xml:space="preserve">Version 1.1-CANDIDATE: development 1</w:t>
      </w:r>
      <w:r>
        <w:t xml:space="preserve">,</w:t>
      </w:r>
      <w:r>
        <w:t xml:space="preserve">000 groups, validation 200, in-distribution test 200, out-of-distribution test 100 (the evaluated core). The 200 in-distribution test groups were run in EXP-002 for both models; they use fictitious entities, and 2 of 2000 responses were judged correct, so they are not informative about recall. The prospective 1.2-PILOT adds 25 propositions (125 prompts) on topics with zero entity overlap with the evaluated 20; no model has been run on them.</w:t>
      </w:r>
    </w:p>
    <w:bookmarkEnd w:id="56"/>
    <w:bookmarkEnd w:id="57"/>
    <w:bookmarkStart w:id="58" w:name="appendix-b-additional-results"/>
    <w:p>
      <w:pPr>
        <w:pStyle w:val="Heading1"/>
      </w:pPr>
      <w:r>
        <w:t xml:space="preserve">APPENDIX B: ADDITIONAL RESULTS</w:t>
      </w:r>
    </w:p>
    <w:p>
      <w:pPr>
        <w:pStyle w:val="FirstParagraph"/>
      </w:pPr>
      <w:r>
        <w:t xml:space="preserve">Excluding the three topics with narrow gold answers (GST, MTP Act, Environment Clearance; 85 propositions), the J-QWEN differences from </w:t>
      </w:r>
      <w:r>
        <w:rPr>
          <w:smallCaps/>
        </w:rPr>
        <w:t>en-match</w:t>
      </w:r>
      <w:r>
        <w:t xml:space="preserve"> are −12 (</w:t>
      </w:r>
      <w:r>
        <w:rPr>
          <w:smallCaps/>
        </w:rPr>
        <w:t>cs-lat</w:t>
      </w:r>
      <w:r>
        <w:t>, p = 0.16), −25 (</w:t>
      </w:r>
      <w:r>
        <w:rPr>
          <w:smallCaps/>
        </w:rPr>
        <w:t>roman</w:t>
      </w:r>
      <w:r>
        <w:t>, p = 0.002), −32 (</w:t>
      </w:r>
      <w:r>
        <w:rPr>
          <w:smallCaps/>
        </w:rPr>
        <w:t>native</w:t>
      </w:r>
      <w:r>
        <w:t>, p &lt; 0.001) and −35 points (</w:t>
      </w:r>
      <w:r>
        <w:rPr>
          <w:smallCaps/>
        </w:rPr>
        <w:t>mixed</w:t>
      </w:r>
      <w:r>
        <w:t xml:space="preserve">, p &lt; 0.001), and </w:t>
      </w:r>
      <w:r>
        <w:rPr>
          <w:smallCaps/>
        </w:rPr>
        <w:t>mixed</w:t>
      </w:r>
      <w:r>
        <w:t xml:space="preserve"> vs. </w:t>
      </w:r>
      <w:r>
        <w:rPr>
          <w:smallCaps/>
        </w:rPr>
        <w:t>cs-lat</w:t>
      </w:r>
      <w:r>
        <w:t xml:space="preserve"> is −23.5 points (p &lt; 0.001; topic-level p = 0.007). Table VIII gives all pairwise contrasts and Table IX the GEE estimates.</w:t>
      </w:r>
    </w:p>
    <w:p>
      <w:pPr>
        <w:spacing w:before="0" w:after="0" w:line="20" w:lineRule="exact"/>
        <w:rPr>
          <w:sz w:val="2"/>
        </w:rPr>
        <w:sectPr>
          <w:type w:val="continuous"/>
          <w:pgSz w:w="12240" w:h="15840"/>
          <w:pgMar w:top="1080" w:right="900" w:bottom="1296" w:left="900" w:header="576" w:footer="576" w:gutter="0"/>
          <w:cols w:num="2" w:space="360"/>
        </w:sectPr>
      </w:pPr>
    </w:p>
    <w:p>
      <w:pPr>
        <w:pStyle w:val="BodyText"/>
        <w:keepNext/>
        <w:spacing w:before="120" w:after="60"/>
        <w:ind w:firstLine="0"/>
        <w:jc w:val="center"/>
      </w:pPr>
      <w:r>
        <w:t>TABLE VIII</w:t>
      </w:r>
      <w:r>
        <w:br/>
      </w:r>
      <w:r>
        <w:t>All pairwise contrasts, J-QWEN labels, 128 tokens (proposition-level exact McNemar; b: the second-named (reference) condition correct and the first wrong; c: the reverse; topic-level permutation p and bootstrap CI for the change, uncorrected). The first five rows are the primary family.</w:t>
      </w:r>
    </w:p>
    <w:tbl>
      <w:tblPr>
        <w:tblStyle w:val="Table"/>
        <w:tblW w:type="dxa" w:w="10437"/>
        <w:tblLook w:firstRow="1" w:lastRow="0" w:firstColumn="0" w:lastColumn="0" w:noHBand="0" w:noVBand="0" w:val="0020"/>
        <w:jc w:val="center"/>
        <w:tblCellMar>
          <w:top w:w="10" w:type="dxa"/>
          <w:left w:w="50" w:type="dxa"/>
          <w:bottom w:w="10" w:type="dxa"/>
          <w:right w:w="50" w:type="dxa"/>
        </w:tblCellMar>
        <w:tblLayout w:type="fixed"/>
      </w:tblPr>
      <w:tblGrid>
        <w:gridCol w:w="2067"/>
        <w:gridCol w:w="1240"/>
        <w:gridCol w:w="826"/>
        <w:gridCol w:w="826"/>
        <w:gridCol w:w="2274"/>
        <w:gridCol w:w="1447"/>
        <w:gridCol w:w="1757"/>
      </w:tblGrid>
      <w:tr>
        <w:trPr>
          <w:tblHeader w:val="true"/>
          <w:cantSplit/>
        </w:trPr>
        <w:tc>
          <w:tcPr>
            <w:tcW w:type="dxa" w:w="2067"/>
            <w:tcBorders>
              <w:top w:val="single" w:sz="12" w:color="000000" w:space="0"/>
              <w:bottom w:val="single" w:sz="6" w:color="000000" w:space="0"/>
            </w:tcBorders>
          </w:tcPr>
          <w:p>
            <w:pPr>
              <w:pStyle w:val="Compact"/>
              <w:keepNext/>
              <w:spacing w:before="0" w:after="0"/>
              <w:ind w:firstLine="0"/>
              <w:jc w:val="left"/>
            </w:pPr>
            <w:r>
              <w:rPr>
                <w:b/>
                <w:sz w:val="16"/>
              </w:rPr>
              <w:t>Contrast</w:t>
            </w:r>
          </w:p>
        </w:tc>
        <w:tc>
          <w:tcPr>
            <w:tcW w:type="dxa" w:w="1240"/>
            <w:tcBorders>
              <w:top w:val="single" w:sz="12" w:color="000000" w:space="0"/>
              <w:bottom w:val="single" w:sz="6" w:color="000000" w:space="0"/>
            </w:tcBorders>
          </w:tcPr>
          <w:p>
            <w:pPr>
              <w:pStyle w:val="Compact"/>
              <w:keepNext/>
              <w:spacing w:before="0" w:after="0"/>
              <w:ind w:firstLine="0"/>
              <w:jc w:val="left"/>
            </w:pPr>
            <w:r>
              <w:rPr>
                <w:b/>
                <w:sz w:val="16"/>
              </w:rPr>
              <w:t>Δ (pp)</w:t>
            </w:r>
          </w:p>
        </w:tc>
        <w:tc>
          <w:tcPr>
            <w:tcW w:type="dxa" w:w="826"/>
            <w:tcBorders>
              <w:top w:val="single" w:sz="12" w:color="000000" w:space="0"/>
              <w:bottom w:val="single" w:sz="6" w:color="000000" w:space="0"/>
            </w:tcBorders>
          </w:tcPr>
          <w:p>
            <w:pPr>
              <w:pStyle w:val="Compact"/>
              <w:keepNext/>
              <w:spacing w:before="0" w:after="0"/>
              <w:ind w:firstLine="0"/>
              <w:jc w:val="right"/>
            </w:pPr>
            <w:r>
              <w:rPr>
                <w:b/>
                <w:sz w:val="16"/>
              </w:rPr>
              <w:t>b</w:t>
            </w:r>
          </w:p>
        </w:tc>
        <w:tc>
          <w:tcPr>
            <w:tcW w:type="dxa" w:w="826"/>
            <w:tcBorders>
              <w:top w:val="single" w:sz="12" w:color="000000" w:space="0"/>
              <w:bottom w:val="single" w:sz="6" w:color="000000" w:space="0"/>
            </w:tcBorders>
          </w:tcPr>
          <w:p>
            <w:pPr>
              <w:pStyle w:val="Compact"/>
              <w:keepNext/>
              <w:spacing w:before="0" w:after="0"/>
              <w:ind w:firstLine="0"/>
              <w:jc w:val="right"/>
            </w:pPr>
            <w:r>
              <w:rPr>
                <w:b/>
                <w:sz w:val="16"/>
              </w:rPr>
              <w:t>c</w:t>
            </w:r>
          </w:p>
        </w:tc>
        <w:tc>
          <w:tcPr>
            <w:tcW w:type="dxa" w:w="2274"/>
            <w:tcBorders>
              <w:top w:val="single" w:sz="12" w:color="000000" w:space="0"/>
              <w:bottom w:val="single" w:sz="6" w:color="000000" w:space="0"/>
            </w:tcBorders>
          </w:tcPr>
          <w:p>
            <w:pPr>
              <w:pStyle w:val="Compact"/>
              <w:keepNext/>
              <w:spacing w:before="0" w:after="0"/>
              <w:ind w:firstLine="0"/>
              <w:jc w:val="right"/>
            </w:pPr>
            <w:r>
              <w:rPr>
                <w:b/>
                <w:sz w:val="16"/>
              </w:rPr>
              <w:t>Exact p</w:t>
            </w:r>
          </w:p>
        </w:tc>
        <w:tc>
          <w:tcPr>
            <w:tcW w:type="dxa" w:w="1447"/>
            <w:tcBorders>
              <w:top w:val="single" w:sz="12" w:color="000000" w:space="0"/>
              <w:bottom w:val="single" w:sz="6" w:color="000000" w:space="0"/>
            </w:tcBorders>
          </w:tcPr>
          <w:p>
            <w:pPr>
              <w:pStyle w:val="Compact"/>
              <w:keepNext/>
              <w:spacing w:before="0" w:after="0"/>
              <w:ind w:firstLine="0"/>
              <w:jc w:val="right"/>
            </w:pPr>
            <w:r>
              <w:rPr>
                <w:b/>
                <w:sz w:val="16"/>
              </w:rPr>
              <w:t>Topic p</w:t>
            </w:r>
          </w:p>
        </w:tc>
        <w:tc>
          <w:tcPr>
            <w:tcW w:type="dxa" w:w="1757"/>
            <w:tcBorders>
              <w:top w:val="single" w:sz="12" w:color="000000" w:space="0"/>
              <w:bottom w:val="single" w:sz="6" w:color="000000" w:space="0"/>
            </w:tcBorders>
          </w:tcPr>
          <w:p>
            <w:pPr>
              <w:pStyle w:val="Compact"/>
              <w:keepNext/>
              <w:spacing w:before="0" w:after="0"/>
              <w:ind w:firstLine="0"/>
              <w:jc w:val="right"/>
            </w:pPr>
            <w:r>
              <w:rPr>
                <w:b/>
                <w:sz w:val="16"/>
              </w:rPr>
              <w:t>Topic 95% CI (pp)</w:t>
            </w:r>
          </w:p>
        </w:tc>
      </w:tr>
      <w:tr>
        <w:trPr>
          <w:cantSplit/>
        </w:trPr>
        <w:tc>
          <w:tcPr>
            <w:tcW w:type="dxa" w:w="2067"/>
          </w:tcPr>
          <w:p>
            <w:pPr>
              <w:pStyle w:val="Compact"/>
              <w:keepNext/>
              <w:spacing w:before="0" w:after="0"/>
              <w:ind w:firstLine="0"/>
              <w:jc w:val="left"/>
            </w:pPr>
            <w:r>
              <w:rPr>
                <w:smallCaps/>
                <w:sz w:val="16"/>
              </w:rPr>
              <w:t>cs-lat</w:t>
            </w:r>
            <w:r>
              <w:rPr>
                <w:sz w:val="16"/>
              </w:rPr>
              <w:t xml:space="preserve"> vs. </w:t>
            </w:r>
            <w:r>
              <w:rPr>
                <w:smallCaps/>
                <w:sz w:val="16"/>
              </w:rPr>
              <w:t>en-match</w:t>
            </w:r>
          </w:p>
        </w:tc>
        <w:tc>
          <w:tcPr>
            <w:tcW w:type="dxa" w:w="1240"/>
          </w:tcPr>
          <w:p>
            <w:pPr>
              <w:pStyle w:val="Compact"/>
              <w:keepNext/>
              <w:spacing w:before="0" w:after="0"/>
              <w:ind w:firstLine="0"/>
              <w:jc w:val="left"/>
            </w:pPr>
            <w:r>
              <w:rPr>
                <w:sz w:val="16"/>
              </w:rPr>
              <w:t>−11</w:t>
            </w:r>
          </w:p>
        </w:tc>
        <w:tc>
          <w:tcPr>
            <w:tcW w:type="dxa" w:w="826"/>
          </w:tcPr>
          <w:p>
            <w:pPr>
              <w:pStyle w:val="Compact"/>
              <w:keepNext/>
              <w:spacing w:before="0" w:after="0"/>
              <w:ind w:firstLine="0"/>
              <w:jc w:val="right"/>
            </w:pPr>
            <w:r>
              <w:rPr>
                <w:sz w:val="16"/>
              </w:rPr>
              <w:t>27</w:t>
            </w:r>
          </w:p>
        </w:tc>
        <w:tc>
          <w:tcPr>
            <w:tcW w:type="dxa" w:w="826"/>
          </w:tcPr>
          <w:p>
            <w:pPr>
              <w:pStyle w:val="Compact"/>
              <w:keepNext/>
              <w:spacing w:before="0" w:after="0"/>
              <w:ind w:firstLine="0"/>
              <w:jc w:val="right"/>
            </w:pPr>
            <w:r>
              <w:rPr>
                <w:sz w:val="16"/>
              </w:rPr>
              <w:t>16</w:t>
            </w:r>
          </w:p>
        </w:tc>
        <w:tc>
          <w:tcPr>
            <w:tcW w:type="dxa" w:w="2274"/>
          </w:tcPr>
          <w:p>
            <w:pPr>
              <w:pStyle w:val="Compact"/>
              <w:keepNext/>
              <w:spacing w:before="0" w:after="0"/>
              <w:ind w:firstLine="0"/>
              <w:jc w:val="right"/>
            </w:pPr>
            <w:r>
              <w:rPr>
                <w:sz w:val="16"/>
              </w:rPr>
              <w:t>0.13</w:t>
            </w:r>
          </w:p>
        </w:tc>
        <w:tc>
          <w:tcPr>
            <w:tcW w:type="dxa" w:w="1447"/>
          </w:tcPr>
          <w:p>
            <w:pPr>
              <w:pStyle w:val="Compact"/>
              <w:keepNext/>
              <w:spacing w:before="0" w:after="0"/>
              <w:ind w:firstLine="0"/>
              <w:jc w:val="right"/>
            </w:pPr>
            <w:r>
              <w:rPr>
                <w:sz w:val="16"/>
              </w:rPr>
              <w:t>0.42</w:t>
            </w:r>
          </w:p>
        </w:tc>
        <w:tc>
          <w:tcPr>
            <w:tcW w:type="dxa" w:w="1757"/>
          </w:tcPr>
          <w:p>
            <w:pPr>
              <w:pStyle w:val="Compact"/>
              <w:keepNext/>
              <w:spacing w:before="0" w:after="0"/>
              <w:ind w:firstLine="0"/>
              <w:jc w:val="right"/>
            </w:pPr>
            <w:r>
              <w:rPr>
                <w:sz w:val="16"/>
              </w:rPr>
              <w:t>[−34, 13]</w:t>
            </w:r>
          </w:p>
        </w:tc>
      </w:tr>
      <w:tr>
        <w:trPr>
          <w:cantSplit/>
        </w:trPr>
        <w:tc>
          <w:tcPr>
            <w:tcW w:type="dxa" w:w="2067"/>
          </w:tcPr>
          <w:p>
            <w:pPr>
              <w:pStyle w:val="Compact"/>
              <w:keepNext/>
              <w:spacing w:before="0" w:after="0"/>
              <w:ind w:firstLine="0"/>
              <w:jc w:val="left"/>
            </w:pPr>
            <w:r>
              <w:rPr>
                <w:smallCaps/>
                <w:sz w:val="16"/>
              </w:rPr>
              <w:t>roman</w:t>
            </w:r>
            <w:r>
              <w:rPr>
                <w:sz w:val="16"/>
              </w:rPr>
              <w:t xml:space="preserve"> vs. </w:t>
            </w:r>
            <w:r>
              <w:rPr>
                <w:smallCaps/>
                <w:sz w:val="16"/>
              </w:rPr>
              <w:t>en-match</w:t>
            </w:r>
          </w:p>
        </w:tc>
        <w:tc>
          <w:tcPr>
            <w:tcW w:type="dxa" w:w="1240"/>
          </w:tcPr>
          <w:p>
            <w:pPr>
              <w:pStyle w:val="Compact"/>
              <w:keepNext/>
              <w:spacing w:before="0" w:after="0"/>
              <w:ind w:firstLine="0"/>
              <w:jc w:val="left"/>
            </w:pPr>
            <w:r>
              <w:rPr>
                <w:sz w:val="16"/>
              </w:rPr>
              <w:t>−23</w:t>
            </w:r>
          </w:p>
        </w:tc>
        <w:tc>
          <w:tcPr>
            <w:tcW w:type="dxa" w:w="826"/>
          </w:tcPr>
          <w:p>
            <w:pPr>
              <w:pStyle w:val="Compact"/>
              <w:keepNext/>
              <w:spacing w:before="0" w:after="0"/>
              <w:ind w:firstLine="0"/>
              <w:jc w:val="right"/>
            </w:pPr>
            <w:r>
              <w:rPr>
                <w:sz w:val="16"/>
              </w:rPr>
              <w:t>35</w:t>
            </w:r>
          </w:p>
        </w:tc>
        <w:tc>
          <w:tcPr>
            <w:tcW w:type="dxa" w:w="826"/>
          </w:tcPr>
          <w:p>
            <w:pPr>
              <w:pStyle w:val="Compact"/>
              <w:keepNext/>
              <w:spacing w:before="0" w:after="0"/>
              <w:ind w:firstLine="0"/>
              <w:jc w:val="right"/>
            </w:pPr>
            <w:r>
              <w:rPr>
                <w:sz w:val="16"/>
              </w:rPr>
              <w:t>12</w:t>
            </w:r>
          </w:p>
        </w:tc>
        <w:tc>
          <w:tcPr>
            <w:tcW w:type="dxa" w:w="2274"/>
          </w:tcPr>
          <w:p>
            <w:pPr>
              <w:pStyle w:val="Compact"/>
              <w:keepNext/>
              <w:spacing w:before="0" w:after="0"/>
              <w:ind w:firstLine="0"/>
              <w:jc w:val="right"/>
            </w:pPr>
            <w:r>
              <w:rPr>
                <w:sz w:val="16"/>
              </w:rPr>
              <w:t>0.001</w:t>
            </w:r>
          </w:p>
        </w:tc>
        <w:tc>
          <w:tcPr>
            <w:tcW w:type="dxa" w:w="1447"/>
          </w:tcPr>
          <w:p>
            <w:pPr>
              <w:pStyle w:val="Compact"/>
              <w:keepNext/>
              <w:spacing w:before="0" w:after="0"/>
              <w:ind w:firstLine="0"/>
              <w:jc w:val="right"/>
            </w:pPr>
            <w:r>
              <w:rPr>
                <w:sz w:val="16"/>
              </w:rPr>
              <w:t>0.087</w:t>
            </w:r>
          </w:p>
        </w:tc>
        <w:tc>
          <w:tcPr>
            <w:tcW w:type="dxa" w:w="1757"/>
          </w:tcPr>
          <w:p>
            <w:pPr>
              <w:pStyle w:val="Compact"/>
              <w:keepNext/>
              <w:spacing w:before="0" w:after="0"/>
              <w:ind w:firstLine="0"/>
              <w:jc w:val="right"/>
            </w:pPr>
            <w:r>
              <w:rPr>
                <w:sz w:val="16"/>
              </w:rPr>
              <w:t>[−46, 0]</w:t>
            </w:r>
          </w:p>
        </w:tc>
      </w:tr>
      <w:tr>
        <w:trPr>
          <w:cantSplit/>
        </w:trPr>
        <w:tc>
          <w:tcPr>
            <w:tcW w:type="dxa" w:w="2067"/>
          </w:tcPr>
          <w:p>
            <w:pPr>
              <w:pStyle w:val="Compact"/>
              <w:keepNext/>
              <w:spacing w:before="0" w:after="0"/>
              <w:ind w:firstLine="0"/>
              <w:jc w:val="left"/>
            </w:pPr>
            <w:r>
              <w:rPr>
                <w:smallCaps/>
                <w:sz w:val="16"/>
              </w:rPr>
              <w:t>native</w:t>
            </w:r>
            <w:r>
              <w:rPr>
                <w:sz w:val="16"/>
              </w:rPr>
              <w:t xml:space="preserve"> vs. </w:t>
            </w:r>
            <w:r>
              <w:rPr>
                <w:smallCaps/>
                <w:sz w:val="16"/>
              </w:rPr>
              <w:t>en-match</w:t>
            </w:r>
          </w:p>
        </w:tc>
        <w:tc>
          <w:tcPr>
            <w:tcW w:type="dxa" w:w="1240"/>
          </w:tcPr>
          <w:p>
            <w:pPr>
              <w:pStyle w:val="Compact"/>
              <w:keepNext/>
              <w:spacing w:before="0" w:after="0"/>
              <w:ind w:firstLine="0"/>
              <w:jc w:val="left"/>
            </w:pPr>
            <w:r>
              <w:rPr>
                <w:sz w:val="16"/>
              </w:rPr>
              <w:t>−28</w:t>
            </w:r>
          </w:p>
        </w:tc>
        <w:tc>
          <w:tcPr>
            <w:tcW w:type="dxa" w:w="826"/>
          </w:tcPr>
          <w:p>
            <w:pPr>
              <w:pStyle w:val="Compact"/>
              <w:keepNext/>
              <w:spacing w:before="0" w:after="0"/>
              <w:ind w:firstLine="0"/>
              <w:jc w:val="right"/>
            </w:pPr>
            <w:r>
              <w:rPr>
                <w:sz w:val="16"/>
              </w:rPr>
              <w:t>36</w:t>
            </w:r>
          </w:p>
        </w:tc>
        <w:tc>
          <w:tcPr>
            <w:tcW w:type="dxa" w:w="826"/>
          </w:tcPr>
          <w:p>
            <w:pPr>
              <w:pStyle w:val="Compact"/>
              <w:keepNext/>
              <w:spacing w:before="0" w:after="0"/>
              <w:ind w:firstLine="0"/>
              <w:jc w:val="right"/>
            </w:pPr>
            <w:r>
              <w:rPr>
                <w:sz w:val="16"/>
              </w:rPr>
              <w:t>8</w:t>
            </w:r>
          </w:p>
        </w:tc>
        <w:tc>
          <w:tcPr>
            <w:tcW w:type="dxa" w:w="2274"/>
          </w:tcPr>
          <w:p>
            <w:pPr>
              <w:pStyle w:val="Compact"/>
              <w:keepNext/>
              <w:spacing w:before="0" w:after="0"/>
              <w:ind w:firstLine="0"/>
              <w:jc w:val="right"/>
            </w:pPr>
            <w:r>
              <w:rPr>
                <w:sz w:val="16"/>
              </w:rPr>
              <w:t>2.54×10⁻⁵</w:t>
            </w:r>
          </w:p>
        </w:tc>
        <w:tc>
          <w:tcPr>
            <w:tcW w:type="dxa" w:w="1447"/>
          </w:tcPr>
          <w:p>
            <w:pPr>
              <w:pStyle w:val="Compact"/>
              <w:keepNext/>
              <w:spacing w:before="0" w:after="0"/>
              <w:ind w:firstLine="0"/>
              <w:jc w:val="right"/>
            </w:pPr>
            <w:r>
              <w:rPr>
                <w:sz w:val="16"/>
              </w:rPr>
              <w:t>0.031</w:t>
            </w:r>
          </w:p>
        </w:tc>
        <w:tc>
          <w:tcPr>
            <w:tcW w:type="dxa" w:w="1757"/>
          </w:tcPr>
          <w:p>
            <w:pPr>
              <w:pStyle w:val="Compact"/>
              <w:keepNext/>
              <w:spacing w:before="0" w:after="0"/>
              <w:ind w:firstLine="0"/>
              <w:jc w:val="right"/>
            </w:pPr>
            <w:r>
              <w:rPr>
                <w:sz w:val="16"/>
              </w:rPr>
              <w:t>[−49, −6]</w:t>
            </w:r>
          </w:p>
        </w:tc>
      </w:tr>
      <w:tr>
        <w:trPr>
          <w:cantSplit/>
        </w:trPr>
        <w:tc>
          <w:tcPr>
            <w:tcW w:type="dxa" w:w="2067"/>
          </w:tcPr>
          <w:p>
            <w:pPr>
              <w:pStyle w:val="Compact"/>
              <w:keepNext/>
              <w:spacing w:before="0" w:after="0"/>
              <w:ind w:firstLine="0"/>
              <w:jc w:val="left"/>
            </w:pPr>
            <w:r>
              <w:rPr>
                <w:smallCaps/>
                <w:sz w:val="16"/>
              </w:rPr>
              <w:t>mixed</w:t>
            </w:r>
            <w:r>
              <w:rPr>
                <w:sz w:val="16"/>
              </w:rPr>
              <w:t xml:space="preserve"> vs. </w:t>
            </w:r>
            <w:r>
              <w:rPr>
                <w:smallCaps/>
                <w:sz w:val="16"/>
              </w:rPr>
              <w:t>en-match</w:t>
            </w:r>
          </w:p>
        </w:tc>
        <w:tc>
          <w:tcPr>
            <w:tcW w:type="dxa" w:w="1240"/>
          </w:tcPr>
          <w:p>
            <w:pPr>
              <w:pStyle w:val="Compact"/>
              <w:keepNext/>
              <w:spacing w:before="0" w:after="0"/>
              <w:ind w:firstLine="0"/>
              <w:jc w:val="left"/>
            </w:pPr>
            <w:r>
              <w:rPr>
                <w:sz w:val="16"/>
              </w:rPr>
              <w:t>−34</w:t>
            </w:r>
          </w:p>
        </w:tc>
        <w:tc>
          <w:tcPr>
            <w:tcW w:type="dxa" w:w="826"/>
          </w:tcPr>
          <w:p>
            <w:pPr>
              <w:pStyle w:val="Compact"/>
              <w:keepNext/>
              <w:spacing w:before="0" w:after="0"/>
              <w:ind w:firstLine="0"/>
              <w:jc w:val="right"/>
            </w:pPr>
            <w:r>
              <w:rPr>
                <w:sz w:val="16"/>
              </w:rPr>
              <w:t>45</w:t>
            </w:r>
          </w:p>
        </w:tc>
        <w:tc>
          <w:tcPr>
            <w:tcW w:type="dxa" w:w="826"/>
          </w:tcPr>
          <w:p>
            <w:pPr>
              <w:pStyle w:val="Compact"/>
              <w:keepNext/>
              <w:spacing w:before="0" w:after="0"/>
              <w:ind w:firstLine="0"/>
              <w:jc w:val="right"/>
            </w:pPr>
            <w:r>
              <w:rPr>
                <w:sz w:val="16"/>
              </w:rPr>
              <w:t>11</w:t>
            </w:r>
          </w:p>
        </w:tc>
        <w:tc>
          <w:tcPr>
            <w:tcW w:type="dxa" w:w="2274"/>
          </w:tcPr>
          <w:p>
            <w:pPr>
              <w:pStyle w:val="Compact"/>
              <w:keepNext/>
              <w:spacing w:before="0" w:after="0"/>
              <w:ind w:firstLine="0"/>
              <w:jc w:val="right"/>
            </w:pPr>
            <w:r>
              <w:rPr>
                <w:sz w:val="16"/>
              </w:rPr>
              <w:t>5.38×10⁻⁶</w:t>
            </w:r>
          </w:p>
        </w:tc>
        <w:tc>
          <w:tcPr>
            <w:tcW w:type="dxa" w:w="1447"/>
          </w:tcPr>
          <w:p>
            <w:pPr>
              <w:pStyle w:val="Compact"/>
              <w:keepNext/>
              <w:spacing w:before="0" w:after="0"/>
              <w:ind w:firstLine="0"/>
              <w:jc w:val="right"/>
            </w:pPr>
            <w:r>
              <w:rPr>
                <w:sz w:val="16"/>
              </w:rPr>
              <w:t>0.030</w:t>
            </w:r>
          </w:p>
        </w:tc>
        <w:tc>
          <w:tcPr>
            <w:tcW w:type="dxa" w:w="1757"/>
          </w:tcPr>
          <w:p>
            <w:pPr>
              <w:pStyle w:val="Compact"/>
              <w:keepNext/>
              <w:spacing w:before="0" w:after="0"/>
              <w:ind w:firstLine="0"/>
              <w:jc w:val="right"/>
            </w:pPr>
            <w:r>
              <w:rPr>
                <w:sz w:val="16"/>
              </w:rPr>
              <w:t>[−59, −7]</w:t>
            </w:r>
          </w:p>
        </w:tc>
      </w:tr>
      <w:tr>
        <w:trPr>
          <w:cantSplit/>
        </w:trPr>
        <w:tc>
          <w:tcPr>
            <w:tcW w:type="dxa" w:w="2067"/>
          </w:tcPr>
          <w:p>
            <w:pPr>
              <w:pStyle w:val="Compact"/>
              <w:keepNext/>
              <w:spacing w:before="0" w:after="0"/>
              <w:ind w:firstLine="0"/>
              <w:jc w:val="left"/>
            </w:pPr>
            <w:r>
              <w:rPr>
                <w:smallCaps/>
                <w:sz w:val="16"/>
              </w:rPr>
              <w:t>mixed</w:t>
            </w:r>
            <w:r>
              <w:rPr>
                <w:sz w:val="16"/>
              </w:rPr>
              <w:t xml:space="preserve"> vs. </w:t>
            </w:r>
            <w:r>
              <w:rPr>
                <w:smallCaps/>
                <w:sz w:val="16"/>
              </w:rPr>
              <w:t>cs-lat</w:t>
            </w:r>
          </w:p>
        </w:tc>
        <w:tc>
          <w:tcPr>
            <w:tcW w:type="dxa" w:w="1240"/>
          </w:tcPr>
          <w:p>
            <w:pPr>
              <w:pStyle w:val="Compact"/>
              <w:keepNext/>
              <w:spacing w:before="0" w:after="0"/>
              <w:ind w:firstLine="0"/>
              <w:jc w:val="left"/>
            </w:pPr>
            <w:r>
              <w:rPr>
                <w:sz w:val="16"/>
              </w:rPr>
              <w:t>−23</w:t>
            </w:r>
          </w:p>
        </w:tc>
        <w:tc>
          <w:tcPr>
            <w:tcW w:type="dxa" w:w="826"/>
          </w:tcPr>
          <w:p>
            <w:pPr>
              <w:pStyle w:val="Compact"/>
              <w:keepNext/>
              <w:spacing w:before="0" w:after="0"/>
              <w:ind w:firstLine="0"/>
              <w:jc w:val="right"/>
            </w:pPr>
            <w:r>
              <w:rPr>
                <w:sz w:val="16"/>
              </w:rPr>
              <w:t>30</w:t>
            </w:r>
          </w:p>
        </w:tc>
        <w:tc>
          <w:tcPr>
            <w:tcW w:type="dxa" w:w="826"/>
          </w:tcPr>
          <w:p>
            <w:pPr>
              <w:pStyle w:val="Compact"/>
              <w:keepNext/>
              <w:spacing w:before="0" w:after="0"/>
              <w:ind w:firstLine="0"/>
              <w:jc w:val="right"/>
            </w:pPr>
            <w:r>
              <w:rPr>
                <w:sz w:val="16"/>
              </w:rPr>
              <w:t>7</w:t>
            </w:r>
          </w:p>
        </w:tc>
        <w:tc>
          <w:tcPr>
            <w:tcW w:type="dxa" w:w="2274"/>
          </w:tcPr>
          <w:p>
            <w:pPr>
              <w:pStyle w:val="Compact"/>
              <w:keepNext/>
              <w:spacing w:before="0" w:after="0"/>
              <w:ind w:firstLine="0"/>
              <w:jc w:val="right"/>
            </w:pPr>
            <w:r>
              <w:rPr>
                <w:sz w:val="16"/>
              </w:rPr>
              <w:t>1.91×10⁻⁴</w:t>
            </w:r>
          </w:p>
        </w:tc>
        <w:tc>
          <w:tcPr>
            <w:tcW w:type="dxa" w:w="1447"/>
          </w:tcPr>
          <w:p>
            <w:pPr>
              <w:pStyle w:val="Compact"/>
              <w:keepNext/>
              <w:spacing w:before="0" w:after="0"/>
              <w:ind w:firstLine="0"/>
              <w:jc w:val="right"/>
            </w:pPr>
            <w:r>
              <w:rPr>
                <w:sz w:val="16"/>
              </w:rPr>
              <w:t>0.004</w:t>
            </w:r>
          </w:p>
        </w:tc>
        <w:tc>
          <w:tcPr>
            <w:tcW w:type="dxa" w:w="1757"/>
          </w:tcPr>
          <w:p>
            <w:pPr>
              <w:pStyle w:val="Compact"/>
              <w:keepNext/>
              <w:spacing w:before="0" w:after="0"/>
              <w:ind w:firstLine="0"/>
              <w:jc w:val="right"/>
            </w:pPr>
            <w:r>
              <w:rPr>
                <w:sz w:val="16"/>
              </w:rPr>
              <w:t>[−35, −11]</w:t>
            </w:r>
          </w:p>
        </w:tc>
      </w:tr>
      <w:tr>
        <w:trPr>
          <w:cantSplit/>
        </w:trPr>
        <w:tc>
          <w:tcPr>
            <w:tcW w:type="dxa" w:w="2067"/>
          </w:tcPr>
          <w:p>
            <w:pPr>
              <w:pStyle w:val="Compact"/>
              <w:keepNext/>
              <w:spacing w:before="0" w:after="0"/>
              <w:ind w:firstLine="0"/>
              <w:jc w:val="left"/>
            </w:pPr>
            <w:r>
              <w:rPr>
                <w:smallCaps/>
                <w:sz w:val="16"/>
              </w:rPr>
              <w:t>en-match</w:t>
            </w:r>
            <w:r>
              <w:rPr>
                <w:sz w:val="16"/>
              </w:rPr>
              <w:t xml:space="preserve"> vs. </w:t>
            </w:r>
            <w:r>
              <w:rPr>
                <w:smallCaps/>
                <w:sz w:val="16"/>
              </w:rPr>
              <w:t>en-orig</w:t>
            </w:r>
          </w:p>
        </w:tc>
        <w:tc>
          <w:tcPr>
            <w:tcW w:type="dxa" w:w="1240"/>
          </w:tcPr>
          <w:p>
            <w:pPr>
              <w:pStyle w:val="Compact"/>
              <w:keepNext/>
              <w:spacing w:before="0" w:after="0"/>
              <w:ind w:firstLine="0"/>
              <w:jc w:val="left"/>
            </w:pPr>
            <w:r>
              <w:rPr>
                <w:sz w:val="16"/>
              </w:rPr>
              <w:t>−10</w:t>
            </w:r>
          </w:p>
        </w:tc>
        <w:tc>
          <w:tcPr>
            <w:tcW w:type="dxa" w:w="826"/>
          </w:tcPr>
          <w:p>
            <w:pPr>
              <w:pStyle w:val="Compact"/>
              <w:keepNext/>
              <w:spacing w:before="0" w:after="0"/>
              <w:ind w:firstLine="0"/>
              <w:jc w:val="right"/>
            </w:pPr>
            <w:r>
              <w:rPr>
                <w:sz w:val="16"/>
              </w:rPr>
              <w:t>20</w:t>
            </w:r>
          </w:p>
        </w:tc>
        <w:tc>
          <w:tcPr>
            <w:tcW w:type="dxa" w:w="826"/>
          </w:tcPr>
          <w:p>
            <w:pPr>
              <w:pStyle w:val="Compact"/>
              <w:keepNext/>
              <w:spacing w:before="0" w:after="0"/>
              <w:ind w:firstLine="0"/>
              <w:jc w:val="right"/>
            </w:pPr>
            <w:r>
              <w:rPr>
                <w:sz w:val="16"/>
              </w:rPr>
              <w:t>10</w:t>
            </w:r>
          </w:p>
        </w:tc>
        <w:tc>
          <w:tcPr>
            <w:tcW w:type="dxa" w:w="2274"/>
          </w:tcPr>
          <w:p>
            <w:pPr>
              <w:pStyle w:val="Compact"/>
              <w:keepNext/>
              <w:spacing w:before="0" w:after="0"/>
              <w:ind w:firstLine="0"/>
              <w:jc w:val="right"/>
            </w:pPr>
            <w:r>
              <w:rPr>
                <w:sz w:val="16"/>
              </w:rPr>
              <w:t>0.099</w:t>
            </w:r>
          </w:p>
        </w:tc>
        <w:tc>
          <w:tcPr>
            <w:tcW w:type="dxa" w:w="1447"/>
          </w:tcPr>
          <w:p>
            <w:pPr>
              <w:pStyle w:val="Compact"/>
              <w:keepNext/>
              <w:spacing w:before="0" w:after="0"/>
              <w:ind w:firstLine="0"/>
              <w:jc w:val="right"/>
            </w:pPr>
            <w:r>
              <w:rPr>
                <w:sz w:val="16"/>
              </w:rPr>
              <w:t>0.69</w:t>
            </w:r>
          </w:p>
        </w:tc>
        <w:tc>
          <w:tcPr>
            <w:tcW w:type="dxa" w:w="1757"/>
          </w:tcPr>
          <w:p>
            <w:pPr>
              <w:pStyle w:val="Compact"/>
              <w:keepNext/>
              <w:spacing w:before="0" w:after="0"/>
              <w:ind w:firstLine="0"/>
              <w:jc w:val="right"/>
            </w:pPr>
            <w:r>
              <w:rPr>
                <w:sz w:val="16"/>
              </w:rPr>
              <w:t>[−35, 15]</w:t>
            </w:r>
          </w:p>
        </w:tc>
      </w:tr>
      <w:tr>
        <w:trPr>
          <w:cantSplit/>
        </w:trPr>
        <w:tc>
          <w:tcPr>
            <w:tcW w:type="dxa" w:w="2067"/>
          </w:tcPr>
          <w:p>
            <w:pPr>
              <w:pStyle w:val="Compact"/>
              <w:keepNext/>
              <w:spacing w:before="0" w:after="0"/>
              <w:ind w:firstLine="0"/>
              <w:jc w:val="left"/>
            </w:pPr>
            <w:r>
              <w:rPr>
                <w:smallCaps/>
                <w:sz w:val="16"/>
              </w:rPr>
              <w:t>mixed</w:t>
            </w:r>
            <w:r>
              <w:rPr>
                <w:sz w:val="16"/>
              </w:rPr>
              <w:t xml:space="preserve"> vs. </w:t>
            </w:r>
            <w:r>
              <w:rPr>
                <w:smallCaps/>
                <w:sz w:val="16"/>
              </w:rPr>
              <w:t>roman</w:t>
            </w:r>
          </w:p>
        </w:tc>
        <w:tc>
          <w:tcPr>
            <w:tcW w:type="dxa" w:w="1240"/>
          </w:tcPr>
          <w:p>
            <w:pPr>
              <w:pStyle w:val="Compact"/>
              <w:keepNext/>
              <w:spacing w:before="0" w:after="0"/>
              <w:ind w:firstLine="0"/>
              <w:jc w:val="left"/>
            </w:pPr>
            <w:r>
              <w:rPr>
                <w:sz w:val="16"/>
              </w:rPr>
              <w:t>−11</w:t>
            </w:r>
          </w:p>
        </w:tc>
        <w:tc>
          <w:tcPr>
            <w:tcW w:type="dxa" w:w="826"/>
          </w:tcPr>
          <w:p>
            <w:pPr>
              <w:pStyle w:val="Compact"/>
              <w:keepNext/>
              <w:spacing w:before="0" w:after="0"/>
              <w:ind w:firstLine="0"/>
              <w:jc w:val="right"/>
            </w:pPr>
            <w:r>
              <w:rPr>
                <w:sz w:val="16"/>
              </w:rPr>
              <w:t>19</w:t>
            </w:r>
          </w:p>
        </w:tc>
        <w:tc>
          <w:tcPr>
            <w:tcW w:type="dxa" w:w="826"/>
          </w:tcPr>
          <w:p>
            <w:pPr>
              <w:pStyle w:val="Compact"/>
              <w:keepNext/>
              <w:spacing w:before="0" w:after="0"/>
              <w:ind w:firstLine="0"/>
              <w:jc w:val="right"/>
            </w:pPr>
            <w:r>
              <w:rPr>
                <w:sz w:val="16"/>
              </w:rPr>
              <w:t>8</w:t>
            </w:r>
          </w:p>
        </w:tc>
        <w:tc>
          <w:tcPr>
            <w:tcW w:type="dxa" w:w="2274"/>
          </w:tcPr>
          <w:p>
            <w:pPr>
              <w:pStyle w:val="Compact"/>
              <w:keepNext/>
              <w:spacing w:before="0" w:after="0"/>
              <w:ind w:firstLine="0"/>
              <w:jc w:val="right"/>
            </w:pPr>
            <w:r>
              <w:rPr>
                <w:sz w:val="16"/>
              </w:rPr>
              <w:t>0.052</w:t>
            </w:r>
          </w:p>
        </w:tc>
        <w:tc>
          <w:tcPr>
            <w:tcW w:type="dxa" w:w="1447"/>
          </w:tcPr>
          <w:p>
            <w:pPr>
              <w:pStyle w:val="Compact"/>
              <w:keepNext/>
              <w:spacing w:before="0" w:after="0"/>
              <w:ind w:firstLine="0"/>
              <w:jc w:val="right"/>
            </w:pPr>
            <w:r>
              <w:rPr>
                <w:sz w:val="16"/>
              </w:rPr>
              <w:t>0.069</w:t>
            </w:r>
          </w:p>
        </w:tc>
        <w:tc>
          <w:tcPr>
            <w:tcW w:type="dxa" w:w="1757"/>
          </w:tcPr>
          <w:p>
            <w:pPr>
              <w:pStyle w:val="Compact"/>
              <w:keepNext/>
              <w:spacing w:before="0" w:after="0"/>
              <w:ind w:firstLine="0"/>
              <w:jc w:val="right"/>
            </w:pPr>
            <w:r>
              <w:rPr>
                <w:sz w:val="16"/>
              </w:rPr>
              <w:t>[−21, −1]</w:t>
            </w:r>
          </w:p>
        </w:tc>
      </w:tr>
      <w:tr>
        <w:trPr>
          <w:cantSplit/>
        </w:trPr>
        <w:tc>
          <w:tcPr>
            <w:tcW w:type="dxa" w:w="2067"/>
          </w:tcPr>
          <w:p>
            <w:pPr>
              <w:pStyle w:val="Compact"/>
              <w:keepNext/>
              <w:spacing w:before="0" w:after="0"/>
              <w:ind w:firstLine="0"/>
              <w:jc w:val="left"/>
            </w:pPr>
            <w:r>
              <w:rPr>
                <w:smallCaps/>
                <w:sz w:val="16"/>
              </w:rPr>
              <w:t>mixed</w:t>
            </w:r>
            <w:r>
              <w:rPr>
                <w:sz w:val="16"/>
              </w:rPr>
              <w:t xml:space="preserve"> vs. </w:t>
            </w:r>
            <w:r>
              <w:rPr>
                <w:smallCaps/>
                <w:sz w:val="16"/>
              </w:rPr>
              <w:t>native</w:t>
            </w:r>
          </w:p>
        </w:tc>
        <w:tc>
          <w:tcPr>
            <w:tcW w:type="dxa" w:w="1240"/>
          </w:tcPr>
          <w:p>
            <w:pPr>
              <w:pStyle w:val="Compact"/>
              <w:keepNext/>
              <w:spacing w:before="0" w:after="0"/>
              <w:ind w:firstLine="0"/>
              <w:jc w:val="left"/>
            </w:pPr>
            <w:r>
              <w:rPr>
                <w:sz w:val="16"/>
              </w:rPr>
              <w:t>−6</w:t>
            </w:r>
          </w:p>
        </w:tc>
        <w:tc>
          <w:tcPr>
            <w:tcW w:type="dxa" w:w="826"/>
          </w:tcPr>
          <w:p>
            <w:pPr>
              <w:pStyle w:val="Compact"/>
              <w:keepNext/>
              <w:spacing w:before="0" w:after="0"/>
              <w:ind w:firstLine="0"/>
              <w:jc w:val="right"/>
            </w:pPr>
            <w:r>
              <w:rPr>
                <w:sz w:val="16"/>
              </w:rPr>
              <w:t>14</w:t>
            </w:r>
          </w:p>
        </w:tc>
        <w:tc>
          <w:tcPr>
            <w:tcW w:type="dxa" w:w="826"/>
          </w:tcPr>
          <w:p>
            <w:pPr>
              <w:pStyle w:val="Compact"/>
              <w:keepNext/>
              <w:spacing w:before="0" w:after="0"/>
              <w:ind w:firstLine="0"/>
              <w:jc w:val="right"/>
            </w:pPr>
            <w:r>
              <w:rPr>
                <w:sz w:val="16"/>
              </w:rPr>
              <w:t>8</w:t>
            </w:r>
          </w:p>
        </w:tc>
        <w:tc>
          <w:tcPr>
            <w:tcW w:type="dxa" w:w="2274"/>
          </w:tcPr>
          <w:p>
            <w:pPr>
              <w:pStyle w:val="Compact"/>
              <w:keepNext/>
              <w:spacing w:before="0" w:after="0"/>
              <w:ind w:firstLine="0"/>
              <w:jc w:val="right"/>
            </w:pPr>
            <w:r>
              <w:rPr>
                <w:sz w:val="16"/>
              </w:rPr>
              <w:t>0.29</w:t>
            </w:r>
          </w:p>
        </w:tc>
        <w:tc>
          <w:tcPr>
            <w:tcW w:type="dxa" w:w="1447"/>
          </w:tcPr>
          <w:p>
            <w:pPr>
              <w:pStyle w:val="Compact"/>
              <w:keepNext/>
              <w:spacing w:before="0" w:after="0"/>
              <w:ind w:firstLine="0"/>
              <w:jc w:val="right"/>
            </w:pPr>
            <w:r>
              <w:rPr>
                <w:sz w:val="16"/>
              </w:rPr>
              <w:t>0.46</w:t>
            </w:r>
          </w:p>
        </w:tc>
        <w:tc>
          <w:tcPr>
            <w:tcW w:type="dxa" w:w="1757"/>
          </w:tcPr>
          <w:p>
            <w:pPr>
              <w:pStyle w:val="Compact"/>
              <w:keepNext/>
              <w:spacing w:before="0" w:after="0"/>
              <w:ind w:firstLine="0"/>
              <w:jc w:val="right"/>
            </w:pPr>
            <w:r>
              <w:rPr>
                <w:sz w:val="16"/>
              </w:rPr>
              <w:t>[−18, 6]</w:t>
            </w:r>
          </w:p>
        </w:tc>
      </w:tr>
      <w:tr>
        <w:trPr>
          <w:cantSplit/>
        </w:trPr>
        <w:tc>
          <w:tcPr>
            <w:tcW w:type="dxa" w:w="2067"/>
          </w:tcPr>
          <w:p>
            <w:pPr>
              <w:pStyle w:val="Compact"/>
              <w:keepNext/>
              <w:spacing w:before="0" w:after="0"/>
              <w:ind w:firstLine="0"/>
              <w:jc w:val="left"/>
            </w:pPr>
            <w:r>
              <w:rPr>
                <w:smallCaps/>
                <w:sz w:val="16"/>
              </w:rPr>
              <w:t>roman</w:t>
            </w:r>
            <w:r>
              <w:rPr>
                <w:sz w:val="16"/>
              </w:rPr>
              <w:t xml:space="preserve"> vs. </w:t>
            </w:r>
            <w:r>
              <w:rPr>
                <w:smallCaps/>
                <w:sz w:val="16"/>
              </w:rPr>
              <w:t>cs-lat</w:t>
            </w:r>
          </w:p>
        </w:tc>
        <w:tc>
          <w:tcPr>
            <w:tcW w:type="dxa" w:w="1240"/>
          </w:tcPr>
          <w:p>
            <w:pPr>
              <w:pStyle w:val="Compact"/>
              <w:keepNext/>
              <w:spacing w:before="0" w:after="0"/>
              <w:ind w:firstLine="0"/>
              <w:jc w:val="left"/>
            </w:pPr>
            <w:r>
              <w:rPr>
                <w:sz w:val="16"/>
              </w:rPr>
              <w:t>−12</w:t>
            </w:r>
          </w:p>
        </w:tc>
        <w:tc>
          <w:tcPr>
            <w:tcW w:type="dxa" w:w="826"/>
          </w:tcPr>
          <w:p>
            <w:pPr>
              <w:pStyle w:val="Compact"/>
              <w:keepNext/>
              <w:spacing w:before="0" w:after="0"/>
              <w:ind w:firstLine="0"/>
              <w:jc w:val="right"/>
            </w:pPr>
            <w:r>
              <w:rPr>
                <w:sz w:val="16"/>
              </w:rPr>
              <w:t>25</w:t>
            </w:r>
          </w:p>
        </w:tc>
        <w:tc>
          <w:tcPr>
            <w:tcW w:type="dxa" w:w="826"/>
          </w:tcPr>
          <w:p>
            <w:pPr>
              <w:pStyle w:val="Compact"/>
              <w:keepNext/>
              <w:spacing w:before="0" w:after="0"/>
              <w:ind w:firstLine="0"/>
              <w:jc w:val="right"/>
            </w:pPr>
            <w:r>
              <w:rPr>
                <w:sz w:val="16"/>
              </w:rPr>
              <w:t>13</w:t>
            </w:r>
          </w:p>
        </w:tc>
        <w:tc>
          <w:tcPr>
            <w:tcW w:type="dxa" w:w="2274"/>
          </w:tcPr>
          <w:p>
            <w:pPr>
              <w:pStyle w:val="Compact"/>
              <w:keepNext/>
              <w:spacing w:before="0" w:after="0"/>
              <w:ind w:firstLine="0"/>
              <w:jc w:val="right"/>
            </w:pPr>
            <w:r>
              <w:rPr>
                <w:sz w:val="16"/>
              </w:rPr>
              <w:t>0.073</w:t>
            </w:r>
          </w:p>
        </w:tc>
        <w:tc>
          <w:tcPr>
            <w:tcW w:type="dxa" w:w="1447"/>
          </w:tcPr>
          <w:p>
            <w:pPr>
              <w:pStyle w:val="Compact"/>
              <w:keepNext/>
              <w:spacing w:before="0" w:after="0"/>
              <w:ind w:firstLine="0"/>
              <w:jc w:val="right"/>
            </w:pPr>
            <w:r>
              <w:rPr>
                <w:sz w:val="16"/>
              </w:rPr>
              <w:t>0.057</w:t>
            </w:r>
          </w:p>
        </w:tc>
        <w:tc>
          <w:tcPr>
            <w:tcW w:type="dxa" w:w="1757"/>
          </w:tcPr>
          <w:p>
            <w:pPr>
              <w:pStyle w:val="Compact"/>
              <w:keepNext/>
              <w:spacing w:before="0" w:after="0"/>
              <w:ind w:firstLine="0"/>
              <w:jc w:val="right"/>
            </w:pPr>
            <w:r>
              <w:rPr>
                <w:sz w:val="16"/>
              </w:rPr>
              <w:t>[−22, −2]</w:t>
            </w:r>
          </w:p>
        </w:tc>
      </w:tr>
      <w:tr>
        <w:trPr>
          <w:cantSplit/>
        </w:trPr>
        <w:tc>
          <w:tcPr>
            <w:tcW w:type="dxa" w:w="2067"/>
          </w:tcPr>
          <w:p>
            <w:pPr>
              <w:pStyle w:val="Compact"/>
              <w:keepNext/>
              <w:spacing w:before="0" w:after="0"/>
              <w:ind w:firstLine="0"/>
              <w:jc w:val="left"/>
            </w:pPr>
            <w:r>
              <w:rPr>
                <w:smallCaps/>
                <w:sz w:val="16"/>
              </w:rPr>
              <w:t>native</w:t>
            </w:r>
            <w:r>
              <w:rPr>
                <w:sz w:val="16"/>
              </w:rPr>
              <w:t xml:space="preserve"> vs. </w:t>
            </w:r>
            <w:r>
              <w:rPr>
                <w:smallCaps/>
                <w:sz w:val="16"/>
              </w:rPr>
              <w:t>cs-lat</w:t>
            </w:r>
          </w:p>
        </w:tc>
        <w:tc>
          <w:tcPr>
            <w:tcW w:type="dxa" w:w="1240"/>
          </w:tcPr>
          <w:p>
            <w:pPr>
              <w:pStyle w:val="Compact"/>
              <w:keepNext/>
              <w:spacing w:before="0" w:after="0"/>
              <w:ind w:firstLine="0"/>
              <w:jc w:val="left"/>
            </w:pPr>
            <w:r>
              <w:rPr>
                <w:sz w:val="16"/>
              </w:rPr>
              <w:t>−17</w:t>
            </w:r>
          </w:p>
        </w:tc>
        <w:tc>
          <w:tcPr>
            <w:tcW w:type="dxa" w:w="826"/>
          </w:tcPr>
          <w:p>
            <w:pPr>
              <w:pStyle w:val="Compact"/>
              <w:keepNext/>
              <w:spacing w:before="0" w:after="0"/>
              <w:ind w:firstLine="0"/>
              <w:jc w:val="right"/>
            </w:pPr>
            <w:r>
              <w:rPr>
                <w:sz w:val="16"/>
              </w:rPr>
              <w:t>27</w:t>
            </w:r>
          </w:p>
        </w:tc>
        <w:tc>
          <w:tcPr>
            <w:tcW w:type="dxa" w:w="826"/>
          </w:tcPr>
          <w:p>
            <w:pPr>
              <w:pStyle w:val="Compact"/>
              <w:keepNext/>
              <w:spacing w:before="0" w:after="0"/>
              <w:ind w:firstLine="0"/>
              <w:jc w:val="right"/>
            </w:pPr>
            <w:r>
              <w:rPr>
                <w:sz w:val="16"/>
              </w:rPr>
              <w:t>10</w:t>
            </w:r>
          </w:p>
        </w:tc>
        <w:tc>
          <w:tcPr>
            <w:tcW w:type="dxa" w:w="2274"/>
          </w:tcPr>
          <w:p>
            <w:pPr>
              <w:pStyle w:val="Compact"/>
              <w:keepNext/>
              <w:spacing w:before="0" w:after="0"/>
              <w:ind w:firstLine="0"/>
              <w:jc w:val="right"/>
            </w:pPr>
            <w:r>
              <w:rPr>
                <w:sz w:val="16"/>
              </w:rPr>
              <w:t>0.008</w:t>
            </w:r>
          </w:p>
        </w:tc>
        <w:tc>
          <w:tcPr>
            <w:tcW w:type="dxa" w:w="1447"/>
          </w:tcPr>
          <w:p>
            <w:pPr>
              <w:pStyle w:val="Compact"/>
              <w:keepNext/>
              <w:spacing w:before="0" w:after="0"/>
              <w:ind w:firstLine="0"/>
              <w:jc w:val="right"/>
            </w:pPr>
            <w:r>
              <w:rPr>
                <w:sz w:val="16"/>
              </w:rPr>
              <w:t>0.033</w:t>
            </w:r>
          </w:p>
        </w:tc>
        <w:tc>
          <w:tcPr>
            <w:tcW w:type="dxa" w:w="1757"/>
          </w:tcPr>
          <w:p>
            <w:pPr>
              <w:pStyle w:val="Compact"/>
              <w:keepNext/>
              <w:spacing w:before="0" w:after="0"/>
              <w:ind w:firstLine="0"/>
              <w:jc w:val="right"/>
            </w:pPr>
            <w:r>
              <w:rPr>
                <w:sz w:val="16"/>
              </w:rPr>
              <w:t>[−30, −4]</w:t>
            </w:r>
          </w:p>
        </w:tc>
      </w:tr>
      <w:tr>
        <w:trPr>
          <w:cantSplit/>
        </w:trPr>
        <w:tc>
          <w:tcPr>
            <w:tcW w:type="dxa" w:w="2067"/>
            <w:tcBorders>
              <w:bottom w:val="single" w:sz="12" w:color="000000" w:space="0"/>
            </w:tcBorders>
          </w:tcPr>
          <w:p>
            <w:pPr>
              <w:pStyle w:val="Compact"/>
              <w:spacing w:before="0" w:after="0"/>
              <w:ind w:firstLine="0"/>
              <w:jc w:val="left"/>
            </w:pPr>
            <w:r>
              <w:rPr>
                <w:smallCaps/>
                <w:sz w:val="16"/>
              </w:rPr>
              <w:t>native</w:t>
            </w:r>
            <w:r>
              <w:rPr>
                <w:sz w:val="16"/>
              </w:rPr>
              <w:t xml:space="preserve"> vs. </w:t>
            </w:r>
            <w:r>
              <w:rPr>
                <w:smallCaps/>
                <w:sz w:val="16"/>
              </w:rPr>
              <w:t>roman</w:t>
            </w:r>
          </w:p>
        </w:tc>
        <w:tc>
          <w:tcPr>
            <w:tcW w:type="dxa" w:w="1240"/>
            <w:tcBorders>
              <w:bottom w:val="single" w:sz="12" w:color="000000" w:space="0"/>
            </w:tcBorders>
          </w:tcPr>
          <w:p>
            <w:pPr>
              <w:pStyle w:val="Compact"/>
              <w:spacing w:before="0" w:after="0"/>
              <w:ind w:firstLine="0"/>
              <w:jc w:val="left"/>
            </w:pPr>
            <w:r>
              <w:rPr>
                <w:sz w:val="16"/>
              </w:rPr>
              <w:t>−5</w:t>
            </w:r>
          </w:p>
        </w:tc>
        <w:tc>
          <w:tcPr>
            <w:tcW w:type="dxa" w:w="826"/>
            <w:tcBorders>
              <w:bottom w:val="single" w:sz="12" w:color="000000" w:space="0"/>
            </w:tcBorders>
          </w:tcPr>
          <w:p>
            <w:pPr>
              <w:pStyle w:val="Compact"/>
              <w:spacing w:before="0" w:after="0"/>
              <w:ind w:firstLine="0"/>
              <w:jc w:val="right"/>
            </w:pPr>
            <w:r>
              <w:rPr>
                <w:sz w:val="16"/>
              </w:rPr>
              <w:t>16</w:t>
            </w:r>
          </w:p>
        </w:tc>
        <w:tc>
          <w:tcPr>
            <w:tcW w:type="dxa" w:w="826"/>
            <w:tcBorders>
              <w:bottom w:val="single" w:sz="12" w:color="000000" w:space="0"/>
            </w:tcBorders>
          </w:tcPr>
          <w:p>
            <w:pPr>
              <w:pStyle w:val="Compact"/>
              <w:spacing w:before="0" w:after="0"/>
              <w:ind w:firstLine="0"/>
              <w:jc w:val="right"/>
            </w:pPr>
            <w:r>
              <w:rPr>
                <w:sz w:val="16"/>
              </w:rPr>
              <w:t>11</w:t>
            </w:r>
          </w:p>
        </w:tc>
        <w:tc>
          <w:tcPr>
            <w:tcW w:type="dxa" w:w="2274"/>
            <w:tcBorders>
              <w:bottom w:val="single" w:sz="12" w:color="000000" w:space="0"/>
            </w:tcBorders>
          </w:tcPr>
          <w:p>
            <w:pPr>
              <w:pStyle w:val="Compact"/>
              <w:spacing w:before="0" w:after="0"/>
              <w:ind w:firstLine="0"/>
              <w:jc w:val="right"/>
            </w:pPr>
            <w:r>
              <w:rPr>
                <w:sz w:val="16"/>
              </w:rPr>
              <w:t>0.44</w:t>
            </w:r>
          </w:p>
        </w:tc>
        <w:tc>
          <w:tcPr>
            <w:tcW w:type="dxa" w:w="1447"/>
            <w:tcBorders>
              <w:bottom w:val="single" w:sz="12" w:color="000000" w:space="0"/>
            </w:tcBorders>
          </w:tcPr>
          <w:p>
            <w:pPr>
              <w:pStyle w:val="Compact"/>
              <w:spacing w:before="0" w:after="0"/>
              <w:ind w:firstLine="0"/>
              <w:jc w:val="right"/>
            </w:pPr>
            <w:r>
              <w:rPr>
                <w:sz w:val="16"/>
              </w:rPr>
              <w:t>0.37</w:t>
            </w:r>
          </w:p>
        </w:tc>
        <w:tc>
          <w:tcPr>
            <w:tcW w:type="dxa" w:w="1757"/>
            <w:tcBorders>
              <w:bottom w:val="single" w:sz="12" w:color="000000" w:space="0"/>
            </w:tcBorders>
          </w:tcPr>
          <w:p>
            <w:pPr>
              <w:pStyle w:val="Compact"/>
              <w:spacing w:before="0" w:after="0"/>
              <w:ind w:firstLine="0"/>
              <w:jc w:val="right"/>
            </w:pPr>
            <w:r>
              <w:rPr>
                <w:sz w:val="16"/>
              </w:rPr>
              <w:t>[−13, 3]</w:t>
            </w:r>
          </w:p>
        </w:tc>
      </w:tr>
    </w:tbl>
    <w:p>
      <w:pPr>
        <w:spacing w:before="0" w:after="0" w:line="20" w:lineRule="exact"/>
        <w:rPr>
          <w:sz w:val="2"/>
        </w:rPr>
        <w:sectPr>
          <w:type w:val="continuous"/>
          <w:pgSz w:w="12240" w:h="15840"/>
          <w:pgMar w:top="1080" w:right="900" w:bottom="1296" w:left="900" w:header="576" w:footer="576" w:gutter="0"/>
          <w:cols w:num="1"/>
        </w:sectPr>
      </w:pPr>
    </w:p>
    <w:p>
      <w:pPr>
        <w:pStyle w:val="BodyText"/>
        <w:keepNext/>
        <w:spacing w:before="120" w:after="60"/>
        <w:ind w:firstLine="0"/>
        <w:jc w:val="center"/>
      </w:pPr>
      <w:r>
        <w:t>TABLE IX</w:t>
      </w:r>
      <w:r>
        <w:br/>
      </w:r>
      <w:r>
        <w:t xml:space="preserve">Logistic GEE (independence working correlation, robust covariance), J-QWEN labels, 128 tokens. β̂ is the log-odds difference from </w:t>
      </w:r>
      <w:r>
        <w:rPr>
          <w:smallCaps/>
        </w:rPr>
        <w:t>en-match</w:t>
      </w:r>
      <w:r>
        <w:t xml:space="preserve"> (first four blocks, 500 observations) or from </w:t>
      </w:r>
      <w:r>
        <w:rPr>
          <w:smallCaps/>
        </w:rPr>
        <w:t>cs-lat</w:t>
      </w:r>
      <w:r>
        <w:t xml:space="preserve"> (last block, 200). Topic-level robust SEs with 20 clusters are anti-conservative.</w:t>
      </w:r>
    </w:p>
    <w:tbl>
      <w:tblPr>
        <w:tblStyle w:val="Table"/>
        <w:tblW w:type="dxa" w:w="5038"/>
        <w:tblLook w:firstRow="1" w:lastRow="0" w:firstColumn="0" w:lastColumn="0" w:noHBand="0" w:noVBand="0" w:val="0020"/>
        <w:jc w:val="center"/>
        <w:tblCellMar>
          <w:top w:w="10" w:type="dxa"/>
          <w:left w:w="50" w:type="dxa"/>
          <w:bottom w:w="10" w:type="dxa"/>
          <w:right w:w="50" w:type="dxa"/>
        </w:tblCellMar>
        <w:tblLayout w:type="fixed"/>
      </w:tblPr>
      <w:tblGrid>
        <w:gridCol w:w="1028"/>
        <w:gridCol w:w="1337"/>
        <w:gridCol w:w="822"/>
        <w:gridCol w:w="720"/>
        <w:gridCol w:w="1131"/>
      </w:tblGrid>
      <w:tr>
        <w:trPr>
          <w:tblHeader w:val="true"/>
          <w:cantSplit/>
        </w:trPr>
        <w:tc>
          <w:tcPr>
            <w:tcW w:type="dxa" w:w="1028"/>
            <w:tcBorders>
              <w:top w:val="single" w:sz="12" w:color="000000" w:space="0"/>
              <w:bottom w:val="single" w:sz="6" w:color="000000" w:space="0"/>
            </w:tcBorders>
          </w:tcPr>
          <w:p>
            <w:pPr>
              <w:pStyle w:val="Compact"/>
              <w:keepNext/>
              <w:spacing w:before="0" w:after="0"/>
              <w:ind w:firstLine="0"/>
              <w:jc w:val="left"/>
            </w:pPr>
            <w:r>
              <w:rPr>
                <w:b/>
                <w:sz w:val="16"/>
              </w:rPr>
              <w:t>Contrast</w:t>
            </w:r>
          </w:p>
        </w:tc>
        <w:tc>
          <w:tcPr>
            <w:tcW w:type="dxa" w:w="1337"/>
            <w:tcBorders>
              <w:top w:val="single" w:sz="12" w:color="000000" w:space="0"/>
              <w:bottom w:val="single" w:sz="6" w:color="000000" w:space="0"/>
            </w:tcBorders>
          </w:tcPr>
          <w:p>
            <w:pPr>
              <w:pStyle w:val="Compact"/>
              <w:keepNext/>
              <w:spacing w:before="0" w:after="0"/>
              <w:ind w:firstLine="0"/>
              <w:jc w:val="left"/>
            </w:pPr>
            <w:r>
              <w:rPr>
                <w:b/>
                <w:sz w:val="16"/>
              </w:rPr>
              <w:t>Clustering unit (#)</w:t>
            </w:r>
          </w:p>
        </w:tc>
        <w:tc>
          <w:tcPr>
            <w:tcW w:type="dxa" w:w="822"/>
            <w:tcBorders>
              <w:top w:val="single" w:sz="12" w:color="000000" w:space="0"/>
              <w:bottom w:val="single" w:sz="6" w:color="000000" w:space="0"/>
            </w:tcBorders>
          </w:tcPr>
          <w:p>
            <w:pPr>
              <w:pStyle w:val="Compact"/>
              <w:keepNext/>
              <w:spacing w:before="0" w:after="0"/>
              <w:ind w:firstLine="0"/>
              <w:jc w:val="right"/>
            </w:pPr>
            <w:r>
              <w:rPr>
                <w:b/>
                <w:sz w:val="16"/>
              </w:rPr>
              <w:t>β̂</w:t>
            </w:r>
          </w:p>
        </w:tc>
        <w:tc>
          <w:tcPr>
            <w:tcW w:type="dxa" w:w="720"/>
            <w:tcBorders>
              <w:top w:val="single" w:sz="12" w:color="000000" w:space="0"/>
              <w:bottom w:val="single" w:sz="6" w:color="000000" w:space="0"/>
            </w:tcBorders>
          </w:tcPr>
          <w:p>
            <w:pPr>
              <w:pStyle w:val="Compact"/>
              <w:keepNext/>
              <w:spacing w:before="0" w:after="0"/>
              <w:ind w:firstLine="0"/>
              <w:jc w:val="right"/>
            </w:pPr>
            <w:r>
              <w:rPr>
                <w:b/>
                <w:sz w:val="16"/>
              </w:rPr>
              <w:t>SE</w:t>
            </w:r>
          </w:p>
        </w:tc>
        <w:tc>
          <w:tcPr>
            <w:tcW w:type="dxa" w:w="1131"/>
            <w:tcBorders>
              <w:top w:val="single" w:sz="12" w:color="000000" w:space="0"/>
              <w:bottom w:val="single" w:sz="6" w:color="000000" w:space="0"/>
            </w:tcBorders>
          </w:tcPr>
          <w:p>
            <w:pPr>
              <w:pStyle w:val="Compact"/>
              <w:keepNext/>
              <w:spacing w:before="0" w:after="0"/>
              <w:ind w:firstLine="0"/>
              <w:jc w:val="right"/>
            </w:pPr>
            <w:r>
              <w:rPr>
                <w:b/>
                <w:sz w:val="16"/>
              </w:rPr>
              <w:t>p</w:t>
            </w:r>
          </w:p>
        </w:tc>
      </w:tr>
      <w:tr>
        <w:trPr>
          <w:cantSplit/>
        </w:trPr>
        <w:tc>
          <w:tcPr>
            <w:tcW w:type="dxa" w:w="1028"/>
          </w:tcPr>
          <w:p>
            <w:pPr>
              <w:pStyle w:val="Compact"/>
              <w:keepNext/>
              <w:spacing w:before="0" w:after="0"/>
              <w:ind w:firstLine="0"/>
              <w:jc w:val="left"/>
            </w:pPr>
            <w:r>
              <w:rPr>
                <w:smallCaps/>
                <w:sz w:val="16"/>
              </w:rPr>
              <w:t>cs-lat</w:t>
            </w:r>
            <w:r>
              <w:rPr>
                <w:sz w:val="16"/>
              </w:rPr>
              <w:t xml:space="preserve"> vs. </w:t>
            </w:r>
            <w:r>
              <w:rPr>
                <w:smallCaps/>
                <w:sz w:val="16"/>
              </w:rPr>
              <w:t>en-match</w:t>
            </w:r>
          </w:p>
        </w:tc>
        <w:tc>
          <w:tcPr>
            <w:tcW w:type="dxa" w:w="1337"/>
          </w:tcPr>
          <w:p>
            <w:pPr>
              <w:pStyle w:val="Compact"/>
              <w:keepNext/>
              <w:spacing w:before="0" w:after="0"/>
              <w:ind w:firstLine="0"/>
              <w:jc w:val="left"/>
            </w:pPr>
            <w:r>
              <w:rPr>
                <w:sz w:val="16"/>
              </w:rPr>
              <w:t>prompt (500)</w:t>
            </w:r>
          </w:p>
        </w:tc>
        <w:tc>
          <w:tcPr>
            <w:tcW w:type="dxa" w:w="822"/>
          </w:tcPr>
          <w:p>
            <w:pPr>
              <w:pStyle w:val="Compact"/>
              <w:keepNext/>
              <w:spacing w:before="0" w:after="0"/>
              <w:ind w:firstLine="0"/>
              <w:jc w:val="right"/>
            </w:pPr>
            <w:r>
              <w:rPr>
                <w:sz w:val="16"/>
              </w:rPr>
              <w:t>−0.445</w:t>
            </w:r>
          </w:p>
        </w:tc>
        <w:tc>
          <w:tcPr>
            <w:tcW w:type="dxa" w:w="720"/>
          </w:tcPr>
          <w:p>
            <w:pPr>
              <w:pStyle w:val="Compact"/>
              <w:keepNext/>
              <w:spacing w:before="0" w:after="0"/>
              <w:ind w:firstLine="0"/>
              <w:jc w:val="right"/>
            </w:pPr>
            <w:r>
              <w:rPr>
                <w:sz w:val="16"/>
              </w:rPr>
              <w:t>0.286</w:t>
            </w:r>
          </w:p>
        </w:tc>
        <w:tc>
          <w:tcPr>
            <w:tcW w:type="dxa" w:w="1131"/>
          </w:tcPr>
          <w:p>
            <w:pPr>
              <w:pStyle w:val="Compact"/>
              <w:keepNext/>
              <w:spacing w:before="0" w:after="0"/>
              <w:ind w:firstLine="0"/>
              <w:jc w:val="right"/>
            </w:pPr>
            <w:r>
              <w:rPr>
                <w:sz w:val="16"/>
              </w:rPr>
              <w:t>0.12</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proposition (100)</w:t>
            </w:r>
          </w:p>
        </w:tc>
        <w:tc>
          <w:tcPr>
            <w:tcW w:type="dxa" w:w="822"/>
          </w:tcPr>
          <w:p>
            <w:pPr>
              <w:pStyle w:val="Compact"/>
              <w:keepNext/>
              <w:spacing w:before="0" w:after="0"/>
              <w:ind w:firstLine="0"/>
              <w:jc w:val="right"/>
            </w:pPr>
            <w:r>
              <w:rPr>
                <w:sz w:val="16"/>
              </w:rPr>
              <w:t>−0.445</w:t>
            </w:r>
          </w:p>
        </w:tc>
        <w:tc>
          <w:tcPr>
            <w:tcW w:type="dxa" w:w="720"/>
          </w:tcPr>
          <w:p>
            <w:pPr>
              <w:pStyle w:val="Compact"/>
              <w:keepNext/>
              <w:spacing w:before="0" w:after="0"/>
              <w:ind w:firstLine="0"/>
              <w:jc w:val="right"/>
            </w:pPr>
            <w:r>
              <w:rPr>
                <w:sz w:val="16"/>
              </w:rPr>
              <w:t>0.264</w:t>
            </w:r>
          </w:p>
        </w:tc>
        <w:tc>
          <w:tcPr>
            <w:tcW w:type="dxa" w:w="1131"/>
          </w:tcPr>
          <w:p>
            <w:pPr>
              <w:pStyle w:val="Compact"/>
              <w:keepNext/>
              <w:spacing w:before="0" w:after="0"/>
              <w:ind w:firstLine="0"/>
              <w:jc w:val="right"/>
            </w:pPr>
            <w:r>
              <w:rPr>
                <w:sz w:val="16"/>
              </w:rPr>
              <w:t>0.091</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topic (20)</w:t>
            </w:r>
          </w:p>
        </w:tc>
        <w:tc>
          <w:tcPr>
            <w:tcW w:type="dxa" w:w="822"/>
          </w:tcPr>
          <w:p>
            <w:pPr>
              <w:pStyle w:val="Compact"/>
              <w:keepNext/>
              <w:spacing w:before="0" w:after="0"/>
              <w:ind w:firstLine="0"/>
              <w:jc w:val="right"/>
            </w:pPr>
            <w:r>
              <w:rPr>
                <w:sz w:val="16"/>
              </w:rPr>
              <w:t>−0.445</w:t>
            </w:r>
          </w:p>
        </w:tc>
        <w:tc>
          <w:tcPr>
            <w:tcW w:type="dxa" w:w="720"/>
          </w:tcPr>
          <w:p>
            <w:pPr>
              <w:pStyle w:val="Compact"/>
              <w:keepNext/>
              <w:spacing w:before="0" w:after="0"/>
              <w:ind w:firstLine="0"/>
              <w:jc w:val="right"/>
            </w:pPr>
            <w:r>
              <w:rPr>
                <w:sz w:val="16"/>
              </w:rPr>
              <w:t>0.493</w:t>
            </w:r>
          </w:p>
        </w:tc>
        <w:tc>
          <w:tcPr>
            <w:tcW w:type="dxa" w:w="1131"/>
          </w:tcPr>
          <w:p>
            <w:pPr>
              <w:pStyle w:val="Compact"/>
              <w:keepNext/>
              <w:spacing w:before="0" w:after="0"/>
              <w:ind w:firstLine="0"/>
              <w:jc w:val="right"/>
            </w:pPr>
            <w:r>
              <w:rPr>
                <w:sz w:val="16"/>
              </w:rPr>
              <w:t>0.37</w:t>
            </w:r>
          </w:p>
        </w:tc>
      </w:tr>
      <w:tr>
        <w:trPr>
          <w:cantSplit/>
        </w:trPr>
        <w:tc>
          <w:tcPr>
            <w:tcW w:type="dxa" w:w="1028"/>
          </w:tcPr>
          <w:p>
            <w:pPr>
              <w:pStyle w:val="Compact"/>
              <w:keepNext/>
              <w:spacing w:before="0" w:after="0"/>
              <w:ind w:firstLine="0"/>
              <w:jc w:val="left"/>
            </w:pPr>
            <w:r>
              <w:rPr>
                <w:smallCaps/>
                <w:sz w:val="16"/>
              </w:rPr>
              <w:t>roman</w:t>
            </w:r>
            <w:r>
              <w:rPr>
                <w:sz w:val="16"/>
              </w:rPr>
              <w:t xml:space="preserve"> vs. </w:t>
            </w:r>
            <w:r>
              <w:rPr>
                <w:smallCaps/>
                <w:sz w:val="16"/>
              </w:rPr>
              <w:t>en-match</w:t>
            </w:r>
          </w:p>
        </w:tc>
        <w:tc>
          <w:tcPr>
            <w:tcW w:type="dxa" w:w="1337"/>
          </w:tcPr>
          <w:p>
            <w:pPr>
              <w:pStyle w:val="Compact"/>
              <w:keepNext/>
              <w:spacing w:before="0" w:after="0"/>
              <w:ind w:firstLine="0"/>
              <w:jc w:val="left"/>
            </w:pPr>
            <w:r>
              <w:rPr>
                <w:sz w:val="16"/>
              </w:rPr>
              <w:t>prompt (500)</w:t>
            </w:r>
          </w:p>
        </w:tc>
        <w:tc>
          <w:tcPr>
            <w:tcW w:type="dxa" w:w="822"/>
          </w:tcPr>
          <w:p>
            <w:pPr>
              <w:pStyle w:val="Compact"/>
              <w:keepNext/>
              <w:spacing w:before="0" w:after="0"/>
              <w:ind w:firstLine="0"/>
              <w:jc w:val="right"/>
            </w:pPr>
            <w:r>
              <w:rPr>
                <w:sz w:val="16"/>
              </w:rPr>
              <w:t>−0.938</w:t>
            </w:r>
          </w:p>
        </w:tc>
        <w:tc>
          <w:tcPr>
            <w:tcW w:type="dxa" w:w="720"/>
          </w:tcPr>
          <w:p>
            <w:pPr>
              <w:pStyle w:val="Compact"/>
              <w:keepNext/>
              <w:spacing w:before="0" w:after="0"/>
              <w:ind w:firstLine="0"/>
              <w:jc w:val="right"/>
            </w:pPr>
            <w:r>
              <w:rPr>
                <w:sz w:val="16"/>
              </w:rPr>
              <w:t>0.291</w:t>
            </w:r>
          </w:p>
        </w:tc>
        <w:tc>
          <w:tcPr>
            <w:tcW w:type="dxa" w:w="1131"/>
          </w:tcPr>
          <w:p>
            <w:pPr>
              <w:pStyle w:val="Compact"/>
              <w:keepNext/>
              <w:spacing w:before="0" w:after="0"/>
              <w:ind w:firstLine="0"/>
              <w:jc w:val="right"/>
            </w:pPr>
            <w:r>
              <w:rPr>
                <w:sz w:val="16"/>
              </w:rPr>
              <w:t>0.001</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proposition (100)</w:t>
            </w:r>
          </w:p>
        </w:tc>
        <w:tc>
          <w:tcPr>
            <w:tcW w:type="dxa" w:w="822"/>
          </w:tcPr>
          <w:p>
            <w:pPr>
              <w:pStyle w:val="Compact"/>
              <w:keepNext/>
              <w:spacing w:before="0" w:after="0"/>
              <w:ind w:firstLine="0"/>
              <w:jc w:val="right"/>
            </w:pPr>
            <w:r>
              <w:rPr>
                <w:sz w:val="16"/>
              </w:rPr>
              <w:t>−0.938</w:t>
            </w:r>
          </w:p>
        </w:tc>
        <w:tc>
          <w:tcPr>
            <w:tcW w:type="dxa" w:w="720"/>
          </w:tcPr>
          <w:p>
            <w:pPr>
              <w:pStyle w:val="Compact"/>
              <w:keepNext/>
              <w:spacing w:before="0" w:after="0"/>
              <w:ind w:firstLine="0"/>
              <w:jc w:val="right"/>
            </w:pPr>
            <w:r>
              <w:rPr>
                <w:sz w:val="16"/>
              </w:rPr>
              <w:t>0.273</w:t>
            </w:r>
          </w:p>
        </w:tc>
        <w:tc>
          <w:tcPr>
            <w:tcW w:type="dxa" w:w="1131"/>
          </w:tcPr>
          <w:p>
            <w:pPr>
              <w:pStyle w:val="Compact"/>
              <w:keepNext/>
              <w:spacing w:before="0" w:after="0"/>
              <w:ind w:firstLine="0"/>
              <w:jc w:val="right"/>
            </w:pPr>
            <w:r>
              <w:rPr>
                <w:sz w:val="16"/>
              </w:rPr>
              <w:t>5.95×10⁻⁴</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topic (20)</w:t>
            </w:r>
          </w:p>
        </w:tc>
        <w:tc>
          <w:tcPr>
            <w:tcW w:type="dxa" w:w="822"/>
          </w:tcPr>
          <w:p>
            <w:pPr>
              <w:pStyle w:val="Compact"/>
              <w:keepNext/>
              <w:spacing w:before="0" w:after="0"/>
              <w:ind w:firstLine="0"/>
              <w:jc w:val="right"/>
            </w:pPr>
            <w:r>
              <w:rPr>
                <w:sz w:val="16"/>
              </w:rPr>
              <w:t>−0.938</w:t>
            </w:r>
          </w:p>
        </w:tc>
        <w:tc>
          <w:tcPr>
            <w:tcW w:type="dxa" w:w="720"/>
          </w:tcPr>
          <w:p>
            <w:pPr>
              <w:pStyle w:val="Compact"/>
              <w:keepNext/>
              <w:spacing w:before="0" w:after="0"/>
              <w:ind w:firstLine="0"/>
              <w:jc w:val="right"/>
            </w:pPr>
            <w:r>
              <w:rPr>
                <w:sz w:val="16"/>
              </w:rPr>
              <w:t>0.494</w:t>
            </w:r>
          </w:p>
        </w:tc>
        <w:tc>
          <w:tcPr>
            <w:tcW w:type="dxa" w:w="1131"/>
          </w:tcPr>
          <w:p>
            <w:pPr>
              <w:pStyle w:val="Compact"/>
              <w:keepNext/>
              <w:spacing w:before="0" w:after="0"/>
              <w:ind w:firstLine="0"/>
              <w:jc w:val="right"/>
            </w:pPr>
            <w:r>
              <w:rPr>
                <w:sz w:val="16"/>
              </w:rPr>
              <w:t>0.058</w:t>
            </w:r>
          </w:p>
        </w:tc>
      </w:tr>
      <w:tr>
        <w:trPr>
          <w:cantSplit/>
        </w:trPr>
        <w:tc>
          <w:tcPr>
            <w:tcW w:type="dxa" w:w="1028"/>
          </w:tcPr>
          <w:p>
            <w:pPr>
              <w:pStyle w:val="Compact"/>
              <w:keepNext/>
              <w:spacing w:before="0" w:after="0"/>
              <w:ind w:firstLine="0"/>
              <w:jc w:val="left"/>
            </w:pPr>
            <w:r>
              <w:rPr>
                <w:smallCaps/>
                <w:sz w:val="16"/>
              </w:rPr>
              <w:t>native</w:t>
            </w:r>
            <w:r>
              <w:rPr>
                <w:sz w:val="16"/>
              </w:rPr>
              <w:t xml:space="preserve"> vs. </w:t>
            </w:r>
            <w:r>
              <w:rPr>
                <w:smallCaps/>
                <w:sz w:val="16"/>
              </w:rPr>
              <w:t>en-match</w:t>
            </w:r>
          </w:p>
        </w:tc>
        <w:tc>
          <w:tcPr>
            <w:tcW w:type="dxa" w:w="1337"/>
          </w:tcPr>
          <w:p>
            <w:pPr>
              <w:pStyle w:val="Compact"/>
              <w:keepNext/>
              <w:spacing w:before="0" w:after="0"/>
              <w:ind w:firstLine="0"/>
              <w:jc w:val="left"/>
            </w:pPr>
            <w:r>
              <w:rPr>
                <w:sz w:val="16"/>
              </w:rPr>
              <w:t>prompt (500)</w:t>
            </w:r>
          </w:p>
        </w:tc>
        <w:tc>
          <w:tcPr>
            <w:tcW w:type="dxa" w:w="822"/>
          </w:tcPr>
          <w:p>
            <w:pPr>
              <w:pStyle w:val="Compact"/>
              <w:keepNext/>
              <w:spacing w:before="0" w:after="0"/>
              <w:ind w:firstLine="0"/>
              <w:jc w:val="right"/>
            </w:pPr>
            <w:r>
              <w:rPr>
                <w:sz w:val="16"/>
              </w:rPr>
              <w:t>−1.159</w:t>
            </w:r>
          </w:p>
        </w:tc>
        <w:tc>
          <w:tcPr>
            <w:tcW w:type="dxa" w:w="720"/>
          </w:tcPr>
          <w:p>
            <w:pPr>
              <w:pStyle w:val="Compact"/>
              <w:keepNext/>
              <w:spacing w:before="0" w:after="0"/>
              <w:ind w:firstLine="0"/>
              <w:jc w:val="right"/>
            </w:pPr>
            <w:r>
              <w:rPr>
                <w:sz w:val="16"/>
              </w:rPr>
              <w:t>0.296</w:t>
            </w:r>
          </w:p>
        </w:tc>
        <w:tc>
          <w:tcPr>
            <w:tcW w:type="dxa" w:w="1131"/>
          </w:tcPr>
          <w:p>
            <w:pPr>
              <w:pStyle w:val="Compact"/>
              <w:keepNext/>
              <w:spacing w:before="0" w:after="0"/>
              <w:ind w:firstLine="0"/>
              <w:jc w:val="right"/>
            </w:pPr>
            <w:r>
              <w:rPr>
                <w:sz w:val="16"/>
              </w:rPr>
              <w:t>9.00×10⁻⁵</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proposition (100)</w:t>
            </w:r>
          </w:p>
        </w:tc>
        <w:tc>
          <w:tcPr>
            <w:tcW w:type="dxa" w:w="822"/>
          </w:tcPr>
          <w:p>
            <w:pPr>
              <w:pStyle w:val="Compact"/>
              <w:keepNext/>
              <w:spacing w:before="0" w:after="0"/>
              <w:ind w:firstLine="0"/>
              <w:jc w:val="right"/>
            </w:pPr>
            <w:r>
              <w:rPr>
                <w:sz w:val="16"/>
              </w:rPr>
              <w:t>−1.159</w:t>
            </w:r>
          </w:p>
        </w:tc>
        <w:tc>
          <w:tcPr>
            <w:tcW w:type="dxa" w:w="720"/>
          </w:tcPr>
          <w:p>
            <w:pPr>
              <w:pStyle w:val="Compact"/>
              <w:keepNext/>
              <w:spacing w:before="0" w:after="0"/>
              <w:ind w:firstLine="0"/>
              <w:jc w:val="right"/>
            </w:pPr>
            <w:r>
              <w:rPr>
                <w:sz w:val="16"/>
              </w:rPr>
              <w:t>0.263</w:t>
            </w:r>
          </w:p>
        </w:tc>
        <w:tc>
          <w:tcPr>
            <w:tcW w:type="dxa" w:w="1131"/>
          </w:tcPr>
          <w:p>
            <w:pPr>
              <w:pStyle w:val="Compact"/>
              <w:keepNext/>
              <w:spacing w:before="0" w:after="0"/>
              <w:ind w:firstLine="0"/>
              <w:jc w:val="right"/>
            </w:pPr>
            <w:r>
              <w:rPr>
                <w:sz w:val="16"/>
              </w:rPr>
              <w:t>1.06×10⁻⁵</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topic (20)</w:t>
            </w:r>
          </w:p>
        </w:tc>
        <w:tc>
          <w:tcPr>
            <w:tcW w:type="dxa" w:w="822"/>
          </w:tcPr>
          <w:p>
            <w:pPr>
              <w:pStyle w:val="Compact"/>
              <w:keepNext/>
              <w:spacing w:before="0" w:after="0"/>
              <w:ind w:firstLine="0"/>
              <w:jc w:val="right"/>
            </w:pPr>
            <w:r>
              <w:rPr>
                <w:sz w:val="16"/>
              </w:rPr>
              <w:t>−1.159</w:t>
            </w:r>
          </w:p>
        </w:tc>
        <w:tc>
          <w:tcPr>
            <w:tcW w:type="dxa" w:w="720"/>
          </w:tcPr>
          <w:p>
            <w:pPr>
              <w:pStyle w:val="Compact"/>
              <w:keepNext/>
              <w:spacing w:before="0" w:after="0"/>
              <w:ind w:firstLine="0"/>
              <w:jc w:val="right"/>
            </w:pPr>
            <w:r>
              <w:rPr>
                <w:sz w:val="16"/>
              </w:rPr>
              <w:t>0.473</w:t>
            </w:r>
          </w:p>
        </w:tc>
        <w:tc>
          <w:tcPr>
            <w:tcW w:type="dxa" w:w="1131"/>
          </w:tcPr>
          <w:p>
            <w:pPr>
              <w:pStyle w:val="Compact"/>
              <w:keepNext/>
              <w:spacing w:before="0" w:after="0"/>
              <w:ind w:firstLine="0"/>
              <w:jc w:val="right"/>
            </w:pPr>
            <w:r>
              <w:rPr>
                <w:sz w:val="16"/>
              </w:rPr>
              <w:t>0.014</w:t>
            </w:r>
          </w:p>
        </w:tc>
      </w:tr>
      <w:tr>
        <w:trPr>
          <w:cantSplit/>
        </w:trPr>
        <w:tc>
          <w:tcPr>
            <w:tcW w:type="dxa" w:w="1028"/>
          </w:tcPr>
          <w:p>
            <w:pPr>
              <w:pStyle w:val="Compact"/>
              <w:keepNext/>
              <w:spacing w:before="0" w:after="0"/>
              <w:ind w:firstLine="0"/>
              <w:jc w:val="left"/>
            </w:pPr>
            <w:r>
              <w:rPr>
                <w:smallCaps/>
                <w:sz w:val="16"/>
              </w:rPr>
              <w:t>mixed</w:t>
            </w:r>
            <w:r>
              <w:rPr>
                <w:sz w:val="16"/>
              </w:rPr>
              <w:t xml:space="preserve"> vs. </w:t>
            </w:r>
            <w:r>
              <w:rPr>
                <w:smallCaps/>
                <w:sz w:val="16"/>
              </w:rPr>
              <w:t>en-match</w:t>
            </w:r>
          </w:p>
        </w:tc>
        <w:tc>
          <w:tcPr>
            <w:tcW w:type="dxa" w:w="1337"/>
          </w:tcPr>
          <w:p>
            <w:pPr>
              <w:pStyle w:val="Compact"/>
              <w:keepNext/>
              <w:spacing w:before="0" w:after="0"/>
              <w:ind w:firstLine="0"/>
              <w:jc w:val="left"/>
            </w:pPr>
            <w:r>
              <w:rPr>
                <w:sz w:val="16"/>
              </w:rPr>
              <w:t>prompt (500)</w:t>
            </w:r>
          </w:p>
        </w:tc>
        <w:tc>
          <w:tcPr>
            <w:tcW w:type="dxa" w:w="822"/>
          </w:tcPr>
          <w:p>
            <w:pPr>
              <w:pStyle w:val="Compact"/>
              <w:keepNext/>
              <w:spacing w:before="0" w:after="0"/>
              <w:ind w:firstLine="0"/>
              <w:jc w:val="right"/>
            </w:pPr>
            <w:r>
              <w:rPr>
                <w:sz w:val="16"/>
              </w:rPr>
              <w:t>−1.451</w:t>
            </w:r>
          </w:p>
        </w:tc>
        <w:tc>
          <w:tcPr>
            <w:tcW w:type="dxa" w:w="720"/>
          </w:tcPr>
          <w:p>
            <w:pPr>
              <w:pStyle w:val="Compact"/>
              <w:keepNext/>
              <w:spacing w:before="0" w:after="0"/>
              <w:ind w:firstLine="0"/>
              <w:jc w:val="right"/>
            </w:pPr>
            <w:r>
              <w:rPr>
                <w:sz w:val="16"/>
              </w:rPr>
              <w:t>0.306</w:t>
            </w:r>
          </w:p>
        </w:tc>
        <w:tc>
          <w:tcPr>
            <w:tcW w:type="dxa" w:w="1131"/>
          </w:tcPr>
          <w:p>
            <w:pPr>
              <w:pStyle w:val="Compact"/>
              <w:keepNext/>
              <w:spacing w:before="0" w:after="0"/>
              <w:ind w:firstLine="0"/>
              <w:jc w:val="right"/>
            </w:pPr>
            <w:r>
              <w:rPr>
                <w:sz w:val="16"/>
              </w:rPr>
              <w:t>2.10×10⁻⁶</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proposition (100)</w:t>
            </w:r>
          </w:p>
        </w:tc>
        <w:tc>
          <w:tcPr>
            <w:tcW w:type="dxa" w:w="822"/>
          </w:tcPr>
          <w:p>
            <w:pPr>
              <w:pStyle w:val="Compact"/>
              <w:keepNext/>
              <w:spacing w:before="0" w:after="0"/>
              <w:ind w:firstLine="0"/>
              <w:jc w:val="right"/>
            </w:pPr>
            <w:r>
              <w:rPr>
                <w:sz w:val="16"/>
              </w:rPr>
              <w:t>−1.451</w:t>
            </w:r>
          </w:p>
        </w:tc>
        <w:tc>
          <w:tcPr>
            <w:tcW w:type="dxa" w:w="720"/>
          </w:tcPr>
          <w:p>
            <w:pPr>
              <w:pStyle w:val="Compact"/>
              <w:keepNext/>
              <w:spacing w:before="0" w:after="0"/>
              <w:ind w:firstLine="0"/>
              <w:jc w:val="right"/>
            </w:pPr>
            <w:r>
              <w:rPr>
                <w:sz w:val="16"/>
              </w:rPr>
              <w:t>0.310</w:t>
            </w:r>
          </w:p>
        </w:tc>
        <w:tc>
          <w:tcPr>
            <w:tcW w:type="dxa" w:w="1131"/>
          </w:tcPr>
          <w:p>
            <w:pPr>
              <w:pStyle w:val="Compact"/>
              <w:keepNext/>
              <w:spacing w:before="0" w:after="0"/>
              <w:ind w:firstLine="0"/>
              <w:jc w:val="right"/>
            </w:pPr>
            <w:r>
              <w:rPr>
                <w:sz w:val="16"/>
              </w:rPr>
              <w:t>2.89×10⁻⁶</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topic (20)</w:t>
            </w:r>
          </w:p>
        </w:tc>
        <w:tc>
          <w:tcPr>
            <w:tcW w:type="dxa" w:w="822"/>
          </w:tcPr>
          <w:p>
            <w:pPr>
              <w:pStyle w:val="Compact"/>
              <w:keepNext/>
              <w:spacing w:before="0" w:after="0"/>
              <w:ind w:firstLine="0"/>
              <w:jc w:val="right"/>
            </w:pPr>
            <w:r>
              <w:rPr>
                <w:sz w:val="16"/>
              </w:rPr>
              <w:t>−1.451</w:t>
            </w:r>
          </w:p>
        </w:tc>
        <w:tc>
          <w:tcPr>
            <w:tcW w:type="dxa" w:w="720"/>
          </w:tcPr>
          <w:p>
            <w:pPr>
              <w:pStyle w:val="Compact"/>
              <w:keepNext/>
              <w:spacing w:before="0" w:after="0"/>
              <w:ind w:firstLine="0"/>
              <w:jc w:val="right"/>
            </w:pPr>
            <w:r>
              <w:rPr>
                <w:sz w:val="16"/>
              </w:rPr>
              <w:t>0.606</w:t>
            </w:r>
          </w:p>
        </w:tc>
        <w:tc>
          <w:tcPr>
            <w:tcW w:type="dxa" w:w="1131"/>
          </w:tcPr>
          <w:p>
            <w:pPr>
              <w:pStyle w:val="Compact"/>
              <w:keepNext/>
              <w:spacing w:before="0" w:after="0"/>
              <w:ind w:firstLine="0"/>
              <w:jc w:val="right"/>
            </w:pPr>
            <w:r>
              <w:rPr>
                <w:sz w:val="16"/>
              </w:rPr>
              <w:t>0.017</w:t>
            </w:r>
          </w:p>
        </w:tc>
      </w:tr>
      <w:tr>
        <w:trPr>
          <w:cantSplit/>
        </w:trPr>
        <w:tc>
          <w:tcPr>
            <w:tcW w:type="dxa" w:w="1028"/>
          </w:tcPr>
          <w:p>
            <w:pPr>
              <w:pStyle w:val="Compact"/>
              <w:keepNext/>
              <w:spacing w:before="0" w:after="0"/>
              <w:ind w:firstLine="0"/>
              <w:jc w:val="left"/>
            </w:pPr>
            <w:r>
              <w:rPr>
                <w:smallCaps/>
                <w:sz w:val="16"/>
              </w:rPr>
              <w:t>mixed</w:t>
            </w:r>
            <w:r>
              <w:rPr>
                <w:sz w:val="16"/>
              </w:rPr>
              <w:t xml:space="preserve"> vs. </w:t>
            </w:r>
            <w:r>
              <w:rPr>
                <w:smallCaps/>
                <w:sz w:val="16"/>
              </w:rPr>
              <w:t>cs-lat</w:t>
            </w:r>
          </w:p>
        </w:tc>
        <w:tc>
          <w:tcPr>
            <w:tcW w:type="dxa" w:w="1337"/>
          </w:tcPr>
          <w:p>
            <w:pPr>
              <w:pStyle w:val="Compact"/>
              <w:keepNext/>
              <w:spacing w:before="0" w:after="0"/>
              <w:ind w:firstLine="0"/>
              <w:jc w:val="left"/>
            </w:pPr>
            <w:r>
              <w:rPr>
                <w:sz w:val="16"/>
              </w:rPr>
              <w:t>prompt (200)</w:t>
            </w:r>
          </w:p>
        </w:tc>
        <w:tc>
          <w:tcPr>
            <w:tcW w:type="dxa" w:w="822"/>
          </w:tcPr>
          <w:p>
            <w:pPr>
              <w:pStyle w:val="Compact"/>
              <w:keepNext/>
              <w:spacing w:before="0" w:after="0"/>
              <w:ind w:firstLine="0"/>
              <w:jc w:val="right"/>
            </w:pPr>
            <w:r>
              <w:rPr>
                <w:sz w:val="16"/>
              </w:rPr>
              <w:t>−1.006</w:t>
            </w:r>
          </w:p>
        </w:tc>
        <w:tc>
          <w:tcPr>
            <w:tcW w:type="dxa" w:w="720"/>
          </w:tcPr>
          <w:p>
            <w:pPr>
              <w:pStyle w:val="Compact"/>
              <w:keepNext/>
              <w:spacing w:before="0" w:after="0"/>
              <w:ind w:firstLine="0"/>
              <w:jc w:val="right"/>
            </w:pPr>
            <w:r>
              <w:rPr>
                <w:sz w:val="16"/>
              </w:rPr>
              <w:t>0.303</w:t>
            </w:r>
          </w:p>
        </w:tc>
        <w:tc>
          <w:tcPr>
            <w:tcW w:type="dxa" w:w="1131"/>
          </w:tcPr>
          <w:p>
            <w:pPr>
              <w:pStyle w:val="Compact"/>
              <w:keepNext/>
              <w:spacing w:before="0" w:after="0"/>
              <w:ind w:firstLine="0"/>
              <w:jc w:val="right"/>
            </w:pPr>
            <w:r>
              <w:rPr>
                <w:sz w:val="16"/>
              </w:rPr>
              <w:t>9.11×10⁻⁴</w:t>
            </w:r>
          </w:p>
        </w:tc>
      </w:tr>
      <w:tr>
        <w:trPr>
          <w:cantSplit/>
        </w:trPr>
        <w:tc>
          <w:tcPr>
            <w:tcW w:type="dxa" w:w="1028"/>
          </w:tcPr>
          <w:p>
            <w:pPr>
              <w:pStyle w:val="Compact"/>
              <w:keepNext/>
              <w:spacing w:before="0" w:after="0"/>
              <w:ind w:firstLine="0"/>
            </w:pPr>
          </w:p>
        </w:tc>
        <w:tc>
          <w:tcPr>
            <w:tcW w:type="dxa" w:w="1337"/>
          </w:tcPr>
          <w:p>
            <w:pPr>
              <w:pStyle w:val="Compact"/>
              <w:keepNext/>
              <w:spacing w:before="0" w:after="0"/>
              <w:ind w:firstLine="0"/>
              <w:jc w:val="left"/>
            </w:pPr>
            <w:r>
              <w:rPr>
                <w:sz w:val="16"/>
              </w:rPr>
              <w:t>proposition (100)</w:t>
            </w:r>
          </w:p>
        </w:tc>
        <w:tc>
          <w:tcPr>
            <w:tcW w:type="dxa" w:w="822"/>
          </w:tcPr>
          <w:p>
            <w:pPr>
              <w:pStyle w:val="Compact"/>
              <w:keepNext/>
              <w:spacing w:before="0" w:after="0"/>
              <w:ind w:firstLine="0"/>
              <w:jc w:val="right"/>
            </w:pPr>
            <w:r>
              <w:rPr>
                <w:sz w:val="16"/>
              </w:rPr>
              <w:t>−1.006</w:t>
            </w:r>
          </w:p>
        </w:tc>
        <w:tc>
          <w:tcPr>
            <w:tcW w:type="dxa" w:w="720"/>
          </w:tcPr>
          <w:p>
            <w:pPr>
              <w:pStyle w:val="Compact"/>
              <w:keepNext/>
              <w:spacing w:before="0" w:after="0"/>
              <w:ind w:firstLine="0"/>
              <w:jc w:val="right"/>
            </w:pPr>
            <w:r>
              <w:rPr>
                <w:sz w:val="16"/>
              </w:rPr>
              <w:t>0.257</w:t>
            </w:r>
          </w:p>
        </w:tc>
        <w:tc>
          <w:tcPr>
            <w:tcW w:type="dxa" w:w="1131"/>
          </w:tcPr>
          <w:p>
            <w:pPr>
              <w:pStyle w:val="Compact"/>
              <w:keepNext/>
              <w:spacing w:before="0" w:after="0"/>
              <w:ind w:firstLine="0"/>
              <w:jc w:val="right"/>
            </w:pPr>
            <w:r>
              <w:rPr>
                <w:sz w:val="16"/>
              </w:rPr>
              <w:t>8.96×10⁻⁵</w:t>
            </w:r>
          </w:p>
        </w:tc>
      </w:tr>
      <w:tr>
        <w:trPr>
          <w:cantSplit/>
        </w:trPr>
        <w:tc>
          <w:tcPr>
            <w:tcW w:type="dxa" w:w="1028"/>
            <w:tcBorders>
              <w:bottom w:val="single" w:sz="12" w:color="000000" w:space="0"/>
            </w:tcBorders>
          </w:tcPr>
          <w:p>
            <w:pPr>
              <w:pStyle w:val="Compact"/>
              <w:spacing w:before="0" w:after="0"/>
              <w:ind w:firstLine="0"/>
            </w:pPr>
          </w:p>
        </w:tc>
        <w:tc>
          <w:tcPr>
            <w:tcW w:type="dxa" w:w="1337"/>
            <w:tcBorders>
              <w:bottom w:val="single" w:sz="12" w:color="000000" w:space="0"/>
            </w:tcBorders>
          </w:tcPr>
          <w:p>
            <w:pPr>
              <w:pStyle w:val="Compact"/>
              <w:spacing w:before="0" w:after="0"/>
              <w:ind w:firstLine="0"/>
              <w:jc w:val="left"/>
            </w:pPr>
            <w:r>
              <w:rPr>
                <w:sz w:val="16"/>
              </w:rPr>
              <w:t>topic (20)</w:t>
            </w:r>
          </w:p>
        </w:tc>
        <w:tc>
          <w:tcPr>
            <w:tcW w:type="dxa" w:w="822"/>
            <w:tcBorders>
              <w:bottom w:val="single" w:sz="12" w:color="000000" w:space="0"/>
            </w:tcBorders>
          </w:tcPr>
          <w:p>
            <w:pPr>
              <w:pStyle w:val="Compact"/>
              <w:spacing w:before="0" w:after="0"/>
              <w:ind w:firstLine="0"/>
              <w:jc w:val="right"/>
            </w:pPr>
            <w:r>
              <w:rPr>
                <w:sz w:val="16"/>
              </w:rPr>
              <w:t>−1.006</w:t>
            </w:r>
          </w:p>
        </w:tc>
        <w:tc>
          <w:tcPr>
            <w:tcW w:type="dxa" w:w="720"/>
            <w:tcBorders>
              <w:bottom w:val="single" w:sz="12" w:color="000000" w:space="0"/>
            </w:tcBorders>
          </w:tcPr>
          <w:p>
            <w:pPr>
              <w:pStyle w:val="Compact"/>
              <w:spacing w:before="0" w:after="0"/>
              <w:ind w:firstLine="0"/>
              <w:jc w:val="right"/>
            </w:pPr>
            <w:r>
              <w:rPr>
                <w:sz w:val="16"/>
              </w:rPr>
              <w:t>0.293</w:t>
            </w:r>
          </w:p>
        </w:tc>
        <w:tc>
          <w:tcPr>
            <w:tcW w:type="dxa" w:w="1131"/>
            <w:tcBorders>
              <w:bottom w:val="single" w:sz="12" w:color="000000" w:space="0"/>
            </w:tcBorders>
          </w:tcPr>
          <w:p>
            <w:pPr>
              <w:pStyle w:val="Compact"/>
              <w:spacing w:before="0" w:after="0"/>
              <w:ind w:firstLine="0"/>
              <w:jc w:val="right"/>
            </w:pPr>
            <w:r>
              <w:rPr>
                <w:sz w:val="16"/>
              </w:rPr>
              <w:t>5.88×10⁻⁴</w:t>
            </w:r>
          </w:p>
        </w:tc>
      </w:tr>
    </w:tbl>
    <w:bookmarkEnd w:id="58"/>
    <w:bookmarkStart w:id="59" w:name="appendix-c-rules-and-rubrics"/>
    <w:p>
      <w:pPr>
        <w:pStyle w:val="Heading1"/>
      </w:pPr>
      <w:r>
        <w:t xml:space="preserve">APPENDIX C: RULES AND RUBRICS</w:t>
      </w:r>
    </w:p>
    <w:p>
      <w:pPr>
        <w:pStyle w:val="FirstParagraph"/>
      </w:pPr>
      <w:r>
        <w:rPr>
          <w:b/>
        </w:rPr>
        <w:t>Incompleteness rule.</w:t>
      </w:r>
      <w:r>
        <w:t xml:space="preserve"> A response is flagged when (i) it used the full 128 completion tokens, (ii) its last non-space character is not a sentence-final mark, (iii) the judge labelled it incorrect, and (iv) the judge's reason matches one of </w:t>
      </w:r>
      <w:r>
        <w:rPr>
          <w:i/>
        </w:rPr>
        <w:t>incomplete, truncated, cut off, abrupt, unfinished, missing specific, missing parameter, fails to finish</w:t>
      </w:r>
      <w:r>
        <w:t xml:space="preserve">. Condition (iv) depends on the judge's wording; the rule is a descriptive device, not a measure of truncation. </w:t>
      </w:r>
      <w:r>
        <w:rPr>
          <w:b/>
        </w:rPr>
        <w:t>Judge prompt.</w:t>
      </w:r>
      <w:r>
        <w:t xml:space="preserve"> “You are grading whether a model's ANSWER to a user QUESTION is factually correct. You are given a trusted GOLD answer. The answer may mix an Indian language with English (code-switching) and may be phrased very differently from the gold—that is fine. Judge ONLY factual correctness and whether it actually addresses the question.” Output: </w:t>
      </w:r>
      <w:r>
        <w:rPr>
          <w:rFonts w:ascii="Courier New" w:hAnsi="Courier New"/>
          <w:sz w:val="15"/>
        </w:rPr>
        <w:t>VERDICT: &lt;CORRECT or HALLUCINATED&gt; | REASON: &lt;max 12 words&gt;</w:t>
      </w:r>
      <w:r>
        <w:t xml:space="preserve">. </w:t>
      </w:r>
      <w:r>
        <w:rPr>
          <w:b/>
        </w:rPr>
        <w:t>Judge settings.</w:t>
      </w:r>
      <w:r>
        <w:t xml:space="preserve"> Stored, EXP-002: Qwen3.8-27B, temperature 0.3, at most 256 tokens, system prompt “You are a helpful assistant answering questions from Indian users. Questions may mix an Indian language with English (code-switching). Answer accurately and concisely in the same mixed style the user used.” Stored, EXP-003, and J-QWEN: temperature 0, top-p 1, at most 256 tokens, system prompt “You are an expert factuality evaluator.” J-OSS: gpt-oss-120b, temperature 0, top-p 1, low reasoning effort, at most 1,024 tokens, same system prompt. All 2,700 follow-up judgements (1,800 at 128/512 tokens, 900 at 1,024 tokens) were parsed. </w:t>
      </w:r>
      <w:r>
        <w:rPr>
          <w:b/>
        </w:rPr>
        <w:t>Script transitions.</w:t>
      </w:r>
      <w:r>
        <w:t xml:space="preserve"> Words are maximal letter runs, each labelled Latin or Brahmic (U+0900–U+0DFF); transitions are label changes between consecutive words, giving 5.0 per </w:t>
      </w:r>
      <w:r>
        <w:rPr>
          <w:smallCaps/>
        </w:rPr>
        <w:t>mixed</w:t>
      </w:r>
      <w:r>
        <w:t xml:space="preserve"> prompt, 1.0 per </w:t>
      </w:r>
      <w:r>
        <w:rPr>
          <w:smallCaps/>
        </w:rPr>
        <w:t>native</w:t>
      </w:r>
      <w:r>
        <w:t xml:space="preserve"> prompt (the Latin topic string) and 0 elsewhere. </w:t>
      </w:r>
      <w:r>
        <w:rPr>
          <w:b/>
        </w:rPr>
        <w:t>Mostly Brahmic.</w:t>
      </w:r>
      <w:r>
        <w:t xml:space="preserve"> More than half of a response's letters and combining marks lie in U+0900–U+0DFF. </w:t>
      </w:r>
      <w:r>
        <w:rPr>
          <w:b/>
        </w:rPr>
        <w:t>Templates.</w:t>
      </w:r>
      <w:r>
        <w:t xml:space="preserve"> All 20 Indic templates are listed in the released prompt-validation protocol.</w:t>
      </w:r>
    </w:p>
    <w:bookmarkEnd w:id="59"/>
    <w:bookmarkStart w:id="60" w:name="Xea9cd4b15d0cbdcd1f39f6c1c9c4f9f3d35250d"/>
    <w:p>
      <w:pPr>
        <w:pStyle w:val="Heading1"/>
      </w:pPr>
      <w:r>
        <w:t xml:space="preserve">APPENDIX D: PROSPECTIVE DESIGN CALCULATION</w:t>
      </w:r>
    </w:p>
    <w:p>
      <w:pPr>
        <w:pStyle w:val="FirstParagraph"/>
      </w:pPr>
      <w:r>
        <w:t>A normal-approximation calculation for a 45-topic design (225 paired propositions, design effect 1 + (5 − 1)ρ, binary variance at p̄ = 0.4, two-sided α = 0.05) with ρ = 0.2663 and a 21-point effect gives power 88.6% (minimum detectable effect 18.6 points); the same formula gives 55.9% for the 20 evaluated topics. Those parameters come from the first English template and the stored labels. With the harmonised labels (ρ = 0.27) the 11-point English–</w:t>
      </w:r>
      <w:r>
        <w:rPr>
          <w:smallCaps/>
        </w:rPr>
        <w:t>cs-lat</w:t>
      </w:r>
      <w:r>
        <w:t xml:space="preserve"> gap would have power 38% with 45 topics and 19% with 20, and a 23-point gap 93% and 63%. The formula ignores pairing and is a rough projection; the 25 new propositions have not been evaluated.</w:t>
      </w:r>
    </w:p>
    <w:bookmarkEnd w:id="60"/>
    <w:bookmarkStart w:id="61" w:name="appendix-e-reproducibility"/>
    <w:p>
      <w:pPr>
        <w:pStyle w:val="Heading1"/>
      </w:pPr>
      <w:r>
        <w:t xml:space="preserve">APPENDIX E: REPRODUCIBILITY</w:t>
      </w:r>
    </w:p>
    <w:p>
      <w:pPr>
        <w:pStyle w:val="FirstParagraph"/>
      </w:pPr>
      <w:r>
        <w:t xml:space="preserve">Python 3.11 with numpy, pandas, scipy, statsmodels, tokenizers and matplotlib. From the repository root, </w:t>
      </w:r>
      <w:r>
        <w:rPr>
          <w:rFonts w:ascii="Courier New" w:hAnsi="Courier New"/>
          <w:sz w:val="15"/>
        </w:rPr>
        <w:t>python paper_v2/scripts/make_all.py</w:t>
      </w:r>
      <w:r>
        <w:t xml:space="preserve"> (stored labels) and </w:t>
      </w:r>
      <w:r>
        <w:rPr>
          <w:rFonts w:ascii="Courier New" w:hAnsi="Courier New"/>
          <w:sz w:val="15"/>
        </w:rPr>
        <w:t>make_all.py --labels jqwen</w:t>
      </w:r>
      <w:r>
        <w:t xml:space="preserve"> read the two prediction files; </w:t>
      </w:r>
      <w:r>
        <w:rPr>
          <w:rFonts w:ascii="Courier New" w:hAnsi="Courier New"/>
          <w:sz w:val="15"/>
        </w:rPr>
        <w:t>scripts/run_exp004_budget_rejudge.py</w:t>
      </w:r>
      <w:r>
        <w:t xml:space="preserve"> and </w:t>
      </w:r>
      <w:r>
        <w:rPr>
          <w:rFonts w:ascii="Courier New" w:hAnsi="Courier New"/>
          <w:sz w:val="15"/>
        </w:rPr>
        <w:t>scripts/run_exp005_budget1024.py</w:t>
      </w:r>
      <w:r>
        <w:t xml:space="preserve"> (</w:t>
      </w:r>
      <w:r>
        <w:rPr>
          <w:rFonts w:ascii="Courier New" w:hAnsi="Courier New"/>
          <w:sz w:val="15"/>
        </w:rPr>
        <w:t>--stage gen|judge</w:t>
      </w:r>
      <w:r>
        <w:t xml:space="preserve">; Groq key required) produced the follow-ups, with finish reasons, failures and a per-call spend log in </w:t>
      </w:r>
      <w:r>
        <w:rPr>
          <w:rFonts w:ascii="Courier New" w:hAnsi="Courier New"/>
          <w:sz w:val="15"/>
        </w:rPr>
        <w:t>results/EXP-004-budget-rejudge/</w:t>
      </w:r>
      <w:r>
        <w:t xml:space="preserve"> and </w:t>
      </w:r>
      <w:r>
        <w:rPr>
          <w:rFonts w:ascii="Courier New" w:hAnsi="Courier New"/>
          <w:sz w:val="15"/>
        </w:rPr>
        <w:t>results/EXP-005-budget1024/</w:t>
      </w:r>
      <w:r>
        <w:t xml:space="preserve">; </w:t>
      </w:r>
      <w:r>
        <w:rPr>
          <w:rFonts w:ascii="Courier New" w:hAnsi="Courier New"/>
          <w:sz w:val="15"/>
        </w:rPr>
        <w:t>analyze_exp004.py</w:t>
      </w:r>
      <w:r>
        <w:t xml:space="preserve">, </w:t>
      </w:r>
      <w:r>
        <w:rPr>
          <w:rFonts w:ascii="Courier New" w:hAnsi="Courier New"/>
          <w:sz w:val="15"/>
        </w:rPr>
        <w:t>analyze_budgets.py</w:t>
      </w:r>
      <w:r>
        <w:t xml:space="preserve"> and </w:t>
      </w:r>
      <w:r>
        <w:rPr>
          <w:rFonts w:ascii="Courier New" w:hAnsi="Courier New"/>
          <w:sz w:val="15"/>
        </w:rPr>
        <w:t>make_figures.py</w:t>
      </w:r>
      <w:r>
        <w:t xml:space="preserve"> write the remaining numbers and figures. The tokenizer check downloads the Qwen/Qwen2.5-7B and Qwen/Qwen3.8-27B tokenizers. Sign-flip tests enumerate all 2²⁰ patterns; bootstraps and the language permutation use fixed seeds. Topic-level p values in an earlier draft were Monte Carlo approximations and differ from the exact values here in the third decimal. That draft's language-dependence p value (0.15) and numeral check (60% agreement) could not be reproduced because the script that produced them was not in the repository; they are replaced by the procedures described above.</w:t>
      </w:r>
    </w:p>
    <w:bookmarkEnd w:id="61"/>
    <w:bookmarkStart w:id="85" w:name="references"/>
    <w:p>
      <w:pPr>
        <w:pStyle w:val="Heading1"/>
      </w:pPr>
      <w:r>
        <w:t xml:space="preserve">REFERENCES</w:t>
      </w:r>
    </w:p>
    <w:bookmarkStart w:id="84" w:name="refs"/>
    <w:bookmarkStart w:id="62" w:name="ref-ahuja2023mega"/>
    <w:p>
      <w:pPr>
        <w:pStyle w:val="Bibliography"/>
      </w:pPr>
      <w:r>
        <w:t xml:space="preserve">[1]</w:t>
      </w:r>
      <w:r>
        <w:t xml:space="preserve"> </w:t>
      </w:r>
      <w:r>
        <w:t xml:space="preserve">	</w:t>
      </w:r>
      <w:r>
        <w:t xml:space="preserve">K. Ahuja</w:t>
      </w:r>
      <w:r>
        <w:t xml:space="preserve"> </w:t>
      </w:r>
      <w:r>
        <w:rPr>
          <w:iCs/>
          <w:i/>
        </w:rPr>
        <w:t xml:space="preserve">et al.</w:t>
      </w:r>
      <w:r>
        <w:t xml:space="preserve">,</w:t>
      </w:r>
      <w:r>
        <w:t xml:space="preserve"> </w:t>
      </w:r>
      <w:r>
        <w:t xml:space="preserve">“</w:t>
      </w:r>
      <w:r>
        <w:t xml:space="preserve">MEGA</w:t>
      </w:r>
      <w:r>
        <w:t xml:space="preserve">: Multilingual evaluation of generative</w:t>
      </w:r>
      <w:r>
        <w:t xml:space="preserve"> </w:t>
      </w:r>
      <w:r>
        <w:t xml:space="preserve">AI</w:t>
      </w:r>
      <w:r>
        <w:t xml:space="preserve">,”</w:t>
      </w:r>
      <w:r>
        <w:t xml:space="preserve"> </w:t>
      </w:r>
      <w:r>
        <w:t xml:space="preserve">in</w:t>
      </w:r>
      <w:r>
        <w:t xml:space="preserve"> </w:t>
      </w:r>
      <w:r>
        <w:rPr>
          <w:iCs/>
          <w:i/>
        </w:rPr>
        <w:t xml:space="preserve">Proceedings of the 2023 conference on empirical methods in natural language processing</w:t>
      </w:r>
      <w:r>
        <w:t xml:space="preserve">, 2023.</w:t>
      </w:r>
    </w:p>
    <w:bookmarkEnd w:id="62"/>
    <w:bookmarkStart w:id="63" w:name="ref-kakwani2020indicnlpsuite"/>
    <w:p>
      <w:pPr>
        <w:pStyle w:val="Bibliography"/>
      </w:pPr>
      <w:r>
        <w:t xml:space="preserve">[2]</w:t>
      </w:r>
      <w:r>
        <w:t xml:space="preserve"> </w:t>
      </w:r>
      <w:r>
        <w:t xml:space="preserve">	</w:t>
      </w:r>
      <w:r>
        <w:t xml:space="preserve">D. Kakwani</w:t>
      </w:r>
      <w:r>
        <w:t xml:space="preserve"> </w:t>
      </w:r>
      <w:r>
        <w:rPr>
          <w:iCs/>
          <w:i/>
        </w:rPr>
        <w:t xml:space="preserve">et al.</w:t>
      </w:r>
      <w:r>
        <w:t xml:space="preserve">,</w:t>
      </w:r>
      <w:r>
        <w:t xml:space="preserve"> </w:t>
      </w:r>
      <w:r>
        <w:t xml:space="preserve">“</w:t>
      </w:r>
      <w:r>
        <w:t xml:space="preserve">I</w:t>
      </w:r>
      <w:r>
        <w:t xml:space="preserve">ndic</w:t>
      </w:r>
      <w:r>
        <w:t xml:space="preserve">NLPS</w:t>
      </w:r>
      <w:r>
        <w:t xml:space="preserve">uite: Monolingual corpora, evaluation benchmarks and pre-trained multilingual language models for</w:t>
      </w:r>
      <w:r>
        <w:t xml:space="preserve"> </w:t>
      </w:r>
      <w:r>
        <w:t xml:space="preserve">I</w:t>
      </w:r>
      <w:r>
        <w:t xml:space="preserve">ndian languages,”</w:t>
      </w:r>
      <w:r>
        <w:t xml:space="preserve"> </w:t>
      </w:r>
      <w:r>
        <w:t xml:space="preserve">in</w:t>
      </w:r>
      <w:r>
        <w:t xml:space="preserve"> </w:t>
      </w:r>
      <w:r>
        <w:rPr>
          <w:iCs/>
          <w:i/>
        </w:rPr>
        <w:t xml:space="preserve">Findings of the association for computational linguistics: EMNLP 2020</w:t>
      </w:r>
      <w:r>
        <w:t xml:space="preserve">, 2020.</w:t>
      </w:r>
    </w:p>
    <w:bookmarkEnd w:id="63"/>
    <w:bookmarkStart w:id="64" w:name="ref-doddapaneni2023towards"/>
    <w:p>
      <w:pPr>
        <w:pStyle w:val="Bibliography"/>
      </w:pPr>
      <w:r>
        <w:t xml:space="preserve">[3]</w:t>
      </w:r>
      <w:r>
        <w:t xml:space="preserve"> </w:t>
      </w:r>
      <w:r>
        <w:t xml:space="preserve">	</w:t>
      </w:r>
      <w:r>
        <w:t xml:space="preserve">S. Doddapaneni</w:t>
      </w:r>
      <w:r>
        <w:t xml:space="preserve"> </w:t>
      </w:r>
      <w:r>
        <w:rPr>
          <w:iCs/>
          <w:i/>
        </w:rPr>
        <w:t xml:space="preserve">et al.</w:t>
      </w:r>
      <w:r>
        <w:t xml:space="preserve">,</w:t>
      </w:r>
      <w:r>
        <w:t xml:space="preserve"> </w:t>
      </w:r>
      <w:r>
        <w:t xml:space="preserve">“Towards leaving no</w:t>
      </w:r>
      <w:r>
        <w:t xml:space="preserve"> </w:t>
      </w:r>
      <w:r>
        <w:t xml:space="preserve">I</w:t>
      </w:r>
      <w:r>
        <w:t xml:space="preserve">ndic language behind: Building monolingual corpora, benchmark and models for</w:t>
      </w:r>
      <w:r>
        <w:t xml:space="preserve"> </w:t>
      </w:r>
      <w:r>
        <w:t xml:space="preserve">I</w:t>
      </w:r>
      <w:r>
        <w:t xml:space="preserve">ndic languages,”</w:t>
      </w:r>
      <w:r>
        <w:t xml:space="preserve"> </w:t>
      </w:r>
      <w:r>
        <w:t xml:space="preserve">in</w:t>
      </w:r>
      <w:r>
        <w:t xml:space="preserve"> </w:t>
      </w:r>
      <w:r>
        <w:rPr>
          <w:iCs/>
          <w:i/>
        </w:rPr>
        <w:t xml:space="preserve">Proceedings of the 61st annual meeting of the association for computational linguistics</w:t>
      </w:r>
      <w:r>
        <w:t xml:space="preserve">, 2023.</w:t>
      </w:r>
    </w:p>
    <w:bookmarkEnd w:id="64"/>
    <w:bookmarkStart w:id="65" w:name="ref-khanuja2020gluecos"/>
    <w:p>
      <w:pPr>
        <w:pStyle w:val="Bibliography"/>
      </w:pPr>
      <w:r>
        <w:t xml:space="preserve">[4]</w:t>
      </w:r>
      <w:r>
        <w:t xml:space="preserve"> </w:t>
      </w:r>
      <w:r>
        <w:t xml:space="preserve">	</w:t>
      </w:r>
      <w:r>
        <w:t xml:space="preserve">S. Khanuja, S. Dandapat, A. Srinivasan, S. Sitaram, and M. Choudhury,</w:t>
      </w:r>
      <w:r>
        <w:t xml:space="preserve"> </w:t>
      </w:r>
      <w:r>
        <w:t xml:space="preserve">“</w:t>
      </w:r>
      <w:r>
        <w:t xml:space="preserve">GLUEC</w:t>
      </w:r>
      <w:r>
        <w:t xml:space="preserve">o</w:t>
      </w:r>
      <w:r>
        <w:t xml:space="preserve">S</w:t>
      </w:r>
      <w:r>
        <w:t xml:space="preserve">: An evaluation benchmark for code-switched</w:t>
      </w:r>
      <w:r>
        <w:t xml:space="preserve"> </w:t>
      </w:r>
      <w:r>
        <w:t xml:space="preserve">NLP</w:t>
      </w:r>
      <w:r>
        <w:t xml:space="preserve">,”</w:t>
      </w:r>
      <w:r>
        <w:t xml:space="preserve"> </w:t>
      </w:r>
      <w:r>
        <w:t xml:space="preserve">in</w:t>
      </w:r>
      <w:r>
        <w:t xml:space="preserve"> </w:t>
      </w:r>
      <w:r>
        <w:rPr>
          <w:iCs/>
          <w:i/>
        </w:rPr>
        <w:t xml:space="preserve">Proceedings of the 58th annual meeting of the association for computational linguistics</w:t>
      </w:r>
      <w:r>
        <w:t xml:space="preserve">, 2020.</w:t>
      </w:r>
    </w:p>
    <w:bookmarkEnd w:id="65"/>
    <w:bookmarkStart w:id="66" w:name="ref-ahia2023all"/>
    <w:p>
      <w:pPr>
        <w:pStyle w:val="Bibliography"/>
      </w:pPr>
      <w:r>
        <w:t xml:space="preserve">[5]</w:t>
      </w:r>
      <w:r>
        <w:t xml:space="preserve"> </w:t>
      </w:r>
      <w:r>
        <w:t xml:space="preserve">	</w:t>
      </w:r>
      <w:r>
        <w:t xml:space="preserve">O. Ahia</w:t>
      </w:r>
      <w:r>
        <w:t xml:space="preserve"> </w:t>
      </w:r>
      <w:r>
        <w:rPr>
          <w:iCs/>
          <w:i/>
        </w:rPr>
        <w:t xml:space="preserve">et al.</w:t>
      </w:r>
      <w:r>
        <w:t xml:space="preserve">,</w:t>
      </w:r>
      <w:r>
        <w:t xml:space="preserve"> </w:t>
      </w:r>
      <w:r>
        <w:t xml:space="preserve">“Do all languages cost the same?</w:t>
      </w:r>
      <w:r>
        <w:t xml:space="preserve"> </w:t>
      </w:r>
      <w:r>
        <w:t xml:space="preserve">T</w:t>
      </w:r>
      <w:r>
        <w:t xml:space="preserve">okenization in the era of commercial language models,”</w:t>
      </w:r>
      <w:r>
        <w:t xml:space="preserve"> </w:t>
      </w:r>
      <w:r>
        <w:t xml:space="preserve">in</w:t>
      </w:r>
      <w:r>
        <w:t xml:space="preserve"> </w:t>
      </w:r>
      <w:r>
        <w:rPr>
          <w:iCs/>
          <w:i/>
        </w:rPr>
        <w:t xml:space="preserve">Proceedings of the 2023 conference on empirical methods in natural language processing</w:t>
      </w:r>
      <w:r>
        <w:t xml:space="preserve">, 2023.</w:t>
      </w:r>
    </w:p>
    <w:bookmarkEnd w:id="66"/>
    <w:bookmarkStart w:id="67" w:name="ref-petrov2023tokenizers"/>
    <w:p>
      <w:pPr>
        <w:pStyle w:val="Bibliography"/>
      </w:pPr>
      <w:r>
        <w:t xml:space="preserve">[6]</w:t>
      </w:r>
      <w:r>
        <w:t xml:space="preserve"> </w:t>
      </w:r>
      <w:r>
        <w:t xml:space="preserve">	</w:t>
      </w:r>
      <w:r>
        <w:t xml:space="preserve">A. Petrov, E. La Malfa, P. H. S. Torr, and A. Bibi,</w:t>
      </w:r>
      <w:r>
        <w:t xml:space="preserve"> </w:t>
      </w:r>
      <w:r>
        <w:t xml:space="preserve">“Language model tokenizers introduce unfairness between languages,”</w:t>
      </w:r>
      <w:r>
        <w:t xml:space="preserve"> </w:t>
      </w:r>
      <w:r>
        <w:t xml:space="preserve">in</w:t>
      </w:r>
      <w:r>
        <w:t xml:space="preserve"> </w:t>
      </w:r>
      <w:r>
        <w:rPr>
          <w:iCs/>
          <w:i/>
        </w:rPr>
        <w:t xml:space="preserve">Advances in neural information processing systems</w:t>
      </w:r>
      <w:r>
        <w:t xml:space="preserve">, 2023.</w:t>
      </w:r>
    </w:p>
    <w:bookmarkEnd w:id="67"/>
    <w:bookmarkStart w:id="68" w:name="ref-rust2021good"/>
    <w:p>
      <w:pPr>
        <w:pStyle w:val="Bibliography"/>
      </w:pPr>
      <w:r>
        <w:t xml:space="preserve">[7]</w:t>
      </w:r>
      <w:r>
        <w:t xml:space="preserve"> </w:t>
      </w:r>
      <w:r>
        <w:t xml:space="preserve">	</w:t>
      </w:r>
      <w:r>
        <w:t xml:space="preserve">P. Rust, J. Pfeiffer, I. Vulić, S. Ruder, and I. Gurevych,</w:t>
      </w:r>
      <w:r>
        <w:t xml:space="preserve"> </w:t>
      </w:r>
      <w:r>
        <w:t xml:space="preserve">“How good is your tokenizer?</w:t>
      </w:r>
      <w:r>
        <w:t xml:space="preserve"> </w:t>
      </w:r>
      <w:r>
        <w:t xml:space="preserve">O</w:t>
      </w:r>
      <w:r>
        <w:t xml:space="preserve">n the monolingual performance of multilingual language models,”</w:t>
      </w:r>
      <w:r>
        <w:t xml:space="preserve"> </w:t>
      </w:r>
      <w:r>
        <w:t xml:space="preserve">in</w:t>
      </w:r>
      <w:r>
        <w:t xml:space="preserve"> </w:t>
      </w:r>
      <w:r>
        <w:rPr>
          <w:iCs/>
          <w:i/>
        </w:rPr>
        <w:t xml:space="preserve">Proceedings of the 59th annual meeting of the association for computational linguistics</w:t>
      </w:r>
      <w:r>
        <w:t xml:space="preserve">, 2021.</w:t>
      </w:r>
    </w:p>
    <w:bookmarkEnd w:id="68"/>
    <w:bookmarkStart w:id="69" w:name="ref-zhang2023codeswitchers"/>
    <w:p>
      <w:pPr>
        <w:pStyle w:val="Bibliography"/>
      </w:pPr>
      <w:r>
        <w:t xml:space="preserve">[8]</w:t>
      </w:r>
      <w:r>
        <w:t xml:space="preserve"> </w:t>
      </w:r>
      <w:r>
        <w:t xml:space="preserve">	</w:t>
      </w:r>
      <w:r>
        <w:t xml:space="preserve">R. Zhang, S. Cahyawijaya, J. C. B. Cruz, G. I. Winata, and A. F. Aji,</w:t>
      </w:r>
      <w:r>
        <w:t xml:space="preserve"> </w:t>
      </w:r>
      <w:r>
        <w:t xml:space="preserve">“Multilingual large language models are not (yet) code-switchers,”</w:t>
      </w:r>
      <w:r>
        <w:t xml:space="preserve"> </w:t>
      </w:r>
      <w:r>
        <w:t xml:space="preserve">in</w:t>
      </w:r>
      <w:r>
        <w:t xml:space="preserve"> </w:t>
      </w:r>
      <w:r>
        <w:rPr>
          <w:iCs/>
          <w:i/>
        </w:rPr>
        <w:t xml:space="preserve">Proceedings of the 2023 conference on empirical methods in natural language processing</w:t>
      </w:r>
      <w:r>
        <w:t xml:space="preserve">, 2023.</w:t>
      </w:r>
    </w:p>
    <w:bookmarkEnd w:id="69"/>
    <w:bookmarkStart w:id="70" w:name="ref-yong2023prompting"/>
    <w:p>
      <w:pPr>
        <w:pStyle w:val="Bibliography"/>
      </w:pPr>
      <w:r>
        <w:t xml:space="preserve">[9]</w:t>
      </w:r>
      <w:r>
        <w:t xml:space="preserve"> </w:t>
      </w:r>
      <w:r>
        <w:t xml:space="preserve">	</w:t>
      </w:r>
      <w:r>
        <w:t xml:space="preserve">Z.-X. Yong</w:t>
      </w:r>
      <w:r>
        <w:t xml:space="preserve"> </w:t>
      </w:r>
      <w:r>
        <w:rPr>
          <w:iCs/>
          <w:i/>
        </w:rPr>
        <w:t xml:space="preserve">et al.</w:t>
      </w:r>
      <w:r>
        <w:t xml:space="preserve">,</w:t>
      </w:r>
      <w:r>
        <w:t xml:space="preserve"> </w:t>
      </w:r>
      <w:r>
        <w:t xml:space="preserve">“Prompting multilingual large language models to generate code-mixed texts: The case of</w:t>
      </w:r>
      <w:r>
        <w:t xml:space="preserve"> </w:t>
      </w:r>
      <w:r>
        <w:t xml:space="preserve">S</w:t>
      </w:r>
      <w:r>
        <w:t xml:space="preserve">outh</w:t>
      </w:r>
      <w:r>
        <w:t xml:space="preserve"> </w:t>
      </w:r>
      <w:r>
        <w:t xml:space="preserve">E</w:t>
      </w:r>
      <w:r>
        <w:t xml:space="preserve">ast</w:t>
      </w:r>
      <w:r>
        <w:t xml:space="preserve"> </w:t>
      </w:r>
      <w:r>
        <w:t xml:space="preserve">A</w:t>
      </w:r>
      <w:r>
        <w:t xml:space="preserve">sian languages,”</w:t>
      </w:r>
      <w:r>
        <w:t xml:space="preserve"> </w:t>
      </w:r>
      <w:r>
        <w:t xml:space="preserve">in</w:t>
      </w:r>
      <w:r>
        <w:t xml:space="preserve"> </w:t>
      </w:r>
      <w:r>
        <w:rPr>
          <w:iCs/>
          <w:i/>
        </w:rPr>
        <w:t xml:space="preserve">Proceedings of the 6th workshop on computational approaches to linguistic code-switching</w:t>
      </w:r>
      <w:r>
        <w:t xml:space="preserve">, 2023.</w:t>
      </w:r>
    </w:p>
    <w:bookmarkEnd w:id="70"/>
    <w:bookmarkStart w:id="71" w:name="ref-sennrich2016neural"/>
    <w:p>
      <w:pPr>
        <w:pStyle w:val="Bibliography"/>
      </w:pPr>
      <w:r>
        <w:t xml:space="preserve">[10]</w:t>
      </w:r>
      <w:r>
        <w:t xml:space="preserve"> </w:t>
      </w:r>
      <w:r>
        <w:t xml:space="preserve">	</w:t>
      </w:r>
      <w:r>
        <w:t xml:space="preserve">R. Sennrich, B. Haddow, and A. Birch,</w:t>
      </w:r>
      <w:r>
        <w:t xml:space="preserve"> </w:t>
      </w:r>
      <w:r>
        <w:t xml:space="preserve">“Neural machine translation of rare words with subword units,”</w:t>
      </w:r>
      <w:r>
        <w:t xml:space="preserve"> </w:t>
      </w:r>
      <w:r>
        <w:t xml:space="preserve">in</w:t>
      </w:r>
      <w:r>
        <w:t xml:space="preserve"> </w:t>
      </w:r>
      <w:r>
        <w:rPr>
          <w:iCs/>
          <w:i/>
        </w:rPr>
        <w:t xml:space="preserve">Proceedings of the 54th annual meeting of the association for computational linguistics</w:t>
      </w:r>
      <w:r>
        <w:t xml:space="preserve">, 2016.</w:t>
      </w:r>
    </w:p>
    <w:bookmarkEnd w:id="71"/>
    <w:bookmarkStart w:id="72" w:name="ref-lin2022truthfulqa"/>
    <w:p>
      <w:pPr>
        <w:pStyle w:val="Bibliography"/>
      </w:pPr>
      <w:r>
        <w:t xml:space="preserve">[11]</w:t>
      </w:r>
      <w:r>
        <w:t xml:space="preserve"> </w:t>
      </w:r>
      <w:r>
        <w:t xml:space="preserve">	</w:t>
      </w:r>
      <w:r>
        <w:t xml:space="preserve">S. Lin, J. Hilton, and O. Evans,</w:t>
      </w:r>
      <w:r>
        <w:t xml:space="preserve"> </w:t>
      </w:r>
      <w:r>
        <w:t xml:space="preserve">“</w:t>
      </w:r>
      <w:r>
        <w:t xml:space="preserve">T</w:t>
      </w:r>
      <w:r>
        <w:t xml:space="preserve">ruthful</w:t>
      </w:r>
      <w:r>
        <w:t xml:space="preserve">QA</w:t>
      </w:r>
      <w:r>
        <w:t xml:space="preserve">: Measuring how models mimic human falsehoods,”</w:t>
      </w:r>
      <w:r>
        <w:t xml:space="preserve"> </w:t>
      </w:r>
      <w:r>
        <w:t xml:space="preserve">in</w:t>
      </w:r>
      <w:r>
        <w:t xml:space="preserve"> </w:t>
      </w:r>
      <w:r>
        <w:rPr>
          <w:iCs/>
          <w:i/>
        </w:rPr>
        <w:t xml:space="preserve">Proceedings of the 60th annual meeting of the association for computational linguistics</w:t>
      </w:r>
      <w:r>
        <w:t xml:space="preserve">, 2022.</w:t>
      </w:r>
    </w:p>
    <w:bookmarkEnd w:id="72"/>
    <w:bookmarkStart w:id="73" w:name="ref-min2023factscore"/>
    <w:p>
      <w:pPr>
        <w:pStyle w:val="Bibliography"/>
      </w:pPr>
      <w:r>
        <w:t xml:space="preserve">[12]</w:t>
      </w:r>
      <w:r>
        <w:t xml:space="preserve"> </w:t>
      </w:r>
      <w:r>
        <w:t xml:space="preserve">	</w:t>
      </w:r>
      <w:r>
        <w:t xml:space="preserve">S. Min</w:t>
      </w:r>
      <w:r>
        <w:t xml:space="preserve"> </w:t>
      </w:r>
      <w:r>
        <w:rPr>
          <w:iCs/>
          <w:i/>
        </w:rPr>
        <w:t xml:space="preserve">et al.</w:t>
      </w:r>
      <w:r>
        <w:t xml:space="preserve">,</w:t>
      </w:r>
      <w:r>
        <w:t xml:space="preserve"> </w:t>
      </w:r>
      <w:r>
        <w:t xml:space="preserve">“</w:t>
      </w:r>
      <w:r>
        <w:t xml:space="preserve">FA</w:t>
      </w:r>
      <w:r>
        <w:t xml:space="preserve">ct</w:t>
      </w:r>
      <w:r>
        <w:t xml:space="preserve">S</w:t>
      </w:r>
      <w:r>
        <w:t xml:space="preserve">core: Fine-grained atomic evaluation of factual precision in long form text generation,”</w:t>
      </w:r>
      <w:r>
        <w:t xml:space="preserve"> </w:t>
      </w:r>
      <w:r>
        <w:t xml:space="preserve">in</w:t>
      </w:r>
      <w:r>
        <w:t xml:space="preserve"> </w:t>
      </w:r>
      <w:r>
        <w:rPr>
          <w:iCs/>
          <w:i/>
        </w:rPr>
        <w:t xml:space="preserve">Proceedings of the 2023 conference on empirical methods in natural language processing</w:t>
      </w:r>
      <w:r>
        <w:t xml:space="preserve">, 2023.</w:t>
      </w:r>
    </w:p>
    <w:bookmarkEnd w:id="73"/>
    <w:bookmarkStart w:id="74" w:name="ref-zheng2023judging"/>
    <w:p>
      <w:pPr>
        <w:pStyle w:val="Bibliography"/>
      </w:pPr>
      <w:r>
        <w:t xml:space="preserve">[13]</w:t>
      </w:r>
      <w:r>
        <w:t xml:space="preserve"> </w:t>
      </w:r>
      <w:r>
        <w:t xml:space="preserve">	</w:t>
      </w:r>
      <w:r>
        <w:t xml:space="preserve">L. Zheng</w:t>
      </w:r>
      <w:r>
        <w:t xml:space="preserve"> </w:t>
      </w:r>
      <w:r>
        <w:rPr>
          <w:iCs/>
          <w:i/>
        </w:rPr>
        <w:t xml:space="preserve">et al.</w:t>
      </w:r>
      <w:r>
        <w:t xml:space="preserve">,</w:t>
      </w:r>
      <w:r>
        <w:t xml:space="preserve"> </w:t>
      </w:r>
      <w:r>
        <w:t xml:space="preserve">“Judging</w:t>
      </w:r>
      <w:r>
        <w:t xml:space="preserve"> </w:t>
      </w:r>
      <w:r>
        <w:t xml:space="preserve">LLM</w:t>
      </w:r>
      <w:r>
        <w:t xml:space="preserve">-as-a-judge with</w:t>
      </w:r>
      <w:r>
        <w:t xml:space="preserve"> </w:t>
      </w:r>
      <w:r>
        <w:t xml:space="preserve">MT</w:t>
      </w:r>
      <w:r>
        <w:t xml:space="preserve">-bench and chatbot arena,”</w:t>
      </w:r>
      <w:r>
        <w:t xml:space="preserve"> </w:t>
      </w:r>
      <w:r>
        <w:t xml:space="preserve">in</w:t>
      </w:r>
      <w:r>
        <w:t xml:space="preserve"> </w:t>
      </w:r>
      <w:r>
        <w:rPr>
          <w:iCs/>
          <w:i/>
        </w:rPr>
        <w:t xml:space="preserve">Advances in neural information processing systems, datasets and benchmarks track</w:t>
      </w:r>
      <w:r>
        <w:t xml:space="preserve">, 2023.</w:t>
      </w:r>
    </w:p>
    <w:bookmarkEnd w:id="74"/>
    <w:bookmarkStart w:id="75" w:name="ref-bari2024allam"/>
    <w:p>
      <w:pPr>
        <w:pStyle w:val="Bibliography"/>
      </w:pPr>
      <w:r>
        <w:t xml:space="preserve">[14]</w:t>
      </w:r>
      <w:r>
        <w:t xml:space="preserve"> </w:t>
      </w:r>
      <w:r>
        <w:t xml:space="preserve">	</w:t>
      </w:r>
      <w:r>
        <w:t xml:space="preserve">M. S. Bari, Y. Alnumay, N. A. Alzahrani, N. M. Alotaibi,</w:t>
      </w:r>
      <w:r>
        <w:t xml:space="preserve"> </w:t>
      </w:r>
      <w:r>
        <w:rPr>
          <w:iCs/>
          <w:i/>
        </w:rPr>
        <w:t xml:space="preserve">et al.</w:t>
      </w:r>
      <w:r>
        <w:t xml:space="preserve">,</w:t>
      </w:r>
      <w:r>
        <w:t xml:space="preserve"> </w:t>
      </w:r>
      <w:r>
        <w:t xml:space="preserve">“</w:t>
      </w:r>
      <w:r>
        <w:t xml:space="preserve">ALLaM</w:t>
      </w:r>
      <w:r>
        <w:t xml:space="preserve">: Large language models for</w:t>
      </w:r>
      <w:r>
        <w:t xml:space="preserve"> </w:t>
      </w:r>
      <w:r>
        <w:t xml:space="preserve">A</w:t>
      </w:r>
      <w:r>
        <w:t xml:space="preserve">rabic and</w:t>
      </w:r>
      <w:r>
        <w:t xml:space="preserve"> </w:t>
      </w:r>
      <w:r>
        <w:t xml:space="preserve">E</w:t>
      </w:r>
      <w:r>
        <w:t xml:space="preserve">nglish,”</w:t>
      </w:r>
      <w:r>
        <w:t xml:space="preserve"> </w:t>
      </w:r>
      <w:r>
        <w:rPr>
          <w:iCs/>
          <w:i/>
        </w:rPr>
        <w:t xml:space="preserve">arXiv preprint arXiv:2407.15390</w:t>
      </w:r>
      <w:r>
        <w:t xml:space="preserve">, 2024.</w:t>
      </w:r>
    </w:p>
    <w:bookmarkEnd w:id="75"/>
    <w:bookmarkStart w:id="76" w:name="ref-mcnemar1947note"/>
    <w:p>
      <w:pPr>
        <w:pStyle w:val="Bibliography"/>
      </w:pPr>
      <w:r>
        <w:t xml:space="preserve">[15]</w:t>
      </w:r>
      <w:r>
        <w:t xml:space="preserve"> </w:t>
      </w:r>
      <w:r>
        <w:t xml:space="preserve">	</w:t>
      </w:r>
      <w:r>
        <w:t xml:space="preserve">Q. McNemar,</w:t>
      </w:r>
      <w:r>
        <w:t xml:space="preserve"> </w:t>
      </w:r>
      <w:r>
        <w:t xml:space="preserve">“Note on the sampling error of the difference between correlated proportions or percentages,”</w:t>
      </w:r>
      <w:r>
        <w:t xml:space="preserve"> </w:t>
      </w:r>
      <w:r>
        <w:rPr>
          <w:iCs/>
          <w:i/>
        </w:rPr>
        <w:t xml:space="preserve">Psychometrika</w:t>
      </w:r>
      <w:r>
        <w:t xml:space="preserve">, vol. 12, no. 2, pp. 153–157, 1947.</w:t>
      </w:r>
    </w:p>
    <w:bookmarkEnd w:id="76"/>
    <w:bookmarkStart w:id="77" w:name="ref-holm1979simple"/>
    <w:p>
      <w:pPr>
        <w:pStyle w:val="Bibliography"/>
      </w:pPr>
      <w:r>
        <w:t xml:space="preserve">[16]</w:t>
      </w:r>
      <w:r>
        <w:t xml:space="preserve"> </w:t>
      </w:r>
      <w:r>
        <w:t xml:space="preserve">	</w:t>
      </w:r>
      <w:r>
        <w:t xml:space="preserve">S. Holm,</w:t>
      </w:r>
      <w:r>
        <w:t xml:space="preserve"> </w:t>
      </w:r>
      <w:r>
        <w:t xml:space="preserve">“A simple sequentially rejective multiple test procedure,”</w:t>
      </w:r>
      <w:r>
        <w:t xml:space="preserve"> </w:t>
      </w:r>
      <w:r>
        <w:rPr>
          <w:iCs/>
          <w:i/>
        </w:rPr>
        <w:t xml:space="preserve">Scandinavian Journal of Statistics</w:t>
      </w:r>
      <w:r>
        <w:t xml:space="preserve">, vol. 6, no. 2, pp. 65–70, 1979.</w:t>
      </w:r>
    </w:p>
    <w:bookmarkEnd w:id="77"/>
    <w:bookmarkStart w:id="78" w:name="ref-wilson1927probable"/>
    <w:p>
      <w:pPr>
        <w:pStyle w:val="Bibliography"/>
      </w:pPr>
      <w:r>
        <w:t xml:space="preserve">[17]</w:t>
      </w:r>
      <w:r>
        <w:t xml:space="preserve"> </w:t>
      </w:r>
      <w:r>
        <w:t xml:space="preserve">	</w:t>
      </w:r>
      <w:r>
        <w:t xml:space="preserve">E. B. Wilson,</w:t>
      </w:r>
      <w:r>
        <w:t xml:space="preserve"> </w:t>
      </w:r>
      <w:r>
        <w:t xml:space="preserve">“Probable inference, the law of succession, and statistical inference,”</w:t>
      </w:r>
      <w:r>
        <w:t xml:space="preserve"> </w:t>
      </w:r>
      <w:r>
        <w:rPr>
          <w:iCs/>
          <w:i/>
        </w:rPr>
        <w:t xml:space="preserve">Journal of the American Statistical Association</w:t>
      </w:r>
      <w:r>
        <w:t xml:space="preserve">, vol. 22, no. 158, pp. 209–212, 1927.</w:t>
      </w:r>
    </w:p>
    <w:bookmarkEnd w:id="78"/>
    <w:bookmarkStart w:id="79" w:name="ref-liang1986longitudinal"/>
    <w:p>
      <w:pPr>
        <w:pStyle w:val="Bibliography"/>
      </w:pPr>
      <w:r>
        <w:t xml:space="preserve">[18]</w:t>
      </w:r>
      <w:r>
        <w:t xml:space="preserve"> </w:t>
      </w:r>
      <w:r>
        <w:t xml:space="preserve">	</w:t>
      </w:r>
      <w:r>
        <w:t xml:space="preserve">K.-Y. Liang and S. L. Zeger,</w:t>
      </w:r>
      <w:r>
        <w:t xml:space="preserve"> </w:t>
      </w:r>
      <w:r>
        <w:t xml:space="preserve">“Longitudinal data analysis using generalized linear models,”</w:t>
      </w:r>
      <w:r>
        <w:t xml:space="preserve"> </w:t>
      </w:r>
      <w:r>
        <w:rPr>
          <w:iCs/>
          <w:i/>
        </w:rPr>
        <w:t xml:space="preserve">Biometrika</w:t>
      </w:r>
      <w:r>
        <w:t xml:space="preserve">, vol. 73, no. 1, pp. 13–22, 1986.</w:t>
      </w:r>
    </w:p>
    <w:bookmarkEnd w:id="79"/>
    <w:bookmarkStart w:id="80" w:name="ref-cameron2008bootstrap"/>
    <w:p>
      <w:pPr>
        <w:pStyle w:val="Bibliography"/>
      </w:pPr>
      <w:r>
        <w:t xml:space="preserve">[19]</w:t>
      </w:r>
      <w:r>
        <w:t xml:space="preserve"> </w:t>
      </w:r>
      <w:r>
        <w:t xml:space="preserve">	</w:t>
      </w:r>
      <w:r>
        <w:t xml:space="preserve">A. C. Cameron, J. B. Gelbach, and D. L. Miller,</w:t>
      </w:r>
      <w:r>
        <w:t xml:space="preserve"> </w:t>
      </w:r>
      <w:r>
        <w:t xml:space="preserve">“Bootstrap-based improvements for inference with clustered errors,”</w:t>
      </w:r>
      <w:r>
        <w:t xml:space="preserve"> </w:t>
      </w:r>
      <w:r>
        <w:rPr>
          <w:iCs/>
          <w:i/>
        </w:rPr>
        <w:t xml:space="preserve">The Review of Economics and Statistics</w:t>
      </w:r>
      <w:r>
        <w:t xml:space="preserve">, vol. 90, no. 3, pp. 414–427, 2008.</w:t>
      </w:r>
    </w:p>
    <w:bookmarkEnd w:id="80"/>
    <w:bookmarkStart w:id="81" w:name="ref-mancl2001covariance"/>
    <w:p>
      <w:pPr>
        <w:pStyle w:val="Bibliography"/>
      </w:pPr>
      <w:r>
        <w:t xml:space="preserve">[20]</w:t>
      </w:r>
      <w:r>
        <w:t xml:space="preserve"> </w:t>
      </w:r>
      <w:r>
        <w:t xml:space="preserve">	</w:t>
      </w:r>
      <w:r>
        <w:t xml:space="preserve">L. A. Mancl and T. A. DeRouen,</w:t>
      </w:r>
      <w:r>
        <w:t xml:space="preserve"> </w:t>
      </w:r>
      <w:r>
        <w:t xml:space="preserve">“A covariance estimator for</w:t>
      </w:r>
      <w:r>
        <w:t xml:space="preserve"> </w:t>
      </w:r>
      <w:r>
        <w:t xml:space="preserve">GEE</w:t>
      </w:r>
      <w:r>
        <w:t xml:space="preserve"> </w:t>
      </w:r>
      <w:r>
        <w:t xml:space="preserve">with improved small-sample properties,”</w:t>
      </w:r>
      <w:r>
        <w:t xml:space="preserve"> </w:t>
      </w:r>
      <w:r>
        <w:rPr>
          <w:iCs/>
          <w:i/>
        </w:rPr>
        <w:t xml:space="preserve">Biometrics</w:t>
      </w:r>
      <w:r>
        <w:t xml:space="preserve">, vol. 57, no. 1, pp. 126–134, 2001.</w:t>
      </w:r>
    </w:p>
    <w:bookmarkEnd w:id="81"/>
    <w:bookmarkStart w:id="82" w:name="ref-kish1965survey"/>
    <w:p>
      <w:pPr>
        <w:pStyle w:val="Bibliography"/>
      </w:pPr>
      <w:r>
        <w:t xml:space="preserve">[21]</w:t>
      </w:r>
      <w:r>
        <w:t xml:space="preserve"> </w:t>
      </w:r>
      <w:r>
        <w:t xml:space="preserve">	</w:t>
      </w:r>
      <w:r>
        <w:t xml:space="preserve">L. Kish,</w:t>
      </w:r>
      <w:r>
        <w:t xml:space="preserve"> </w:t>
      </w:r>
      <w:r>
        <w:rPr>
          <w:iCs/>
          <w:i/>
        </w:rPr>
        <w:t xml:space="preserve">Survey sampling</w:t>
      </w:r>
      <w:r>
        <w:t xml:space="preserve">. Wiley, 1965.</w:t>
      </w:r>
    </w:p>
    <w:bookmarkEnd w:id="82"/>
    <w:bookmarkStart w:id="83" w:name="ref-rogan1978estimating"/>
    <w:p>
      <w:pPr>
        <w:pStyle w:val="Bibliography"/>
      </w:pPr>
      <w:r>
        <w:t xml:space="preserve">[22]</w:t>
      </w:r>
      <w:r>
        <w:t xml:space="preserve"> </w:t>
      </w:r>
      <w:r>
        <w:t xml:space="preserve">	</w:t>
      </w:r>
      <w:r>
        <w:t xml:space="preserve">W. J. Rogan and B. Gladen,</w:t>
      </w:r>
      <w:r>
        <w:t xml:space="preserve"> </w:t>
      </w:r>
      <w:r>
        <w:t xml:space="preserve">“Estimating prevalence from the results of a screening test,”</w:t>
      </w:r>
      <w:r>
        <w:t xml:space="preserve"> </w:t>
      </w:r>
      <w:r>
        <w:rPr>
          <w:iCs/>
          <w:i/>
        </w:rPr>
        <w:t xml:space="preserve">American Journal of Epidemiology</w:t>
      </w:r>
      <w:r>
        <w:t xml:space="preserve">, vol. 107, no. 1, pp. 71–76, 1978.</w:t>
      </w:r>
    </w:p>
    <w:p>
      <w:pPr>
        <w:pStyle w:val="Bibliography"/>
      </w:pPr>
      <w:r>
        <w:t>[23]</w:t>
        <w:tab/>
        <w:t xml:space="preserve">J. A. Husain </w:t>
      </w:r>
      <w:r>
        <w:rPr>
          <w:i/>
        </w:rPr>
        <w:t>et al.</w:t>
      </w:r>
      <w:r>
        <w:t xml:space="preserve">, “RomanSetu: Efficiently unlocking multilingual capabilities of large language models via Romanization,” in </w:t>
      </w:r>
      <w:r>
        <w:rPr>
          <w:i/>
        </w:rPr>
        <w:t>Proceedings of the 62nd annual meeting of the association for computational linguistics</w:t>
      </w:r>
      <w:r>
        <w:t>, 2024.</w:t>
      </w:r>
    </w:p>
    <w:p>
      <w:pPr>
        <w:pStyle w:val="Bibliography"/>
      </w:pPr>
      <w:r>
        <w:t>[24]</w:t>
        <w:tab/>
        <w:t xml:space="preserve">P. Wang </w:t>
      </w:r>
      <w:r>
        <w:rPr>
          <w:i/>
        </w:rPr>
        <w:t>et al.</w:t>
      </w:r>
      <w:r>
        <w:t xml:space="preserve">, “Large language models are not fair evaluators,” in </w:t>
      </w:r>
      <w:r>
        <w:rPr>
          <w:i/>
        </w:rPr>
        <w:t>Proceedings of the 62nd annual meeting of the association for computational linguistics</w:t>
      </w:r>
      <w:r>
        <w:t>, 2024.</w:t>
      </w:r>
    </w:p>
    <w:p>
      <w:pPr>
        <w:pStyle w:val="Bibliography"/>
      </w:pPr>
      <w:r>
        <w:t>[25]</w:t>
        <w:tab/>
        <w:t xml:space="preserve">Y. Dubois, B. Galambosi, P. Liang, and T. B. Hashimoto, “Length-controlled AlpacaEval: A simple way to debias automatic evaluators,” </w:t>
      </w:r>
      <w:r>
        <w:rPr>
          <w:i/>
        </w:rPr>
        <w:t>arXiv preprint arXiv:2404.04475</w:t>
      </w:r>
      <w:r>
        <w:t>, 2024.</w:t>
      </w:r>
    </w:p>
    <w:p>
      <w:pPr>
        <w:pStyle w:val="Bibliography"/>
      </w:pPr>
      <w:r>
        <w:t>[26]</w:t>
        <w:tab/>
        <w:t xml:space="preserve">I. Watts, V. Gumma, A. Yadavalli, V. Seshadri, M. Swaminathan, and S. Sitaram, “PARIKSHA: A large-scale investigation of human-LLM evaluator agreement on multilingual and multi-cultural data,” in </w:t>
      </w:r>
      <w:r>
        <w:rPr>
          <w:i/>
        </w:rPr>
        <w:t>Proceedings of the 2024 conference on empirical methods in natural language processing</w:t>
      </w:r>
      <w:r>
        <w:t>, 2024, pp. 7900–7932.</w:t>
      </w:r>
    </w:p>
    <w:p>
      <w:pPr>
        <w:pStyle w:val="Bibliography"/>
      </w:pPr>
      <w:r>
        <w:t>[27]</w:t>
        <w:tab/>
        <w:t xml:space="preserve">X. Fu and W. Liu, “How reliable is multilingual LLM-as-a-judge?” in </w:t>
      </w:r>
      <w:r>
        <w:rPr>
          <w:i/>
        </w:rPr>
        <w:t>Findings of the association for computational linguistics: EMNLP 2025</w:t>
      </w:r>
      <w:r>
        <w:t>, 2025, pp. 11040–11053.</w:t>
      </w:r>
    </w:p>
    <w:bookmarkEnd w:id="83"/>
    <w:bookmarkEnd w:id="84"/>
    <w:bookmarkEnd w:id="85"/>
    <w:sectPr>
      <w:type w:val="continuous"/>
      <w:pgSz w:w="12240" w:h="15840"/>
      <w:pgMar w:top="1080" w:right="900" w:bottom="1296" w:left="900" w:header="576" w:footer="576"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FreeSerif">
    <w:charset w:val="01"/>
    <w:family w:val="roman"/>
    <w:pitch w:val="variable"/>
    <w:embedRegular r:id="rIdFont1" w:fontKey="{7167E02C-3361-47D2-884A-853F6FF71B3B}"/>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TrueTypeFonts/>
  <w:saveSubsetFonts/>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color w:val="000000"/>
      <w:sz w:val="20"/>
    </w:rPr>
  </w:style>
  <w:style w:styleId="BodyText" w:type="paragraph">
    <w:name w:val="Body Text"/>
    <w:basedOn w:val="Normal"/>
    <w:link w:val="BodyTextChar"/>
    <w:pPr>
      <w:spacing w:after="0" w:before="0" w:line="240" w:lineRule="auto"/>
      <w:ind w:firstLine="245"/>
      <w:jc w:val="both"/>
    </w:pPr>
    <w:qFormat/>
    <w:rPr>
      <w:rFonts w:ascii="Times New Roman" w:hAnsi="Times New Roman" w:cs="Times New Roman"/>
      <w:color w:val="000000"/>
      <w:sz w:val="20"/>
    </w:rPr>
  </w:style>
  <w:style w:customStyle="1" w:styleId="FirstParagraph" w:type="paragraph">
    <w:name w:val="First Paragraph"/>
    <w:basedOn w:val="BodyText"/>
    <w:next w:val="BodyText"/>
    <w:qFormat/>
    <w:pPr>
      <w:spacing w:before="0" w:after="0" w:line="240" w:lineRule="auto"/>
      <w:ind w:firstLine="245"/>
      <w:jc w:val="both"/>
    </w:pPr>
    <w:rPr>
      <w:rFonts w:ascii="Times New Roman" w:hAnsi="Times New Roman" w:cs="Times New Roman"/>
      <w:color w:val="000000"/>
      <w:sz w:val="20"/>
    </w:rPr>
  </w:style>
  <w:style w:customStyle="1" w:styleId="Compact" w:type="paragraph">
    <w:name w:val="Compact"/>
    <w:basedOn w:val="BodyText"/>
    <w:qFormat/>
    <w:pPr>
      <w:spacing w:after="0" w:before="0" w:line="240" w:lineRule="auto"/>
      <w:jc w:val="left"/>
    </w:pPr>
    <w:rPr>
      <w:rFonts w:ascii="Times New Roman" w:hAnsi="Times New Roman" w:cs="Times New Roman"/>
      <w:color w:val="000000"/>
      <w:sz w:val="16"/>
    </w:rPr>
  </w:style>
  <w:style w:styleId="Title" w:type="paragraph">
    <w:name w:val="Title"/>
    <w:basedOn w:val="Normal"/>
    <w:next w:val="BodyText"/>
    <w:qFormat/>
    <w:pPr>
      <w:keepNext/>
      <w:keepLines/>
      <w:spacing w:after="160" w:before="0" w:line="240" w:lineRule="auto"/>
      <w:jc w:val="center"/>
    </w:pPr>
    <w:rPr>
      <w:rFonts w:ascii="Times New Roman" w:hAnsi="Times New Roman" w:cs="Times New Roman"/>
      <w:b w:val="0"/>
      <w:bCs/>
      <w:color w:val="000000"/>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40" w:line="240" w:lineRule="auto"/>
      <w:jc w:val="center"/>
    </w:pPr>
    <w:rPr>
      <w:rFonts w:ascii="Times New Roman" w:hAnsi="Times New Roman" w:cs="Times New Roman"/>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0" w:before="0" w:line="240" w:lineRule="auto"/>
      <w:ind w:firstLine="245"/>
      <w:jc w:val="both"/>
    </w:pPr>
    <w:rPr>
      <w:rFonts w:ascii="Times New Roman" w:hAnsi="Times New Roman" w:cs="Times New Roman"/>
      <w:b/>
      <w:color w:val="000000"/>
      <w:sz w:val="18"/>
      <w:szCs w:val="20"/>
    </w:rPr>
  </w:style>
  <w:style w:styleId="Bibliography" w:type="paragraph">
    <w:name w:val="Bibliography"/>
    <w:basedOn w:val="Normal"/>
    <w:next w:val="Bibliography"/>
    <w:qFormat/>
    <w:pPr>
      <w:spacing w:before="0" w:after="40" w:line="240" w:lineRule="auto"/>
      <w:ind w:hanging="432" w:left="432"/>
      <w:jc w:val="left"/>
    </w:pPr>
    <w:rPr>
      <w:rFonts w:ascii="Times New Roman" w:hAnsi="Times New Roman" w:cs="Times New Roman"/>
      <w:color w:val="000000"/>
      <w:sz w:val="16"/>
    </w:rPr>
  </w:style>
  <w:style w:styleId="Heading1" w:type="paragraph">
    <w:name w:val="Heading 1"/>
    <w:basedOn w:val="Normal"/>
    <w:next w:val="BodyText"/>
    <w:uiPriority w:val="9"/>
    <w:qFormat/>
    <w:pPr>
      <w:keepNext/>
      <w:keepLines/>
      <w:spacing w:after="80" w:before="200" w:line="240" w:lineRule="auto"/>
      <w:jc w:val="center"/>
      <w:outlineLvl w:val="0"/>
    </w:pPr>
    <w:rPr>
      <w:rFonts w:ascii="Times New Roman" w:hAnsi="Times New Roman" w:cs="Times New Roman"/>
      <w:b w:val="0"/>
      <w:bCs/>
      <w:i w:val="0"/>
      <w:smallCaps w:val="0"/>
      <w:color w:val="000000"/>
      <w:sz w:val="20"/>
      <w:szCs w:val="32"/>
    </w:rPr>
  </w:style>
  <w:style w:styleId="Heading2" w:type="paragraph">
    <w:name w:val="Heading 2"/>
    <w:basedOn w:val="Normal"/>
    <w:next w:val="BodyText"/>
    <w:uiPriority w:val="9"/>
    <w:unhideWhenUsed/>
    <w:qFormat/>
    <w:pPr>
      <w:keepNext/>
      <w:keepLines/>
      <w:spacing w:after="60" w:before="120" w:line="240" w:lineRule="auto"/>
      <w:jc w:val="left"/>
      <w:outlineLvl w:val="1"/>
    </w:pPr>
    <w:rPr>
      <w:rFonts w:ascii="Times New Roman" w:hAnsi="Times New Roman" w:cs="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Times New Roman"/>
      <w:i/>
      <w:color w:val="000000"/>
      <w:sz w:val="16"/>
    </w:rPr>
  </w:style>
  <w:style w:customStyle="1" w:styleId="TableCaption" w:type="paragraph">
    <w:name w:val="Table Caption"/>
    <w:basedOn w:val="Caption"/>
    <w:pPr>
      <w:keepNext/>
    </w:pPr>
    <w:rPr>
      <w:rFonts w:ascii="Times New Roman" w:hAnsi="Times New Roman" w:cs="Times New Roman"/>
      <w:color w:val="000000"/>
      <w:sz w:val="16"/>
    </w:rPr>
  </w:style>
  <w:style w:customStyle="1" w:styleId="ImageCaption" w:type="paragraph">
    <w:name w:val="Image Caption"/>
    <w:basedOn w:val="Caption"/>
    <w:rPr>
      <w:rFonts w:ascii="Times New Roman" w:hAnsi="Times New Roman" w:cs="Times New Roman"/>
      <w:color w:val="00000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0" Type="http://schemas.openxmlformats.org/officeDocument/2006/relationships/image" Target="media/rId30.png"/><Relationship Id="rId38" Type="http://schemas.openxmlformats.org/officeDocument/2006/relationships/image" Target="media/rId38.png"/><Relationship Id="rId44" Type="http://schemas.openxmlformats.org/officeDocument/2006/relationships/image" Target="media/rId44.png"/><Relationship Id="rId33" Type="http://schemas.openxmlformats.org/officeDocument/2006/relationships/image" Target="media/rId33.png"/></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Representation Effects in Indic Factual Question Answering: Script, Output Budget, and Judge Dependence</dc:title>
  <dc:creator>Chandrahas Reddy</dc:creator>
  <cp:keywords/>
  <dcterms:created xsi:type="dcterms:W3CDTF">2026-10-09T09:28:40Z</dcterms:created>
  <dcterms:modified xsi:type="dcterms:W3CDTF">2026-10-09T09:28:40Z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Comparisons of LLM factual accuracy across languages and scripts usually change the question along with its representation. We hold 100 propositions on 20 Indian public-policy topics fixed and render each in English, native script, Romanized text, Latin-script code-switching (CS-LAT) and mixed-script code-switching (MIXED) in five Indic languages (Hindi, Bengali, Tamil, Telugu, Kannada), and ask how much the measured differences depend on two evaluation choices: the output-token budget and the judge. With Qwen3.8-27B and a 128-token cap, judge-assessed accuracy is 60% for a template-matched English prompt and 49%, 37%, 32% and 26% for CS-LAT, Romanized, native-script and MIXED prompts, and MIXED is 23 points below CS-LAT (p &lt; 0.001; topic-level p = 0.004). Almost every response hit that cap, and Brahmic-script answers fit half as many characters into it. When the key conditions are re-answered with 512 and 1,024 tokens, no MIXED–CS-LAT gap is detected under either a self-judge (+4 and −3 points) or a judge from another model family (−6 and −5); the intervals exclude the 128-token gap, although no equivalence test was pre-specified and 64% of MIXED answers still reach the 1,024-token cap. The English–CS-LAT gap behaves differently: under the self-judge it grows to 24 points at 1,024 tokens (topic-level p = 0.018; 0.29 after correction across all follow-up tests), while under the second judge it is 4–12 points and never significant. The judges agree on 75–81% of outputs (κ = 0.47–0.61), and no human validation of either was performed. Measured representation effects are therefore sensitive to the output budget and to the evaluator, and should not be read as effects of representation without checking both. Prompts, outputs, judgements, a gold-answer ledger and code are released.</vt:lpwstr>
  </property>
  <property fmtid="{D5CDD505-2E9C-101B-9397-08002B2CF9AE}" pid="3" name="bibliography">
    <vt:lpwstr>src/references.bib</vt:lpwstr>
  </property>
  <property fmtid="{D5CDD505-2E9C-101B-9397-08002B2CF9AE}" pid="4" name="csl">
    <vt:lpwstr>src/ieee.csl</vt:lpwstr>
  </property>
</Properties>
</file>