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A78D6"/>
          <w:sz w:val="40"/>
          <w:szCs w:val="40"/>
        </w:rPr>
        <w:t xml:space="preserve">Late Delivery Risk Prediction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Executive Summary — APL Logistics  |  July 2026</w:t>
      </w:r>
    </w:p>
    <w:p>
      <w:pPr>
        <w:spacing w:after="160"/>
      </w:pPr>
      <w:r>
        <w:rPr>
          <w:b w:val="false"/>
          <w:bCs w:val="false"/>
        </w:rPr>
        <w:t xml:space="preserve">APL Logistics can now flag, before an order ships, whether it's at risk of arriving late — with 82% accuracy at separating risky orders from safe ones, and a clean three-tier risk score (Low / Medium / High) that operations can act on directly. More importantly, the analysis identified the real driver of late deliveries, and it isn't what most teams assume.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2F6F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2A78D6"/>
                <w:sz w:val="34"/>
                <w:szCs w:val="34"/>
              </w:rPr>
              <w:t xml:space="preserve">172,762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orders analyzed</w:t>
            </w:r>
          </w:p>
        </w:tc>
        <w:tc>
          <w:tcPr>
            <w:tcW w:type="dxa" w:w="2520"/>
            <w:shd w:fill="F2F6F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2A78D6"/>
                <w:sz w:val="34"/>
                <w:szCs w:val="34"/>
              </w:rPr>
              <w:t xml:space="preserve">0.82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model accuracy (ROC-AUC)</w:t>
            </w:r>
          </w:p>
        </w:tc>
        <w:tc>
          <w:tcPr>
            <w:tcW w:type="dxa" w:w="2520"/>
            <w:shd w:fill="F2F6F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2A78D6"/>
                <w:sz w:val="34"/>
                <w:szCs w:val="34"/>
              </w:rPr>
              <w:t xml:space="preserve">88%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actual late rate in “High Risk” tier</w:t>
            </w:r>
          </w:p>
        </w:tc>
        <w:tc>
          <w:tcPr>
            <w:tcW w:type="dxa" w:w="2520"/>
            <w:shd w:fill="F2F6FC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2A78D6"/>
                <w:sz w:val="34"/>
                <w:szCs w:val="34"/>
              </w:rPr>
              <w:t xml:space="preserve">25%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actual late rate in “Low Risk” tier</w:t>
            </w:r>
          </w:p>
        </w:tc>
      </w:tr>
    </w:tbl>
    <w:p>
      <w:pPr>
        <w:spacing w:after="320"/>
      </w:pPr>
    </w:p>
    <w:p>
      <w:pPr>
        <w:pStyle w:val="Heading1"/>
        <w:spacing w:after="140" w:before="280"/>
      </w:pPr>
      <w:r>
        <w:t xml:space="preserve">The Core Finding</w:t>
      </w:r>
    </w:p>
    <w:p>
      <w:pPr>
        <w:spacing w:after="160"/>
      </w:pPr>
      <w:r>
        <w:t xml:space="preserve">Late delivery risk is driven almost entirely by one thing: how aggressive the promised delivery window is for the shipping mode selected — not the region an order is going to, not the product category, not order size. Counter-intuitively, faster promised shipping is far riskier than slower shipping, because tight windows are simply harder to hit.</w:t>
      </w:r>
    </w:p>
    <w:p>
      <w:pPr>
        <w:spacing w:before="120"/>
        <w:jc w:val="center"/>
      </w:pPr>
      <w:r>
        <w:drawing>
          <wp:inline distT="0" distB="0" distL="0" distR="0">
            <wp:extent cx="4381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8"/>
          <w:szCs w:val="18"/>
        </w:rPr>
        <w:t xml:space="preserve">First Class orders (1-day promise) are late 95% of the time; Standard Class (4-day promise) is late 38% of the time.</w:t>
      </w:r>
    </w:p>
    <w:p>
      <w:pPr>
        <w:pStyle w:val="Heading1"/>
        <w:spacing w:after="140" w:before="280"/>
      </w:pPr>
      <w:r>
        <w:t xml:space="preserve">What This Means for the Business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This is not primarily a fulfillment or carrier performance problem — it's a promise-setting problem. The delivery windows attached to expedited shipping options are structurally very hard to meet.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Region, market, and product category — the factors ops teams often investigate first — showed almost no relationship to late delivery risk in this data.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risk score is well-calibrated: orders flagged “High Risk” are actually late 88% of the time, vs. 25% for “Low Risk” — reliable enough to drive real operational decisions.</w:t>
      </w:r>
    </w:p>
    <w:p>
      <w:pPr>
        <w:pStyle w:val="Heading1"/>
        <w:spacing w:after="140" w:before="28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Use the risk score to proactively flag High Risk orders for priority handling or earlier carrier hand-off, before they ship — not after they're already late.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Revisit the delivery-time promises on expedited shipping modes; either tighten fulfillment capacity to match the promise, or reset customer expectations to match reality.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Invest in better data going forward — specifically order timestamps and order IDs — to unlock seasonal analysis and more precise risk modeling than is currently possible.</w:t>
      </w:r>
    </w:p>
    <w:p>
      <w:pPr>
        <w:pStyle w:val="Heading1"/>
        <w:spacing w:after="140" w:before="28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Trained prediction model (XGBoost) with documented performance and explainability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Interactive Streamlit dashboard for order-level risk lookup, region/mode analysis, and a daily operations action list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Full research paper detailing methodology, findings, and limitations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A78D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ecfb953a105f36f82bd22122d93a8b3fc288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2026-07-10T04:12:10.186Z</dcterms:created>
  <dcterms:modified xsi:type="dcterms:W3CDTF">2026-07-10T04:12:10.200Z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