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6E4AB" w14:textId="22C6E528" w:rsidR="00164E6E" w:rsidRPr="0027421F" w:rsidRDefault="0027421F">
      <w:pPr>
        <w:pStyle w:val="Heading2"/>
        <w:rPr>
          <w:rFonts w:ascii="Times New Roman" w:hAnsi="Times New Roman" w:cs="Times New Roman"/>
          <w:sz w:val="28"/>
          <w:szCs w:val="24"/>
        </w:rPr>
      </w:pPr>
      <w:r w:rsidRPr="0027421F">
        <w:rPr>
          <w:rFonts w:ascii="Times New Roman" w:hAnsi="Times New Roman" w:cs="Times New Roman"/>
          <w:sz w:val="28"/>
          <w:szCs w:val="24"/>
        </w:rPr>
        <w:t>INTRODUCTION:</w:t>
      </w:r>
    </w:p>
    <w:p w14:paraId="1FDF6C29" w14:textId="0C842F25" w:rsidR="00164E6E" w:rsidRPr="0027421F" w:rsidRDefault="0064322F">
      <w:pPr>
        <w:rPr>
          <w:rFonts w:ascii="Times New Roman" w:hAnsi="Times New Roman" w:cs="Times New Roman"/>
          <w:sz w:val="24"/>
          <w:szCs w:val="24"/>
        </w:rPr>
      </w:pPr>
      <w:r w:rsidRPr="0027421F">
        <w:rPr>
          <w:rFonts w:ascii="Times New Roman" w:hAnsi="Times New Roman" w:cs="Times New Roman"/>
          <w:sz w:val="24"/>
          <w:szCs w:val="24"/>
        </w:rPr>
        <w:t>Causality justification is the written reasoning behind a decision on whether a drug caused an adverse event. This report gives that reasoning for each of the 20 spontaneous cases SYN-PV-011 to SYN-PV-030. Every case was scored with the Naranjo ADR Probability Scale, and the Naranjo total sets the final category: Definite (9 or more), Probable (5 to 8), Possible (1 to 4) and Doubtful (0 or less). The case notes also cover the timing of onset, the effect of stopping the drug, any rechallenge, other possible explanations, and whether the dose and indication fit the product.</w:t>
      </w:r>
    </w:p>
    <w:p w14:paraId="70B49125" w14:textId="42796A8C" w:rsidR="0064322F" w:rsidRPr="0027421F" w:rsidRDefault="0064322F">
      <w:pPr>
        <w:rPr>
          <w:rFonts w:ascii="Times New Roman" w:hAnsi="Times New Roman" w:cs="Times New Roman"/>
          <w:sz w:val="24"/>
          <w:szCs w:val="24"/>
        </w:rPr>
      </w:pPr>
      <w:r w:rsidRPr="0027421F">
        <w:rPr>
          <w:rFonts w:ascii="Times New Roman" w:hAnsi="Times New Roman" w:cs="Times New Roman"/>
          <w:sz w:val="24"/>
          <w:szCs w:val="24"/>
        </w:rPr>
        <w:t>Across the 20 cases, 13 are Probable and 7 are Possible. None reached Definite or Doubtful. The highest score is 6 (SYN-PV-030) and the lowest is 2.</w:t>
      </w:r>
    </w:p>
    <w:p w14:paraId="4A1A12F6" w14:textId="01768D65"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Only the fields recorded in the case file were used, and anything not recorded is treated as unknown. Dose and onset comments come from general pharmacology and not from a specific product label. Expectedness is taken as recorded. Because no information on other causes was available, Naranjo question 5 was scored as unknown (0) in every case. Several Probable cases rest on data that look doubtful, such as an unusual dose or indication. These are noted in each case and are listed again at the end.</w:t>
      </w:r>
    </w:p>
    <w:p w14:paraId="6556331E" w14:textId="35581AAF" w:rsidR="00164E6E" w:rsidRPr="0027421F" w:rsidRDefault="0027421F">
      <w:pPr>
        <w:pStyle w:val="Heading2"/>
        <w:rPr>
          <w:rFonts w:ascii="Times New Roman" w:hAnsi="Times New Roman" w:cs="Times New Roman"/>
          <w:sz w:val="32"/>
          <w:szCs w:val="28"/>
        </w:rPr>
      </w:pPr>
      <w:r w:rsidRPr="0027421F">
        <w:rPr>
          <w:rFonts w:ascii="Times New Roman" w:hAnsi="Times New Roman" w:cs="Times New Roman"/>
          <w:sz w:val="28"/>
          <w:szCs w:val="24"/>
        </w:rPr>
        <w:t>CASES</w:t>
      </w:r>
      <w:r>
        <w:rPr>
          <w:rFonts w:ascii="Times New Roman" w:hAnsi="Times New Roman" w:cs="Times New Roman"/>
          <w:sz w:val="28"/>
          <w:szCs w:val="24"/>
        </w:rPr>
        <w:t>:</w:t>
      </w:r>
    </w:p>
    <w:p w14:paraId="36F3F83D" w14:textId="1C3B2880"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SYN-PV-011 · Metformin · Nausea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48871D0B" w14:textId="37086BA0"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23-year-old patient of unknown sex, reported by a consumer, took metformin 5 mg once daily for hypertension and developed nausea on day 19. The reporter says the drug was stopped and the patient is recovering, but dechallenge is coded as unknown. A positive rechallenge is recorded. No other medicines are listed.</w:t>
      </w:r>
    </w:p>
    <w:p w14:paraId="02720385" w14:textId="0FE5736B"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Nausea is a known metformin reaction, so the event itself is expected. The Naranjo score is 5, made up of previous reports (1), onset after the drug (2) and the positive rechallenge (2). That puts the case at the bottom of the Probable range, and it depends on a rechallenge that nobody has verified. A 5 mg dose and a hypertension indication do not fit metformin, and the report came from a consumer. The dose, the indication and the restart should be confirmed. The case is medically important.</w:t>
      </w:r>
    </w:p>
    <w:p w14:paraId="6AFDB498"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SYN-PV-012 · Amlodipine · Peripheral oedema · Probable (Naranjo 5)</w:t>
      </w:r>
    </w:p>
    <w:p w14:paraId="22061CAA"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24-year-old woman, reported by a pharmacist, took amlodipine 5 mg once daily for hypertension and developed peripheral oedema on day 4. No other medicines are listed. A positive rechallenge is recorded. Dechallenge is unknown and the patient had not recovered at follow-up.</w:t>
      </w:r>
    </w:p>
    <w:p w14:paraId="5F867076"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 xml:space="preserve">The dose is standard, the indication fits, and oedema is a dose-related amlodipine effect. The Naranjo score is 5 (previous reports 1, onset after the drug 2, rechallenge 2), so the case is Probable. A documented improvement after withdrawal would raise it further. Hypertension at </w:t>
      </w:r>
      <w:r w:rsidRPr="0027421F">
        <w:rPr>
          <w:rFonts w:ascii="Times New Roman" w:hAnsi="Times New Roman" w:cs="Times New Roman"/>
          <w:sz w:val="24"/>
          <w:szCs w:val="24"/>
        </w:rPr>
        <w:lastRenderedPageBreak/>
        <w:t>24 can point to an underlying renal or cardiac problem, and that should be ruled out. The reaction is expected and the case is medically important.</w:t>
      </w:r>
    </w:p>
    <w:p w14:paraId="43953C61"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SYN-PV-013 · Ciprofloxacin · Tendon pain · Probable (Naranjo 5)</w:t>
      </w:r>
    </w:p>
    <w:p w14:paraId="4F3A2317"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75-year-old woman, reported by a physician, took ciprofloxacin 500 mg twice daily and developed tendon pain on day 5. Her recorded indication is diabetes, and she also took vitamin D. Rechallenge is positive. Dechallenge is negative and the patient had not recovered.</w:t>
      </w:r>
    </w:p>
    <w:p w14:paraId="0460F8A2"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Tendon disorders are a recognised fluoroquinolone class effect, and onset in the first week fits. The Naranjo score is 5 (previous reports 1, onset 2, rechallenge 2), so the case is Probable. The negative dechallenge counts for little here, since tendon damage often persists after the drug is stopped. Age 75 and diabetes are both risk factors for tendon injury, and vitamin D is an unlikely cause. The infection that was treated should be confirmed, along with any corticosteroid use or renal impairment. The reaction is expected and the case is medically important.</w:t>
      </w:r>
    </w:p>
    <w:p w14:paraId="172F1913" w14:textId="55A539DE"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SYN-PV-014 · Sertraline · Dizziness · </w:t>
      </w:r>
      <w:r w:rsidR="00C83C1C" w:rsidRPr="0027421F">
        <w:rPr>
          <w:rFonts w:ascii="Times New Roman" w:hAnsi="Times New Roman" w:cs="Times New Roman"/>
          <w:sz w:val="28"/>
          <w:szCs w:val="24"/>
        </w:rPr>
        <w:t xml:space="preserve">Possible </w:t>
      </w:r>
      <w:r w:rsidRPr="0027421F">
        <w:rPr>
          <w:rFonts w:ascii="Times New Roman" w:hAnsi="Times New Roman" w:cs="Times New Roman"/>
          <w:sz w:val="28"/>
          <w:szCs w:val="24"/>
        </w:rPr>
        <w:t>(Naranjo 2)</w:t>
      </w:r>
    </w:p>
    <w:p w14:paraId="04E1A68D"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75-year-old woman, reported by a physician, took sertraline 5 mg once daily, recorded for diabetes, and was hospitalised with dizziness that began on day 9. She also took paracetamol. Both dechallenge and rechallenge are negative, so the dizziness did not ease on stopping and did not come back on restart.</w:t>
      </w:r>
    </w:p>
    <w:p w14:paraId="5FBF2EFC"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The Naranjo score is 2 (previous reports 1, onset 2, negative rechallenge -1), so the case is Possible. The narrative says she is recovering, which conflicts with the negative dechallenge and needs to be reconciled. At her age and with diabetes, glucose changes or orthostatic hypotension are alternative explanations, and the 5 mg dose and diabetes indication do not fit sertraline. The case is serious, and because the reporter suspects the drug it may still be reportable. Follow your procedure.</w:t>
      </w:r>
    </w:p>
    <w:p w14:paraId="447A697D" w14:textId="5FEB1035"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SYN-PV-015 · Omeprazole · Headache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272DC87D"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33-year-old man, reported by a physician, took omeprazole 20 mg once daily, recorded for hypertension, and was hospitalised with headache on day 16. He recovered after stopping and had a positive rechallenge, although dechallenge is coded as unknown. There are no other medicines.</w:t>
      </w:r>
    </w:p>
    <w:p w14:paraId="2271225A"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The dose is standard and headache is an expected omeprazole reaction. The Naranjo score is 5 (previous reports 1, onset 2, rechallenge 2), so the case is Probable. If the recovery were counted as a positive dechallenge the score would be 6. Hypertension can itself cause headache and no blood pressure readings are given, and hypertension is not an omeprazole indication. Blood pressure at onset, the real indication and confirmation of recovery after stopping should be obtained. The case is serious because of the hospitalisation.</w:t>
      </w:r>
    </w:p>
    <w:p w14:paraId="48F76560"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lastRenderedPageBreak/>
        <w:t>SYN-PV-016 · Losartan · Fatigue · Possible (Naranjo 2)</w:t>
      </w:r>
    </w:p>
    <w:p w14:paraId="55F8F50E"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66-year-old patient of unknown sex, reported by a physician, took losartan 20 mg once daily, recorded for diabetes, and developed non-serious fatigue on day 10. Dechallenge is positive and rechallenge is negative, yet the patient had not recovered.</w:t>
      </w:r>
    </w:p>
    <w:p w14:paraId="4ADE0A7A"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The Naranjo score is 2 (onset 2, positive dechallenge 1, negative rechallenge -1; previous reports scored 0 because the event is recorded as unexpected), so the case is Possible. The withdrawal data conflict with each other and with the outcome. Diabetes is a likely alternative cause of fatigue, and 20 mg is not a usual losartan strength. Fatigue and asthenia appear in several losartan labels, so the recorded unexpectedness should be checked against the reference safety information.</w:t>
      </w:r>
    </w:p>
    <w:p w14:paraId="4344D5D8" w14:textId="53870939"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SYN-PV-017 · Amoxicillin · Rash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42CC8C0C"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57-year-old patient of unknown sex, reported by a physician, took amoxicillin 5 mg once daily, recorded for hypertension, and developed a rash on day 21 while also taking vitamin D. Dechallenge is unknown and the patient is recovering. Rechallenge is positive.</w:t>
      </w:r>
    </w:p>
    <w:p w14:paraId="3C257443"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The Naranjo score is 5 (previous reports 1, onset 2, rechallenge 2), so the case is Probable. The score should be read with care. Day 21 is late for a typical amoxicillin course, and delayed rashes happen but are not the usual pattern. The 5 mg dose and the hypertension indication do not fit amoxicillin, and no infection is recorded, so the length of treatment is unclear. The rash type, its timing relative to stopping, and the true dose and duration should be obtained. The reaction is expected and the case is medically important.</w:t>
      </w:r>
    </w:p>
    <w:p w14:paraId="03EA0842" w14:textId="1FA32C6B"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SYN-PV-018 · Atorvastatin · Myalgia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444B7E41"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56-year-old woman, reported by a physician, took atorvastatin 500 mg twice daily, recorded for anxiety, and was hospitalised with myalgia on day 17. She had not recovered. Rechallenge is positive and dechallenge is unknown.</w:t>
      </w:r>
    </w:p>
    <w:p w14:paraId="1F3758E2"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Myalgia is a known statin reaction and onset fits. The Naranjo score is 5 (previous reports 1, onset 2, rechallenge 2), so the case is Probable. The recorded dose is far above the 80 mg daily maximum, so a dosing error or overdose may be involved, and anxiety is not a statin indication. The case is serious. Creatine kinase and renal function should be checked to exclude rhabdomyolysis, and the dose should be verified. This is a priority case for follow-up.</w:t>
      </w:r>
    </w:p>
    <w:p w14:paraId="2959A4B4"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SYN-PV-019 · Metformin · Nausea · Possible (Naranjo 3)</w:t>
      </w:r>
    </w:p>
    <w:p w14:paraId="6F10559E"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29-year-old patient of unknown sex, reported by a pharmacist, took metformin 5 mg once daily, recorded for anxiety, and developed non-serious nausea on day 9. Dechallenge is positive and the patient is recovering. Rechallenge is negative.</w:t>
      </w:r>
    </w:p>
    <w:p w14:paraId="60B1927F"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 xml:space="preserve">Nausea is an expected metformin reaction and the timing fits. The Naranjo score is 3 (previous reports 1, onset 2, positive dechallenge 1, negative rechallenge -1), so the case is Possible. The two withdrawal findings point in opposite directions. Anxiety can itself cause nausea, and the </w:t>
      </w:r>
      <w:r w:rsidRPr="0027421F">
        <w:rPr>
          <w:rFonts w:ascii="Times New Roman" w:hAnsi="Times New Roman" w:cs="Times New Roman"/>
          <w:sz w:val="24"/>
          <w:szCs w:val="24"/>
        </w:rPr>
        <w:lastRenderedPageBreak/>
        <w:t>dose and indication do not fit metformin. It should be checked whether the rechallenge used the same dose, and the true indication should be confirmed.</w:t>
      </w:r>
    </w:p>
    <w:p w14:paraId="174DF4F8"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SYN-PV-020 · Amlodipine · Peripheral oedema · Possible (Naranjo 3)</w:t>
      </w:r>
    </w:p>
    <w:p w14:paraId="24BB97FA"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56-year-old patient of unknown sex, reported by a pharmacist, took amlodipine 5 mg once daily, recorded for diabetes, and was hospitalised with peripheral oedema on day 7. Paracetamol was also taken. The narrative says the drug was stopped and the patient is recovering, but dechallenge is coded as unknown and no rechallenge was done.</w:t>
      </w:r>
    </w:p>
    <w:p w14:paraId="6DE1BFD0" w14:textId="015288F8" w:rsidR="00164E6E" w:rsidRPr="0027421F" w:rsidRDefault="00000000" w:rsidP="004F3728">
      <w:pPr>
        <w:rPr>
          <w:rFonts w:ascii="Times New Roman" w:hAnsi="Times New Roman" w:cs="Times New Roman"/>
          <w:sz w:val="24"/>
          <w:szCs w:val="24"/>
        </w:rPr>
      </w:pPr>
      <w:r w:rsidRPr="0027421F">
        <w:rPr>
          <w:rFonts w:ascii="Times New Roman" w:hAnsi="Times New Roman" w:cs="Times New Roman"/>
          <w:sz w:val="24"/>
          <w:szCs w:val="24"/>
        </w:rPr>
        <w:t>Onset is typical and the dose is standard. The Naranjo score is 3 (previous reports 1, onset 2), so the case is Possible. Diabetes brings other causes of oedema, such as nephropathy, heart failure or venous disease, and these cannot be excluded from the file. A renal and cardiac work-up, and the timing of improvement after stopping, would show whether the link is stronger. The reaction is expected and the case is serious because of the hospitalisation.</w:t>
      </w:r>
    </w:p>
    <w:p w14:paraId="08888015" w14:textId="4120A812"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SYN-PV-021 · Ciprofloxacin · Tendon pain · </w:t>
      </w:r>
      <w:r w:rsidR="00C83C1C" w:rsidRPr="0027421F">
        <w:rPr>
          <w:rFonts w:ascii="Times New Roman" w:hAnsi="Times New Roman" w:cs="Times New Roman"/>
          <w:sz w:val="28"/>
          <w:szCs w:val="24"/>
        </w:rPr>
        <w:t xml:space="preserve">Possible </w:t>
      </w:r>
      <w:r w:rsidRPr="0027421F">
        <w:rPr>
          <w:rFonts w:ascii="Times New Roman" w:hAnsi="Times New Roman" w:cs="Times New Roman"/>
          <w:sz w:val="28"/>
          <w:szCs w:val="24"/>
        </w:rPr>
        <w:t>(Naranjo 4)</w:t>
      </w:r>
    </w:p>
    <w:p w14:paraId="77A6604B"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33-year-old patient of unknown sex, reported by a physician, took ciprofloxacin 5 mg once daily for an infection and developed tendon pain on day 9. Paracetamol was also taken. Dechallenge is positive and the patient recovered. Rechallenge was not done.</w:t>
      </w:r>
    </w:p>
    <w:p w14:paraId="44C92611"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Onset fits fluoroquinolone tendinopathy, a recognised class effect. The Naranjo score is 4 (previous reports 1, onset 2, positive dechallenge 1), so the case is Possible, one point short of Probable. The missing rechallenge is the reason for that. The clinical picture is fairly strong: no tendon risk factors are recorded at age 33, infection-related myalgia is only a minor alternative, and paracetamol is not a likely cause. The 5 mg dose is far below the usual range, so the dose and units should be confirmed. The case is medically important.</w:t>
      </w:r>
    </w:p>
    <w:p w14:paraId="73C627B9" w14:textId="5BF7B566"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SYN-PV-022 · Sertraline · Dizziness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13EEE456"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43-year-old woman, reported by a consumer, took sertraline 5 mg once daily for an infection and developed non-serious dizziness on day 21. Paracetamol was also taken. Rechallenge is positive. Dechallenge is negative and the patient had not recovered.</w:t>
      </w:r>
    </w:p>
    <w:p w14:paraId="4EBA8218"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Dizziness is expected with sertraline and onset fits. The Naranjo score is 5 (previous reports 1, onset 2, rechallenge 2), so the case is Probable, but with weak support. The withdrawal findings conflict, the infection itself can cause dizziness, the dose and indication do not fit sertraline, and the reporter is a consumer. The dose, the indication and whether the dizziness returned on restart should be confirmed.</w:t>
      </w:r>
    </w:p>
    <w:p w14:paraId="641DBE2A" w14:textId="7C90263B"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SYN-PV-023 · Omeprazole · Headache · </w:t>
      </w:r>
      <w:r w:rsidR="00C83C1C" w:rsidRPr="0027421F">
        <w:rPr>
          <w:rFonts w:ascii="Times New Roman" w:hAnsi="Times New Roman" w:cs="Times New Roman"/>
          <w:sz w:val="28"/>
          <w:szCs w:val="24"/>
        </w:rPr>
        <w:t xml:space="preserve">Possible </w:t>
      </w:r>
      <w:r w:rsidRPr="0027421F">
        <w:rPr>
          <w:rFonts w:ascii="Times New Roman" w:hAnsi="Times New Roman" w:cs="Times New Roman"/>
          <w:sz w:val="28"/>
          <w:szCs w:val="24"/>
        </w:rPr>
        <w:t>(Naranjo 2)</w:t>
      </w:r>
    </w:p>
    <w:p w14:paraId="64153D3A"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26-year-old man, reported by a physician, took omeprazole 500 mg twice daily, recorded for anxiety, and was hospitalised with headache on day 4. Both dechallenge and rechallenge are negative. The narrative says he is recovering.</w:t>
      </w:r>
    </w:p>
    <w:p w14:paraId="1DDAD076"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lastRenderedPageBreak/>
        <w:t>The Naranjo score is 2 (previous reports 1, onset 2, negative rechallenge -1), so the case is Possible. The recovery in the narrative conflicts with the negative dechallenge. Anxiety is a likely alternative cause of headache, and the recorded dose is far above the usual 20 to 40 mg. The case is serious, and the reporter's suspicion may keep it reportable whatever the category. Follow your procedure. The dose should be verified and the outcome reconciled with the dechallenge.</w:t>
      </w:r>
    </w:p>
    <w:p w14:paraId="6E7BF20A"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SYN-PV-024 · Losartan · Fatigue · Probable (Naranjo 5)</w:t>
      </w:r>
    </w:p>
    <w:p w14:paraId="24016C29"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79-year-old patient of unknown sex, reported by a physician, took losartan 500 mg twice daily for hypertension and was hospitalised with fatigue on day 3. Paracetamol was also taken. Both dechallenge and rechallenge are positive.</w:t>
      </w:r>
    </w:p>
    <w:p w14:paraId="659F248E"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This is the strongest withdrawal pattern in the set, shared only with case 030. The Naranjo score is 5 (onset 2, dechallenge 1, rechallenge 2), so the case is Probable. It is not higher because the event is recorded as unexpected and so earns no point for previous reports. Fatigue is nonspecific and age 79 offers other causes. The recorded dose is far above the 100 mg daily maximum, and if it is correct, over-treatment could explain the fatigue. Dose, blood pressure at onset and expectedness against the reference safety information should be checked. The case is serious, unexpected and Probable, so it should be reviewed first for expedited reporting under the applicable regulation and your procedure.</w:t>
      </w:r>
    </w:p>
    <w:p w14:paraId="254A3640" w14:textId="439A0DF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SYN-PV-025 · Amoxicillin · Rash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2B1006D9"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61-year-old patient of unknown sex, reported by a physician, took amoxicillin 500 mg twice daily for an infection and developed a rash on day 21. Paracetamol was also taken. Rechallenge is positive. Dechallenge is negative, although the patient recovered.</w:t>
      </w:r>
    </w:p>
    <w:p w14:paraId="537BE0F5" w14:textId="52B5EA0C" w:rsidR="00164E6E" w:rsidRPr="0027421F" w:rsidRDefault="00000000" w:rsidP="004F3728">
      <w:pPr>
        <w:rPr>
          <w:rFonts w:ascii="Times New Roman" w:hAnsi="Times New Roman" w:cs="Times New Roman"/>
          <w:sz w:val="24"/>
          <w:szCs w:val="24"/>
        </w:rPr>
      </w:pPr>
      <w:r w:rsidRPr="0027421F">
        <w:rPr>
          <w:rFonts w:ascii="Times New Roman" w:hAnsi="Times New Roman" w:cs="Times New Roman"/>
          <w:sz w:val="24"/>
          <w:szCs w:val="24"/>
        </w:rPr>
        <w:t>The dose and indication are standard, but day 21 is late for a usual course. The Naranjo score is 5 (previous reports 1, onset 2, rechallenge 2), so the case is Probable. A viral illness, for example, can cause a rash without any drug, and the withdrawal data conflict. The rash description, the type of infection, the length of the course and what happened on stopping should be obtained. The reaction is expected and the case is medically important.</w:t>
      </w:r>
    </w:p>
    <w:p w14:paraId="527208BF"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SYN-PV-026 · Atorvastatin · Myalgia · Probable (Naranjo 5)</w:t>
      </w:r>
    </w:p>
    <w:p w14:paraId="7BC656E2"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48-year-old patient of unknown sex, reported by a physician, took atorvastatin 20 mg once daily, recorded for hypertension, and developed myalgia on day 12. Vitamin D was also taken. Rechallenge is positive. Dechallenge is unknown and the patient had not recovered.</w:t>
      </w:r>
    </w:p>
    <w:p w14:paraId="03001198"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Onset and dose fit, myalgia is an expected statin reaction, and hypertension is a common condition in statin users. The Naranjo score is 5 (previous reports 1, onset 2, rechallenge 2), so the case is Probable. Vitamin D deficiency can also cause myalgia. Creatine kinase, vitamin D status and recovery after withdrawal should be checked. The case is medically important.</w:t>
      </w:r>
    </w:p>
    <w:p w14:paraId="34AFA081" w14:textId="663669BA"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lastRenderedPageBreak/>
        <w:t xml:space="preserve">SYN-PV-027 · Metformin · Nausea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50AD35C1"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24-year-old patient of unknown sex, reported by a pharmacist, took metformin 20 mg once daily, recorded for hypertension, and developed nausea on day 14. Paracetamol was also taken. The patient recovered after stopping and rechallenge is positive. Dechallenge is coded as unknown.</w:t>
      </w:r>
    </w:p>
    <w:p w14:paraId="1FF40322"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Nausea is expected with metformin and the timing fits. The Naranjo score is 5 (previous reports 1, onset 2, rechallenge 2), so the case is Probable. The dose and the indication do not fit metformin, so the score may overstate the link until both are confirmed. The case is medically important.</w:t>
      </w:r>
    </w:p>
    <w:p w14:paraId="6F28F6E8"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SYN-PV-028 · Amlodipine · Peripheral oedema · Possible (Naranjo 2)</w:t>
      </w:r>
    </w:p>
    <w:p w14:paraId="11950E08"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77-year-old patient of unknown sex, reported by a pharmacist, took amlodipine 5 mg once daily for hypertension and developed non-serious peripheral oedema on day 18. Vitamin D was also taken. The patient recovered. Dechallenge is coded as unknown and rechallenge is negative.</w:t>
      </w:r>
    </w:p>
    <w:p w14:paraId="1E48042D"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Timing, dose and indication are all reasonable. The Naranjo score is 2 (previous reports 1, onset 2, negative rechallenge -1), so the case is Possible. Amlodipine oedema is dose-related, so a negative rechallenge counts against the drug. At age 77, venous, cardiac or renal disease are other possible causes. The dose used at rechallenge, and whether oedema returned, should be confirmed.</w:t>
      </w:r>
    </w:p>
    <w:p w14:paraId="4BD4FFD3" w14:textId="48AF276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 xml:space="preserve">SYN-PV-029 · Ciprofloxacin · Tendon pain · </w:t>
      </w:r>
      <w:r w:rsidR="00C83C1C" w:rsidRPr="0027421F">
        <w:rPr>
          <w:rFonts w:ascii="Times New Roman" w:hAnsi="Times New Roman" w:cs="Times New Roman"/>
          <w:sz w:val="28"/>
          <w:szCs w:val="24"/>
        </w:rPr>
        <w:t xml:space="preserve">Probable </w:t>
      </w:r>
      <w:r w:rsidRPr="0027421F">
        <w:rPr>
          <w:rFonts w:ascii="Times New Roman" w:hAnsi="Times New Roman" w:cs="Times New Roman"/>
          <w:sz w:val="28"/>
          <w:szCs w:val="24"/>
        </w:rPr>
        <w:t>(Naranjo 5)</w:t>
      </w:r>
    </w:p>
    <w:p w14:paraId="45671473"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 35-year-old patient of unknown sex, reported by a consumer, took ciprofloxacin 5 mg once daily, recorded for diabetes, and developed tendon pain on day 13. Paracetamol was also taken. The patient recovered. Rechallenge is positive and dechallenge is unknown.</w:t>
      </w:r>
    </w:p>
    <w:p w14:paraId="1E884E9B"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Tendon disorders are a recognised class effect and timing fits. The Naranjo score is 5 (previous reports 1, onset 2, rechallenge 2), so the case is Probable. Two data problems weaken it. The 5 mg dose is far below the usual range, and the recorded indication is diabetes, itself a risk factor for tendon problems, so the infection that was treated is unclear. The reporter is a consumer. The dose and the infection should be confirmed. The case is medically important.</w:t>
      </w:r>
    </w:p>
    <w:p w14:paraId="6E3C4714" w14:textId="77777777" w:rsidR="00164E6E" w:rsidRPr="0027421F" w:rsidRDefault="00000000">
      <w:pPr>
        <w:pStyle w:val="Heading3"/>
        <w:rPr>
          <w:rFonts w:ascii="Times New Roman" w:hAnsi="Times New Roman" w:cs="Times New Roman"/>
          <w:sz w:val="28"/>
          <w:szCs w:val="24"/>
        </w:rPr>
      </w:pPr>
      <w:r w:rsidRPr="0027421F">
        <w:rPr>
          <w:rFonts w:ascii="Times New Roman" w:hAnsi="Times New Roman" w:cs="Times New Roman"/>
          <w:sz w:val="28"/>
          <w:szCs w:val="24"/>
        </w:rPr>
        <w:t>SYN-PV-030 · Sertraline · Dizziness · Probable (Naranjo 6)</w:t>
      </w:r>
    </w:p>
    <w:p w14:paraId="197FC201"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An 82-year-old man, reported by a consumer, took sertraline 20 mg once daily for anxiety and developed dizziness on day 17. Paracetamol was also taken. Both dechallenge and rechallenge are positive and the patient is recovering.</w:t>
      </w:r>
    </w:p>
    <w:p w14:paraId="55425E07" w14:textId="77777777" w:rsidR="00164E6E" w:rsidRPr="0027421F" w:rsidRDefault="00000000">
      <w:pPr>
        <w:rPr>
          <w:rFonts w:ascii="Times New Roman" w:hAnsi="Times New Roman" w:cs="Times New Roman"/>
          <w:sz w:val="24"/>
          <w:szCs w:val="24"/>
        </w:rPr>
      </w:pPr>
      <w:r w:rsidRPr="0027421F">
        <w:rPr>
          <w:rFonts w:ascii="Times New Roman" w:hAnsi="Times New Roman" w:cs="Times New Roman"/>
          <w:sz w:val="24"/>
          <w:szCs w:val="24"/>
        </w:rPr>
        <w:t>The indication fits and onset is reasonable. The Naranjo score is 6 (previous reports 1, onset 2, dechallenge 1, rechallenge 2), the highest in the set, so the case is Probable. Dizziness is nonspecific, and at age 82 orthostatic hypotension and polypharmacy are other possible causes. The reporter is a consumer, and 20 mg is not a usual tablet strength. Lying and standing blood pressure and the dose should be confirmed. The case is medically important.</w:t>
      </w:r>
    </w:p>
    <w:p w14:paraId="6E1E1F30" w14:textId="10048604" w:rsidR="00164E6E" w:rsidRPr="0027421F" w:rsidRDefault="0027421F">
      <w:pPr>
        <w:pStyle w:val="Heading2"/>
        <w:rPr>
          <w:rFonts w:ascii="Times New Roman" w:hAnsi="Times New Roman" w:cs="Times New Roman"/>
          <w:sz w:val="28"/>
          <w:szCs w:val="24"/>
        </w:rPr>
      </w:pPr>
      <w:r w:rsidRPr="0027421F">
        <w:rPr>
          <w:rFonts w:ascii="Times New Roman" w:hAnsi="Times New Roman" w:cs="Times New Roman"/>
          <w:sz w:val="28"/>
          <w:szCs w:val="24"/>
        </w:rPr>
        <w:lastRenderedPageBreak/>
        <w:t>CLOSING OBSERVATIONS AND FOLLOW-UP</w:t>
      </w:r>
      <w:r>
        <w:rPr>
          <w:rFonts w:ascii="Times New Roman" w:hAnsi="Times New Roman" w:cs="Times New Roman"/>
          <w:sz w:val="28"/>
          <w:szCs w:val="24"/>
        </w:rPr>
        <w:t>:</w:t>
      </w:r>
    </w:p>
    <w:p w14:paraId="18298C96" w14:textId="772A7A16" w:rsidR="004F3728" w:rsidRPr="0027421F" w:rsidRDefault="004F3728" w:rsidP="004F3728">
      <w:pPr>
        <w:rPr>
          <w:rFonts w:ascii="Times New Roman" w:hAnsi="Times New Roman" w:cs="Times New Roman"/>
          <w:sz w:val="24"/>
          <w:szCs w:val="24"/>
        </w:rPr>
      </w:pPr>
      <w:r w:rsidRPr="0027421F">
        <w:rPr>
          <w:rFonts w:ascii="Times New Roman" w:hAnsi="Times New Roman" w:cs="Times New Roman"/>
          <w:sz w:val="24"/>
          <w:szCs w:val="24"/>
        </w:rPr>
        <w:t>Most of the Probable ratings are only as good as the data behind them. Eleven records give a dose outside the normal range, at least nine pair the drug with an indication it is not normally used for, and eleven report a positive rechallenge without a positive dechallenge. Seven of the 13 Probable cases (011, 017, 018, 022, 024, 027 and 029) carry a dose or indication problem, so their scores could change once the facts are checked. Confirming that each restart really happened is the most useful follow-up.</w:t>
      </w:r>
    </w:p>
    <w:p w14:paraId="0D030267" w14:textId="77777777" w:rsidR="004F3728" w:rsidRPr="0027421F" w:rsidRDefault="004F3728" w:rsidP="004F3728">
      <w:pPr>
        <w:rPr>
          <w:rFonts w:ascii="Times New Roman" w:hAnsi="Times New Roman" w:cs="Times New Roman"/>
          <w:sz w:val="24"/>
          <w:szCs w:val="24"/>
        </w:rPr>
      </w:pPr>
      <w:r w:rsidRPr="0027421F">
        <w:rPr>
          <w:rFonts w:ascii="Times New Roman" w:hAnsi="Times New Roman" w:cs="Times New Roman"/>
          <w:sz w:val="24"/>
          <w:szCs w:val="24"/>
        </w:rPr>
        <w:t>Six cases are serious because of hospitalisation: 014, 015, 018, 020, 023 and 024. Case 024 comes first. It is serious, recorded as unexpected and Probable, and should be reviewed for expedited reporting. Case 018 is next, because creatine kinase and renal function are needed to exclude rhabdomyolysis. Case 015 is also serious and Probable. Cases 014 and 023 are serious and Possible, and in both the negative dechallenge has to be reconciled with the narrative outcome.</w:t>
      </w:r>
    </w:p>
    <w:p w14:paraId="7F0B8C47" w14:textId="477FEDD4" w:rsidR="00164E6E" w:rsidRPr="0027421F" w:rsidRDefault="004F3728" w:rsidP="004F3728">
      <w:pPr>
        <w:rPr>
          <w:rFonts w:ascii="Times New Roman" w:hAnsi="Times New Roman" w:cs="Times New Roman"/>
          <w:sz w:val="24"/>
          <w:szCs w:val="24"/>
        </w:rPr>
      </w:pPr>
      <w:r w:rsidRPr="0027421F">
        <w:rPr>
          <w:rFonts w:ascii="Times New Roman" w:hAnsi="Times New Roman" w:cs="Times New Roman"/>
          <w:sz w:val="24"/>
          <w:szCs w:val="24"/>
        </w:rPr>
        <w:t>These categories are a first pass based only on the fields in the case file. No source documents, laboratory data or medical histories were available. Other causes were judged only from the recorded indication, comorbidity and concomitant medicines, and Naranjo question 5 was scored 0 throughout. If a recorded recovery were accepted as a positive dechallenge, the scores of several cases would rise by one point, but none would change category.</w:t>
      </w:r>
    </w:p>
    <w:sectPr w:rsidR="00164E6E" w:rsidRPr="0027421F" w:rsidSect="0064322F">
      <w:headerReference w:type="first" r:id="rId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289B1" w14:textId="77777777" w:rsidR="00F84C34" w:rsidRDefault="00F84C34" w:rsidP="0064322F">
      <w:pPr>
        <w:spacing w:after="0" w:line="240" w:lineRule="auto"/>
      </w:pPr>
      <w:r>
        <w:separator/>
      </w:r>
    </w:p>
  </w:endnote>
  <w:endnote w:type="continuationSeparator" w:id="0">
    <w:p w14:paraId="50B68F1B" w14:textId="77777777" w:rsidR="00F84C34" w:rsidRDefault="00F84C34" w:rsidP="00643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6CD3D" w14:textId="77777777" w:rsidR="00F84C34" w:rsidRDefault="00F84C34" w:rsidP="0064322F">
      <w:pPr>
        <w:spacing w:after="0" w:line="240" w:lineRule="auto"/>
      </w:pPr>
      <w:r>
        <w:separator/>
      </w:r>
    </w:p>
  </w:footnote>
  <w:footnote w:type="continuationSeparator" w:id="0">
    <w:p w14:paraId="4452E436" w14:textId="77777777" w:rsidR="00F84C34" w:rsidRDefault="00F84C34" w:rsidP="00643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4EE11" w14:textId="73E05CBF" w:rsidR="0064322F" w:rsidRPr="00962B02" w:rsidRDefault="0064322F" w:rsidP="0064322F">
    <w:pPr>
      <w:pStyle w:val="Header"/>
      <w:jc w:val="center"/>
      <w:rPr>
        <w:rFonts w:ascii="Times New Roman" w:hAnsi="Times New Roman" w:cs="Times New Roman"/>
        <w:b/>
        <w:bCs/>
        <w:sz w:val="36"/>
        <w:szCs w:val="36"/>
        <w:u w:val="single"/>
      </w:rPr>
    </w:pPr>
    <w:r w:rsidRPr="00962B02">
      <w:rPr>
        <w:rFonts w:ascii="Times New Roman" w:hAnsi="Times New Roman" w:cs="Times New Roman"/>
        <w:b/>
        <w:bCs/>
        <w:sz w:val="36"/>
        <w:szCs w:val="36"/>
        <w:u w:val="single"/>
      </w:rPr>
      <w:t>Causality Justification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A4A"/>
    <w:multiLevelType w:val="hybridMultilevel"/>
    <w:tmpl w:val="A1D28FCC"/>
    <w:lvl w:ilvl="0" w:tplc="EAB25BE4">
      <w:start w:val="1"/>
      <w:numFmt w:val="decimal"/>
      <w:lvlText w:val="%1."/>
      <w:lvlJc w:val="left"/>
      <w:pPr>
        <w:ind w:left="720" w:hanging="360"/>
      </w:pPr>
    </w:lvl>
    <w:lvl w:ilvl="1" w:tplc="931AD692">
      <w:start w:val="1"/>
      <w:numFmt w:val="lowerLetter"/>
      <w:lvlText w:val="%2."/>
      <w:lvlJc w:val="left"/>
      <w:pPr>
        <w:ind w:left="1440" w:hanging="360"/>
      </w:pPr>
    </w:lvl>
    <w:lvl w:ilvl="2" w:tplc="250E1560">
      <w:start w:val="1"/>
      <w:numFmt w:val="lowerRoman"/>
      <w:lvlText w:val="%3."/>
      <w:lvlJc w:val="left"/>
      <w:pPr>
        <w:ind w:left="2160" w:hanging="360"/>
      </w:pPr>
    </w:lvl>
    <w:lvl w:ilvl="3" w:tplc="85FA2FCE">
      <w:start w:val="1"/>
      <w:numFmt w:val="decimal"/>
      <w:lvlText w:val="%4."/>
      <w:lvlJc w:val="left"/>
      <w:pPr>
        <w:ind w:left="2880" w:hanging="360"/>
      </w:pPr>
    </w:lvl>
    <w:lvl w:ilvl="4" w:tplc="588432A8">
      <w:start w:val="1"/>
      <w:numFmt w:val="lowerLetter"/>
      <w:lvlText w:val="%5."/>
      <w:lvlJc w:val="left"/>
      <w:pPr>
        <w:ind w:left="3600" w:hanging="360"/>
      </w:pPr>
    </w:lvl>
    <w:lvl w:ilvl="5" w:tplc="AAB8D01C">
      <w:start w:val="1"/>
      <w:numFmt w:val="lowerRoman"/>
      <w:lvlText w:val="%6."/>
      <w:lvlJc w:val="left"/>
      <w:pPr>
        <w:ind w:left="4320" w:hanging="360"/>
      </w:pPr>
    </w:lvl>
    <w:lvl w:ilvl="6" w:tplc="38884A16">
      <w:start w:val="1"/>
      <w:numFmt w:val="decimal"/>
      <w:lvlText w:val="%7."/>
      <w:lvlJc w:val="left"/>
      <w:pPr>
        <w:ind w:left="5040" w:hanging="360"/>
      </w:pPr>
    </w:lvl>
    <w:lvl w:ilvl="7" w:tplc="BB72AA5E">
      <w:start w:val="1"/>
      <w:numFmt w:val="lowerLetter"/>
      <w:lvlText w:val="%8."/>
      <w:lvlJc w:val="left"/>
      <w:pPr>
        <w:ind w:left="5760" w:hanging="360"/>
      </w:pPr>
    </w:lvl>
    <w:lvl w:ilvl="8" w:tplc="77323662">
      <w:start w:val="1"/>
      <w:numFmt w:val="lowerRoman"/>
      <w:lvlText w:val="%9."/>
      <w:lvlJc w:val="left"/>
      <w:pPr>
        <w:ind w:left="6480" w:hanging="360"/>
      </w:pPr>
    </w:lvl>
  </w:abstractNum>
  <w:abstractNum w:abstractNumId="1" w15:restartNumberingAfterBreak="0">
    <w:nsid w:val="38B95F97"/>
    <w:multiLevelType w:val="hybridMultilevel"/>
    <w:tmpl w:val="FDA8E060"/>
    <w:lvl w:ilvl="0" w:tplc="563CBEEC">
      <w:start w:val="1"/>
      <w:numFmt w:val="bullet"/>
      <w:lvlText w:val="•"/>
      <w:lvlJc w:val="left"/>
      <w:pPr>
        <w:ind w:left="720" w:hanging="360"/>
      </w:pPr>
    </w:lvl>
    <w:lvl w:ilvl="1" w:tplc="071AE538">
      <w:start w:val="1"/>
      <w:numFmt w:val="bullet"/>
      <w:lvlText w:val="o"/>
      <w:lvlJc w:val="left"/>
      <w:pPr>
        <w:ind w:left="1440" w:hanging="360"/>
      </w:pPr>
    </w:lvl>
    <w:lvl w:ilvl="2" w:tplc="2FC02F3A">
      <w:start w:val="1"/>
      <w:numFmt w:val="bullet"/>
      <w:lvlText w:val="▪"/>
      <w:lvlJc w:val="left"/>
      <w:pPr>
        <w:ind w:left="2160" w:hanging="360"/>
      </w:pPr>
    </w:lvl>
    <w:lvl w:ilvl="3" w:tplc="1D2C9486">
      <w:start w:val="1"/>
      <w:numFmt w:val="bullet"/>
      <w:lvlText w:val="•"/>
      <w:lvlJc w:val="left"/>
      <w:pPr>
        <w:ind w:left="2880" w:hanging="360"/>
      </w:pPr>
    </w:lvl>
    <w:lvl w:ilvl="4" w:tplc="5392919E">
      <w:start w:val="1"/>
      <w:numFmt w:val="bullet"/>
      <w:lvlText w:val="o"/>
      <w:lvlJc w:val="left"/>
      <w:pPr>
        <w:ind w:left="3600" w:hanging="360"/>
      </w:pPr>
    </w:lvl>
    <w:lvl w:ilvl="5" w:tplc="EE2EF05A">
      <w:start w:val="1"/>
      <w:numFmt w:val="bullet"/>
      <w:lvlText w:val="▪"/>
      <w:lvlJc w:val="left"/>
      <w:pPr>
        <w:ind w:left="4320" w:hanging="360"/>
      </w:pPr>
    </w:lvl>
    <w:lvl w:ilvl="6" w:tplc="6394BC3E">
      <w:start w:val="1"/>
      <w:numFmt w:val="bullet"/>
      <w:lvlText w:val="•"/>
      <w:lvlJc w:val="left"/>
      <w:pPr>
        <w:ind w:left="5040" w:hanging="360"/>
      </w:pPr>
    </w:lvl>
    <w:lvl w:ilvl="7" w:tplc="35661C3C">
      <w:start w:val="1"/>
      <w:numFmt w:val="bullet"/>
      <w:lvlText w:val="o"/>
      <w:lvlJc w:val="left"/>
      <w:pPr>
        <w:ind w:left="5760" w:hanging="360"/>
      </w:pPr>
    </w:lvl>
    <w:lvl w:ilvl="8" w:tplc="8D687896">
      <w:start w:val="1"/>
      <w:numFmt w:val="bullet"/>
      <w:lvlText w:val="▪"/>
      <w:lvlJc w:val="left"/>
      <w:pPr>
        <w:ind w:left="6480" w:hanging="360"/>
      </w:pPr>
    </w:lvl>
  </w:abstractNum>
  <w:num w:numId="1" w16cid:durableId="1267616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E"/>
    <w:rsid w:val="00080B3A"/>
    <w:rsid w:val="00164E6E"/>
    <w:rsid w:val="0027421F"/>
    <w:rsid w:val="004F3728"/>
    <w:rsid w:val="00515366"/>
    <w:rsid w:val="005C4CE2"/>
    <w:rsid w:val="0064322F"/>
    <w:rsid w:val="00962B02"/>
    <w:rsid w:val="00C83C1C"/>
    <w:rsid w:val="00C93020"/>
    <w:rsid w:val="00D420C1"/>
    <w:rsid w:val="00D57652"/>
    <w:rsid w:val="00E848B9"/>
    <w:rsid w:val="00F8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FBE7"/>
  <w15:docId w15:val="{A08A001A-97F7-4BAF-9BF9-DD9D58291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3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22F"/>
  </w:style>
  <w:style w:type="paragraph" w:styleId="Footer">
    <w:name w:val="footer"/>
    <w:basedOn w:val="Normal"/>
    <w:link w:val="FooterChar"/>
    <w:uiPriority w:val="99"/>
    <w:unhideWhenUsed/>
    <w:rsid w:val="00643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Narrative Causality Justification Report SYN-PV-011 to 030</vt:lpstr>
    </vt:vector>
  </TitlesOfParts>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Causality Justification Report SYN-PV-011 to 030</dc:title>
  <dc:creator>Chandra kanth samayam</dc:creator>
  <dc:description>Claude Docs node/e03985df-475e@7 docx-w6</dc:description>
  <cp:lastModifiedBy>chandu samayam</cp:lastModifiedBy>
  <cp:revision>5</cp:revision>
  <dcterms:created xsi:type="dcterms:W3CDTF">2026-10-10T15:51:00Z</dcterms:created>
  <dcterms:modified xsi:type="dcterms:W3CDTF">2026-10-10T16:16:00Z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292d58ac493c02e2137df5311713c972606f23ae7fbd206edd832f0d0c8014a7</vt:lpwstr>
  </property>
</Properties>
</file>