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Northwind Retail Group - Company Factsheet</w:t>
      </w:r>
    </w:p>
    <w:p>
      <w:pPr>
        <w:pStyle w:val="Heading2"/>
      </w:pPr>
      <w:r>
        <w:t>Company Overview</w:t>
      </w:r>
    </w:p>
    <w:p>
      <w:r>
        <w:t>Northwind Retail Group was founded in 1987 in Cleveland, Ohio, originally as a single hardware store. Today, the company operates 142 retail locations across six Midwest states, employing approximately 6,400 people. The company's headquarters remains in Cleveland, Ohio.</w:t>
      </w:r>
    </w:p>
    <w:p>
      <w:pPr>
        <w:pStyle w:val="Heading2"/>
      </w:pPr>
      <w:r>
        <w:t>Leadership Team</w:t>
      </w:r>
    </w:p>
    <w:p>
      <w:r>
        <w:t>The company is led by Chief Executive Officer Maria Castellano, who has served in the role since 2021. The Chief Financial Officer is David Okonkwo, who joined Northwind in 2019 after previously serving as VP of Finance at a competing retail chain. The Chief Technology Officer, Priya Raman, oversees the company's e-commerce platform and digital infrastructure.</w:t>
      </w:r>
    </w:p>
    <w:p>
      <w:pPr>
        <w:pStyle w:val="Heading2"/>
      </w:pPr>
      <w:r>
        <w:t>Product Categories</w:t>
      </w:r>
    </w:p>
    <w:p>
      <w:r>
        <w:t>Northwind sells products across five primary categories: Home Improvement (32% of revenue), Outdoor and Garden (24%), Electronics and Appliances (19%), Apparel (14%), and Grocery and Household Essentials (11%). The Home Improvement category has consistently been the company's top revenue generator since 2015.</w:t>
      </w:r>
    </w:p>
    <w:p>
      <w:pPr>
        <w:pStyle w:val="Heading2"/>
      </w:pPr>
      <w:r>
        <w:t>Sustainability Initiatives</w:t>
      </w:r>
    </w:p>
    <w:p>
      <w:r>
        <w:t>In 2024, Northwind launched a sustainability initiative called 'Northwind Green', committing to reduce store-level energy consumption by 30% by 2030. As of the most recent reporting period, the company has achieved a 12% reduction through LED lighting retrofits and smart HVAC systems installed in 89 of its 142 stores.</w:t>
      </w:r>
    </w:p>
    <w:p>
      <w:pPr>
        <w:pStyle w:val="Heading2"/>
      </w:pPr>
      <w:r>
        <w:t>Store Format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Avg. Square Footage</w:t>
            </w:r>
          </w:p>
        </w:tc>
        <w:tc>
          <w:tcPr>
            <w:tcW w:type="dxa" w:w="2880"/>
          </w:tcPr>
          <w:p>
            <w:r>
              <w:t>Number of Locations</w:t>
            </w:r>
          </w:p>
        </w:tc>
      </w:tr>
      <w:tr>
        <w:tc>
          <w:tcPr>
            <w:tcW w:type="dxa" w:w="2880"/>
          </w:tcPr>
          <w:p>
            <w:r>
              <w:t>Flagship Superstore</w:t>
            </w:r>
          </w:p>
        </w:tc>
        <w:tc>
          <w:tcPr>
            <w:tcW w:type="dxa" w:w="2880"/>
          </w:tcPr>
          <w:p>
            <w:r>
              <w:t>85,000 sq ft</w:t>
            </w:r>
          </w:p>
        </w:tc>
        <w:tc>
          <w:tcPr>
            <w:tcW w:type="dxa" w:w="2880"/>
          </w:tcPr>
          <w:p>
            <w:r>
              <w:t>22</w:t>
            </w:r>
          </w:p>
        </w:tc>
      </w:tr>
      <w:tr>
        <w:tc>
          <w:tcPr>
            <w:tcW w:type="dxa" w:w="2880"/>
          </w:tcPr>
          <w:p>
            <w:r>
              <w:t>Standard Store</w:t>
            </w:r>
          </w:p>
        </w:tc>
        <w:tc>
          <w:tcPr>
            <w:tcW w:type="dxa" w:w="2880"/>
          </w:tcPr>
          <w:p>
            <w:r>
              <w:t>45,000 sq ft</w:t>
            </w:r>
          </w:p>
        </w:tc>
        <w:tc>
          <w:tcPr>
            <w:tcW w:type="dxa" w:w="2880"/>
          </w:tcPr>
          <w:p>
            <w:r>
              <w:t>96</w:t>
            </w:r>
          </w:p>
        </w:tc>
      </w:tr>
      <w:tr>
        <w:tc>
          <w:tcPr>
            <w:tcW w:type="dxa" w:w="2880"/>
          </w:tcPr>
          <w:p>
            <w:r>
              <w:t>Express / Urban</w:t>
            </w:r>
          </w:p>
        </w:tc>
        <w:tc>
          <w:tcPr>
            <w:tcW w:type="dxa" w:w="2880"/>
          </w:tcPr>
          <w:p>
            <w:r>
              <w:t>18,000 sq ft</w:t>
            </w:r>
          </w:p>
        </w:tc>
        <w:tc>
          <w:tcPr>
            <w:tcW w:type="dxa" w:w="2880"/>
          </w:tcPr>
          <w:p>
            <w:r>
              <w:t>24</w:t>
            </w:r>
          </w:p>
        </w:tc>
      </w:tr>
    </w:tbl>
    <w:p>
      <w:pPr>
        <w:pStyle w:val="Heading2"/>
      </w:pPr>
      <w:r>
        <w:t>Contact and Investor Information</w:t>
      </w:r>
    </w:p>
    <w:p>
      <w:r>
        <w:t>Northwind Retail Group is privately held and does not trade on public stock exchanges. Investor relations inquiries are handled directly through the corporate office in Cleveland, Ohio. The company publishes its annual business report each year for internal stakeholders and select strategic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