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ChandraAILabs - Extended Leave Policy</w:t>
      </w:r>
    </w:p>
    <w:p>
      <w:r>
        <w:t>This document provides detailed leave policy guidelines for all employees.</w:t>
      </w:r>
    </w:p>
    <w:p>
      <w:pPr>
        <w:pStyle w:val="Heading1"/>
      </w:pPr>
      <w:r>
        <w:t>Leave Entitlements</w:t>
      </w:r>
    </w:p>
    <w:p>
      <w:r>
        <w:t>All permanent employees are entitled to the following leave types: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Leave Type</w:t>
            </w:r>
          </w:p>
        </w:tc>
        <w:tc>
          <w:tcPr>
            <w:tcW w:type="dxa" w:w="2160"/>
          </w:tcPr>
          <w:p>
            <w:r>
              <w:t>Days/Year</w:t>
            </w:r>
          </w:p>
        </w:tc>
        <w:tc>
          <w:tcPr>
            <w:tcW w:type="dxa" w:w="2160"/>
          </w:tcPr>
          <w:p>
            <w:r>
              <w:t>Carry Forward</w:t>
            </w:r>
          </w:p>
        </w:tc>
        <w:tc>
          <w:tcPr>
            <w:tcW w:type="dxa" w:w="2160"/>
          </w:tcPr>
          <w:p>
            <w:r>
              <w:t>Encashable</w:t>
            </w:r>
          </w:p>
        </w:tc>
      </w:tr>
      <w:tr>
        <w:tc>
          <w:tcPr>
            <w:tcW w:type="dxa" w:w="2160"/>
          </w:tcPr>
          <w:p>
            <w:r>
              <w:t>Annual Leave</w:t>
            </w:r>
          </w:p>
        </w:tc>
        <w:tc>
          <w:tcPr>
            <w:tcW w:type="dxa" w:w="2160"/>
          </w:tcPr>
          <w:p>
            <w:r>
              <w:t>21 days</w:t>
            </w:r>
          </w:p>
        </w:tc>
        <w:tc>
          <w:tcPr>
            <w:tcW w:type="dxa" w:w="2160"/>
          </w:tcPr>
          <w:p>
            <w:r>
              <w:t>Yes (max 30)</w:t>
            </w:r>
          </w:p>
        </w:tc>
        <w:tc>
          <w:tcPr>
            <w:tcW w:type="dxa" w:w="2160"/>
          </w:tcPr>
          <w:p>
            <w:r>
              <w:t>At separation</w:t>
            </w:r>
          </w:p>
        </w:tc>
      </w:tr>
      <w:tr>
        <w:tc>
          <w:tcPr>
            <w:tcW w:type="dxa" w:w="2160"/>
          </w:tcPr>
          <w:p>
            <w:r>
              <w:t>Sick Leave</w:t>
            </w:r>
          </w:p>
        </w:tc>
        <w:tc>
          <w:tcPr>
            <w:tcW w:type="dxa" w:w="2160"/>
          </w:tcPr>
          <w:p>
            <w:r>
              <w:t>10 days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Casual Leave</w:t>
            </w:r>
          </w:p>
        </w:tc>
        <w:tc>
          <w:tcPr>
            <w:tcW w:type="dxa" w:w="2160"/>
          </w:tcPr>
          <w:p>
            <w:r>
              <w:t>7 days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Maternity Leave</w:t>
            </w:r>
          </w:p>
        </w:tc>
        <w:tc>
          <w:tcPr>
            <w:tcW w:type="dxa" w:w="2160"/>
          </w:tcPr>
          <w:p>
            <w:r>
              <w:t>182 days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Paternity Leave</w:t>
            </w:r>
          </w:p>
        </w:tc>
        <w:tc>
          <w:tcPr>
            <w:tcW w:type="dxa" w:w="2160"/>
          </w:tcPr>
          <w:p>
            <w:r>
              <w:t>5 days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Study Leave</w:t>
            </w:r>
          </w:p>
        </w:tc>
        <w:tc>
          <w:tcPr>
            <w:tcW w:type="dxa" w:w="2160"/>
          </w:tcPr>
          <w:p>
            <w:r>
              <w:t>5 days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1"/>
      </w:pPr>
      <w:r>
        <w:t>Leave Application Process</w:t>
      </w:r>
    </w:p>
    <w:p>
      <w:r>
        <w:t>All leave requests must be submitted via HR portal minimum 15 days in advance for annual leave and immediately for sick leave.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