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560"/>
      </w:pPr>
    </w:p>
    <w:p>
      <w:pPr>
        <w:jc w:val="center"/>
      </w:pPr>
      <w:r>
        <w:rPr>
          <w:rFonts w:ascii="Calibri" w:hAnsi="Calibri"/>
          <w:b/>
          <w:i w:val="0"/>
          <w:color w:val="1F4E79"/>
          <w:sz w:val="22"/>
        </w:rPr>
        <w:t>PORTFOLIO PROJECT REPORT</w:t>
      </w:r>
    </w:p>
    <w:p>
      <w:pPr>
        <w:spacing w:before="280" w:after="200"/>
        <w:jc w:val="center"/>
      </w:pPr>
      <w:r>
        <w:rPr>
          <w:rFonts w:ascii="Calibri" w:hAnsi="Calibri"/>
          <w:b/>
          <w:i w:val="0"/>
          <w:color w:val="0B2545"/>
          <w:sz w:val="60"/>
        </w:rPr>
        <w:t>RadioML Modulation</w:t>
        <w:br/>
        <w:t>Classifier</w:t>
      </w:r>
    </w:p>
    <w:p>
      <w:pPr>
        <w:spacing w:after="560"/>
        <w:jc w:val="center"/>
      </w:pPr>
      <w:r>
        <w:rPr>
          <w:rFonts w:ascii="Calibri" w:hAnsi="Calibri"/>
          <w:b w:val="0"/>
          <w:i w:val="0"/>
          <w:color w:val="1F4E79"/>
          <w:sz w:val="28"/>
        </w:rPr>
        <w:t>An interpretable RF signal intelligence pipeline using classical machine learning</w:t>
      </w:r>
    </w:p>
    <w:tbl>
      <w:tblPr>
        <w:tblStyle w:val="TableGrid"/>
        <w:tblW w:type="dxa" w:w="9360"/>
        <w:jc w:val="left"/>
        <w:tblLayout w:type="fixed"/>
        <w:tblLook w:firstColumn="1" w:firstRow="1" w:lastColumn="0" w:lastRow="0" w:noHBand="0" w:noVBand="1" w:val="04A0"/>
        <w:tblInd w:w="120" w:type="dxa"/>
      </w:tblPr>
      <w:tblGrid>
        <w:gridCol w:w="3120"/>
        <w:gridCol w:w="2880"/>
        <w:gridCol w:w="3360"/>
      </w:tblGrid>
      <w:tr>
        <w:tc>
          <w:tcPr>
            <w:tcW w:type="dxa" w:w="3120"/>
            <w:shd w:fill="E8EEF5"/>
            <w:vAlign w:val="center"/>
            <w:tcMar>
              <w:top w:w="80" w:type="dxa"/>
              <w:start w:w="120" w:type="dxa"/>
              <w:bottom w:w="80" w:type="dxa"/>
              <w:end w:w="120" w:type="dxa"/>
            </w:tcMar>
          </w:tcPr>
          <w:p>
            <w:r>
              <w:rPr>
                <w:rFonts w:ascii="Calibri" w:hAnsi="Calibri"/>
                <w:b/>
                <w:i w:val="0"/>
                <w:color w:val="0B2545"/>
                <w:sz w:val="20"/>
              </w:rPr>
              <w:t>Project</w:t>
            </w:r>
          </w:p>
        </w:tc>
        <w:tc>
          <w:tcPr>
            <w:tcW w:type="dxa" w:w="2880"/>
            <w:shd w:fill="E8EEF5"/>
            <w:vAlign w:val="center"/>
            <w:tcMar>
              <w:top w:w="80" w:type="dxa"/>
              <w:start w:w="120" w:type="dxa"/>
              <w:bottom w:w="80" w:type="dxa"/>
              <w:end w:w="120" w:type="dxa"/>
            </w:tcMar>
          </w:tcPr>
          <w:p>
            <w:r>
              <w:rPr>
                <w:rFonts w:ascii="Calibri" w:hAnsi="Calibri"/>
                <w:b/>
                <w:i w:val="0"/>
                <w:color w:val="0B2545"/>
                <w:sz w:val="20"/>
              </w:rPr>
              <w:t>Dataset</w:t>
            </w:r>
          </w:p>
        </w:tc>
        <w:tc>
          <w:tcPr>
            <w:tcW w:type="dxa" w:w="3360"/>
            <w:shd w:fill="E8EEF5"/>
            <w:vAlign w:val="center"/>
            <w:tcMar>
              <w:top w:w="80" w:type="dxa"/>
              <w:start w:w="120" w:type="dxa"/>
              <w:bottom w:w="80" w:type="dxa"/>
              <w:end w:w="120" w:type="dxa"/>
            </w:tcMar>
          </w:tcPr>
          <w:p>
            <w:r>
              <w:rPr>
                <w:rFonts w:ascii="Calibri" w:hAnsi="Calibri"/>
                <w:b/>
                <w:i w:val="0"/>
                <w:color w:val="0B2545"/>
                <w:sz w:val="20"/>
              </w:rPr>
              <w:t>Approach</w:t>
            </w:r>
          </w:p>
        </w:tc>
      </w:tr>
      <w:tr>
        <w:tc>
          <w:tcPr>
            <w:tcW w:type="dxa" w:w="3120"/>
            <w:vAlign w:val="center"/>
            <w:tcMar>
              <w:top w:w="80" w:type="dxa"/>
              <w:start w:w="120" w:type="dxa"/>
              <w:bottom w:w="80" w:type="dxa"/>
              <w:end w:w="120" w:type="dxa"/>
            </w:tcMar>
          </w:tcPr>
          <w:p>
            <w:r>
              <w:rPr>
                <w:rFonts w:ascii="Calibri" w:hAnsi="Calibri"/>
                <w:b w:val="0"/>
                <w:i w:val="0"/>
                <w:sz w:val="19"/>
              </w:rPr>
              <w:t>RadioML modulation recognition</w:t>
            </w:r>
          </w:p>
        </w:tc>
        <w:tc>
          <w:tcPr>
            <w:tcW w:type="dxa" w:w="2880"/>
            <w:vAlign w:val="center"/>
            <w:tcMar>
              <w:top w:w="80" w:type="dxa"/>
              <w:start w:w="120" w:type="dxa"/>
              <w:bottom w:w="80" w:type="dxa"/>
              <w:end w:w="120" w:type="dxa"/>
            </w:tcMar>
          </w:tcPr>
          <w:p>
            <w:r>
              <w:rPr>
                <w:rFonts w:ascii="Calibri" w:hAnsi="Calibri"/>
                <w:b w:val="0"/>
                <w:i w:val="0"/>
                <w:sz w:val="19"/>
              </w:rPr>
              <w:t>RadioML 2016.10a</w:t>
            </w:r>
          </w:p>
        </w:tc>
        <w:tc>
          <w:tcPr>
            <w:tcW w:type="dxa" w:w="3360"/>
            <w:vAlign w:val="center"/>
            <w:tcMar>
              <w:top w:w="80" w:type="dxa"/>
              <w:start w:w="120" w:type="dxa"/>
              <w:bottom w:w="80" w:type="dxa"/>
              <w:end w:w="120" w:type="dxa"/>
            </w:tcMar>
          </w:tcPr>
          <w:p>
            <w:r>
              <w:rPr>
                <w:rFonts w:ascii="Calibri" w:hAnsi="Calibri"/>
                <w:b w:val="0"/>
                <w:i w:val="0"/>
                <w:sz w:val="19"/>
              </w:rPr>
              <w:t>Handcrafted features + classical ML</w:t>
            </w:r>
          </w:p>
        </w:tc>
      </w:tr>
    </w:tbl>
    <w:p>
      <w:pPr>
        <w:spacing w:after="40"/>
      </w:pPr>
    </w:p>
    <w:p>
      <w:pPr>
        <w:spacing w:before="760"/>
        <w:jc w:val="center"/>
      </w:pPr>
      <w:r>
        <w:rPr>
          <w:rFonts w:ascii="Calibri" w:hAnsi="Calibri"/>
          <w:b/>
          <w:i w:val="0"/>
          <w:color w:val="0B2545"/>
          <w:sz w:val="24"/>
        </w:rPr>
        <w:t>Prepared by Chandranshu Verma</w:t>
      </w:r>
    </w:p>
    <w:p>
      <w:pPr>
        <w:jc w:val="center"/>
      </w:pPr>
      <w:r>
        <w:rPr>
          <w:rFonts w:ascii="Calibri" w:hAnsi="Calibri"/>
          <w:b w:val="0"/>
          <w:i w:val="0"/>
          <w:color w:val="5A6470"/>
          <w:sz w:val="20"/>
        </w:rPr>
        <w:t>August 2026</w:t>
      </w:r>
    </w:p>
    <w:p>
      <w:r>
        <w:br w:type="page"/>
      </w:r>
    </w:p>
    <w:p>
      <w:pPr>
        <w:pStyle w:val="Heading1"/>
      </w:pPr>
      <w:r>
        <w:t>Executive summary</w:t>
      </w:r>
    </w:p>
    <w:p>
      <w:pPr>
        <w:spacing w:after="120" w:line="264" w:lineRule="auto"/>
      </w:pPr>
      <w:r>
        <w:rPr>
          <w:rFonts w:ascii="Calibri" w:hAnsi="Calibri"/>
          <w:b w:val="0"/>
          <w:i w:val="0"/>
          <w:sz w:val="22"/>
        </w:rPr>
        <w:t>This project implements an end-to-end modulation-recognition workflow for short complex baseband captures. It begins with raw in-phase and quadrature samples, converts each capture into a compact set of interpretable RF measurements, trains two classical classifiers, evaluates performance across signal-to-noise ratio, adds unsupervised anomaly detection, and exposes the pipeline through a small Streamlit application.</w:t>
      </w:r>
    </w:p>
    <w:p>
      <w:pPr>
        <w:spacing w:after="120" w:line="264" w:lineRule="auto"/>
      </w:pPr>
      <w:r>
        <w:rPr>
          <w:rFonts w:ascii="Calibri" w:hAnsi="Calibri"/>
          <w:b w:val="0"/>
          <w:i w:val="0"/>
          <w:sz w:val="22"/>
        </w:rPr>
        <w:t>The goal is explainability rather than state-of-the-art accuracy. Logistic Regression provides a linear baseline, while Random Forest captures nonlinear relationships among amplitude, phase, and spectral features. On the fixed held-out test set, Logistic Regression achieved 44.45% accuracy and Random Forest achieved 50.44%. Random Forest performance rose from approximately chance level at -20 dB to 79.1% at 18 dB, demonstrating that aggregate accuracy alone is not an adequate RF performance measure.</w:t>
      </w:r>
    </w:p>
    <w:tbl>
      <w:tblPr>
        <w:tblStyle w:val="TableGrid"/>
        <w:tblW w:type="dxa" w:w="9360"/>
        <w:jc w:val="left"/>
        <w:tblLayout w:type="fixed"/>
        <w:tblLook w:firstColumn="1" w:firstRow="1" w:lastColumn="0" w:lastRow="0" w:noHBand="0" w:noVBand="1" w:val="04A0"/>
        <w:tblInd w:w="120" w:type="dxa"/>
      </w:tblPr>
      <w:tblGrid>
        <w:gridCol w:w="2800"/>
        <w:gridCol w:w="1900"/>
        <w:gridCol w:w="4660"/>
      </w:tblGrid>
      <w:tr>
        <w:tc>
          <w:tcPr>
            <w:tcW w:type="dxa" w:w="2800"/>
            <w:shd w:fill="E8EEF5"/>
            <w:vAlign w:val="center"/>
            <w:tcMar>
              <w:top w:w="80" w:type="dxa"/>
              <w:start w:w="120" w:type="dxa"/>
              <w:bottom w:w="80" w:type="dxa"/>
              <w:end w:w="120" w:type="dxa"/>
            </w:tcMar>
          </w:tcPr>
          <w:p>
            <w:r>
              <w:rPr>
                <w:rFonts w:ascii="Calibri" w:hAnsi="Calibri"/>
                <w:b/>
                <w:i w:val="0"/>
                <w:color w:val="0B2545"/>
                <w:sz w:val="20"/>
              </w:rPr>
              <w:t>Measure</w:t>
            </w:r>
          </w:p>
        </w:tc>
        <w:tc>
          <w:tcPr>
            <w:tcW w:type="dxa" w:w="1900"/>
            <w:shd w:fill="E8EEF5"/>
            <w:vAlign w:val="center"/>
            <w:tcMar>
              <w:top w:w="80" w:type="dxa"/>
              <w:start w:w="120" w:type="dxa"/>
              <w:bottom w:w="80" w:type="dxa"/>
              <w:end w:w="120" w:type="dxa"/>
            </w:tcMar>
          </w:tcPr>
          <w:p>
            <w:r>
              <w:rPr>
                <w:rFonts w:ascii="Calibri" w:hAnsi="Calibri"/>
                <w:b/>
                <w:i w:val="0"/>
                <w:color w:val="0B2545"/>
                <w:sz w:val="20"/>
              </w:rPr>
              <w:t>Verified result</w:t>
            </w:r>
          </w:p>
        </w:tc>
        <w:tc>
          <w:tcPr>
            <w:tcW w:type="dxa" w:w="4660"/>
            <w:shd w:fill="E8EEF5"/>
            <w:vAlign w:val="center"/>
            <w:tcMar>
              <w:top w:w="80" w:type="dxa"/>
              <w:start w:w="120" w:type="dxa"/>
              <w:bottom w:w="80" w:type="dxa"/>
              <w:end w:w="120" w:type="dxa"/>
            </w:tcMar>
          </w:tcPr>
          <w:p>
            <w:r>
              <w:rPr>
                <w:rFonts w:ascii="Calibri" w:hAnsi="Calibri"/>
                <w:b/>
                <w:i w:val="0"/>
                <w:color w:val="0B2545"/>
                <w:sz w:val="20"/>
              </w:rPr>
              <w:t>Interpretation</w:t>
            </w:r>
          </w:p>
        </w:tc>
      </w:tr>
      <w:tr>
        <w:tc>
          <w:tcPr>
            <w:tcW w:type="dxa" w:w="2800"/>
            <w:vAlign w:val="center"/>
            <w:tcMar>
              <w:top w:w="80" w:type="dxa"/>
              <w:start w:w="120" w:type="dxa"/>
              <w:bottom w:w="80" w:type="dxa"/>
              <w:end w:w="120" w:type="dxa"/>
            </w:tcMar>
          </w:tcPr>
          <w:p>
            <w:r>
              <w:rPr>
                <w:rFonts w:ascii="Calibri" w:hAnsi="Calibri"/>
                <w:b w:val="0"/>
                <w:i w:val="0"/>
                <w:sz w:val="19"/>
              </w:rPr>
              <w:t>Dataset size</w:t>
            </w:r>
          </w:p>
        </w:tc>
        <w:tc>
          <w:tcPr>
            <w:tcW w:type="dxa" w:w="1900"/>
            <w:vAlign w:val="center"/>
            <w:tcMar>
              <w:top w:w="80" w:type="dxa"/>
              <w:start w:w="120" w:type="dxa"/>
              <w:bottom w:w="80" w:type="dxa"/>
              <w:end w:w="120" w:type="dxa"/>
            </w:tcMar>
          </w:tcPr>
          <w:p>
            <w:r>
              <w:rPr>
                <w:rFonts w:ascii="Calibri" w:hAnsi="Calibri"/>
                <w:b w:val="0"/>
                <w:i w:val="0"/>
                <w:sz w:val="19"/>
              </w:rPr>
              <w:t>220,000 signals</w:t>
            </w:r>
          </w:p>
        </w:tc>
        <w:tc>
          <w:tcPr>
            <w:tcW w:type="dxa" w:w="4660"/>
            <w:vAlign w:val="center"/>
            <w:tcMar>
              <w:top w:w="80" w:type="dxa"/>
              <w:start w:w="120" w:type="dxa"/>
              <w:bottom w:w="80" w:type="dxa"/>
              <w:end w:w="120" w:type="dxa"/>
            </w:tcMar>
          </w:tcPr>
          <w:p>
            <w:r>
              <w:rPr>
                <w:rFonts w:ascii="Calibri" w:hAnsi="Calibri"/>
                <w:b w:val="0"/>
                <w:i w:val="0"/>
                <w:sz w:val="19"/>
              </w:rPr>
              <w:t>Balanced across modulation and SNR</w:t>
            </w:r>
          </w:p>
        </w:tc>
      </w:tr>
      <w:tr>
        <w:tc>
          <w:tcPr>
            <w:tcW w:type="dxa" w:w="2800"/>
            <w:vAlign w:val="center"/>
            <w:tcMar>
              <w:top w:w="80" w:type="dxa"/>
              <w:start w:w="120" w:type="dxa"/>
              <w:bottom w:w="80" w:type="dxa"/>
              <w:end w:w="120" w:type="dxa"/>
            </w:tcMar>
          </w:tcPr>
          <w:p>
            <w:r>
              <w:rPr>
                <w:rFonts w:ascii="Calibri" w:hAnsi="Calibri"/>
                <w:b w:val="0"/>
                <w:i w:val="0"/>
                <w:sz w:val="19"/>
              </w:rPr>
              <w:t>Signal shape</w:t>
            </w:r>
          </w:p>
        </w:tc>
        <w:tc>
          <w:tcPr>
            <w:tcW w:type="dxa" w:w="1900"/>
            <w:vAlign w:val="center"/>
            <w:tcMar>
              <w:top w:w="80" w:type="dxa"/>
              <w:start w:w="120" w:type="dxa"/>
              <w:bottom w:w="80" w:type="dxa"/>
              <w:end w:w="120" w:type="dxa"/>
            </w:tcMar>
          </w:tcPr>
          <w:p>
            <w:pPr>
              <w:jc w:val="center"/>
            </w:pPr>
            <w:r>
              <w:rPr>
                <w:rFonts w:ascii="Calibri" w:hAnsi="Calibri"/>
                <w:b w:val="0"/>
                <w:i w:val="0"/>
                <w:sz w:val="19"/>
              </w:rPr>
              <w:t>2 × 128</w:t>
            </w:r>
          </w:p>
        </w:tc>
        <w:tc>
          <w:tcPr>
            <w:tcW w:type="dxa" w:w="4660"/>
            <w:vAlign w:val="center"/>
            <w:tcMar>
              <w:top w:w="80" w:type="dxa"/>
              <w:start w:w="120" w:type="dxa"/>
              <w:bottom w:w="80" w:type="dxa"/>
              <w:end w:w="120" w:type="dxa"/>
            </w:tcMar>
          </w:tcPr>
          <w:p>
            <w:r>
              <w:rPr>
                <w:rFonts w:ascii="Calibri" w:hAnsi="Calibri"/>
                <w:b w:val="0"/>
                <w:i w:val="0"/>
                <w:sz w:val="19"/>
              </w:rPr>
              <w:t>I and Q channels, 128 samples each</w:t>
            </w:r>
          </w:p>
        </w:tc>
      </w:tr>
      <w:tr>
        <w:tc>
          <w:tcPr>
            <w:tcW w:type="dxa" w:w="2800"/>
            <w:vAlign w:val="center"/>
            <w:tcMar>
              <w:top w:w="80" w:type="dxa"/>
              <w:start w:w="120" w:type="dxa"/>
              <w:bottom w:w="80" w:type="dxa"/>
              <w:end w:w="120" w:type="dxa"/>
            </w:tcMar>
          </w:tcPr>
          <w:p>
            <w:r>
              <w:rPr>
                <w:rFonts w:ascii="Calibri" w:hAnsi="Calibri"/>
                <w:b w:val="0"/>
                <w:i w:val="0"/>
                <w:sz w:val="19"/>
              </w:rPr>
              <w:t>Modulation classes</w:t>
            </w:r>
          </w:p>
        </w:tc>
        <w:tc>
          <w:tcPr>
            <w:tcW w:type="dxa" w:w="1900"/>
            <w:vAlign w:val="center"/>
            <w:tcMar>
              <w:top w:w="80" w:type="dxa"/>
              <w:start w:w="120" w:type="dxa"/>
              <w:bottom w:w="80" w:type="dxa"/>
              <w:end w:w="120" w:type="dxa"/>
            </w:tcMar>
          </w:tcPr>
          <w:p>
            <w:pPr>
              <w:jc w:val="center"/>
            </w:pPr>
            <w:r>
              <w:rPr>
                <w:rFonts w:ascii="Calibri" w:hAnsi="Calibri"/>
                <w:b w:val="0"/>
                <w:i w:val="0"/>
                <w:sz w:val="19"/>
              </w:rPr>
              <w:t>11</w:t>
            </w:r>
          </w:p>
        </w:tc>
        <w:tc>
          <w:tcPr>
            <w:tcW w:type="dxa" w:w="4660"/>
            <w:vAlign w:val="center"/>
            <w:tcMar>
              <w:top w:w="80" w:type="dxa"/>
              <w:start w:w="120" w:type="dxa"/>
              <w:bottom w:w="80" w:type="dxa"/>
              <w:end w:w="120" w:type="dxa"/>
            </w:tcMar>
          </w:tcPr>
          <w:p>
            <w:r>
              <w:rPr>
                <w:rFonts w:ascii="Calibri" w:hAnsi="Calibri"/>
                <w:b w:val="0"/>
                <w:i w:val="0"/>
                <w:sz w:val="19"/>
              </w:rPr>
              <w:t>Analog and digital modulation families</w:t>
            </w:r>
          </w:p>
        </w:tc>
      </w:tr>
      <w:tr>
        <w:tc>
          <w:tcPr>
            <w:tcW w:type="dxa" w:w="2800"/>
            <w:vAlign w:val="center"/>
            <w:tcMar>
              <w:top w:w="80" w:type="dxa"/>
              <w:start w:w="120" w:type="dxa"/>
              <w:bottom w:w="80" w:type="dxa"/>
              <w:end w:w="120" w:type="dxa"/>
            </w:tcMar>
          </w:tcPr>
          <w:p>
            <w:r>
              <w:rPr>
                <w:rFonts w:ascii="Calibri" w:hAnsi="Calibri"/>
                <w:b w:val="0"/>
                <w:i w:val="0"/>
                <w:sz w:val="19"/>
              </w:rPr>
              <w:t>SNR range</w:t>
            </w:r>
          </w:p>
        </w:tc>
        <w:tc>
          <w:tcPr>
            <w:tcW w:type="dxa" w:w="1900"/>
            <w:vAlign w:val="center"/>
            <w:tcMar>
              <w:top w:w="80" w:type="dxa"/>
              <w:start w:w="120" w:type="dxa"/>
              <w:bottom w:w="80" w:type="dxa"/>
              <w:end w:w="120" w:type="dxa"/>
            </w:tcMar>
          </w:tcPr>
          <w:p>
            <w:pPr>
              <w:jc w:val="center"/>
            </w:pPr>
            <w:r>
              <w:rPr>
                <w:rFonts w:ascii="Calibri" w:hAnsi="Calibri"/>
                <w:b w:val="0"/>
                <w:i w:val="0"/>
                <w:sz w:val="19"/>
              </w:rPr>
              <w:t>-20 to 18 dB</w:t>
            </w:r>
          </w:p>
        </w:tc>
        <w:tc>
          <w:tcPr>
            <w:tcW w:type="dxa" w:w="4660"/>
            <w:vAlign w:val="center"/>
            <w:tcMar>
              <w:top w:w="80" w:type="dxa"/>
              <w:start w:w="120" w:type="dxa"/>
              <w:bottom w:w="80" w:type="dxa"/>
              <w:end w:w="120" w:type="dxa"/>
            </w:tcMar>
          </w:tcPr>
          <w:p>
            <w:r>
              <w:rPr>
                <w:rFonts w:ascii="Calibri" w:hAnsi="Calibri"/>
                <w:b w:val="0"/>
                <w:i w:val="0"/>
                <w:sz w:val="19"/>
              </w:rPr>
              <w:t>20 levels in 2 dB steps</w:t>
            </w:r>
          </w:p>
        </w:tc>
      </w:tr>
      <w:tr>
        <w:tc>
          <w:tcPr>
            <w:tcW w:type="dxa" w:w="2800"/>
            <w:vAlign w:val="center"/>
            <w:tcMar>
              <w:top w:w="80" w:type="dxa"/>
              <w:start w:w="120" w:type="dxa"/>
              <w:bottom w:w="80" w:type="dxa"/>
              <w:end w:w="120" w:type="dxa"/>
            </w:tcMar>
          </w:tcPr>
          <w:p>
            <w:r>
              <w:rPr>
                <w:rFonts w:ascii="Calibri" w:hAnsi="Calibri"/>
                <w:b w:val="0"/>
                <w:i w:val="0"/>
                <w:sz w:val="19"/>
              </w:rPr>
              <w:t>Random Forest accuracy</w:t>
            </w:r>
          </w:p>
        </w:tc>
        <w:tc>
          <w:tcPr>
            <w:tcW w:type="dxa" w:w="1900"/>
            <w:vAlign w:val="center"/>
            <w:tcMar>
              <w:top w:w="80" w:type="dxa"/>
              <w:start w:w="120" w:type="dxa"/>
              <w:bottom w:w="80" w:type="dxa"/>
              <w:end w:w="120" w:type="dxa"/>
            </w:tcMar>
          </w:tcPr>
          <w:p>
            <w:pPr>
              <w:jc w:val="center"/>
            </w:pPr>
            <w:r>
              <w:rPr>
                <w:rFonts w:ascii="Calibri" w:hAnsi="Calibri"/>
                <w:b w:val="0"/>
                <w:i w:val="0"/>
                <w:sz w:val="19"/>
              </w:rPr>
              <w:t>50.44%</w:t>
            </w:r>
          </w:p>
        </w:tc>
        <w:tc>
          <w:tcPr>
            <w:tcW w:type="dxa" w:w="4660"/>
            <w:vAlign w:val="center"/>
            <w:tcMar>
              <w:top w:w="80" w:type="dxa"/>
              <w:start w:w="120" w:type="dxa"/>
              <w:bottom w:w="80" w:type="dxa"/>
              <w:end w:w="120" w:type="dxa"/>
            </w:tcMar>
          </w:tcPr>
          <w:p>
            <w:r>
              <w:rPr>
                <w:rFonts w:ascii="Calibri" w:hAnsi="Calibri"/>
                <w:b w:val="0"/>
                <w:i w:val="0"/>
                <w:sz w:val="19"/>
              </w:rPr>
              <w:t>All SNR levels combined</w:t>
            </w:r>
          </w:p>
        </w:tc>
      </w:tr>
      <w:tr>
        <w:tc>
          <w:tcPr>
            <w:tcW w:type="dxa" w:w="2800"/>
            <w:vAlign w:val="center"/>
            <w:tcMar>
              <w:top w:w="80" w:type="dxa"/>
              <w:start w:w="120" w:type="dxa"/>
              <w:bottom w:w="80" w:type="dxa"/>
              <w:end w:w="120" w:type="dxa"/>
            </w:tcMar>
          </w:tcPr>
          <w:p>
            <w:r>
              <w:rPr>
                <w:rFonts w:ascii="Calibri" w:hAnsi="Calibri"/>
                <w:b w:val="0"/>
                <w:i w:val="0"/>
                <w:sz w:val="19"/>
              </w:rPr>
              <w:t>Random Forest at 18 dB</w:t>
            </w:r>
          </w:p>
        </w:tc>
        <w:tc>
          <w:tcPr>
            <w:tcW w:type="dxa" w:w="1900"/>
            <w:vAlign w:val="center"/>
            <w:tcMar>
              <w:top w:w="80" w:type="dxa"/>
              <w:start w:w="120" w:type="dxa"/>
              <w:bottom w:w="80" w:type="dxa"/>
              <w:end w:w="120" w:type="dxa"/>
            </w:tcMar>
          </w:tcPr>
          <w:p>
            <w:pPr>
              <w:jc w:val="center"/>
            </w:pPr>
            <w:r>
              <w:rPr>
                <w:rFonts w:ascii="Calibri" w:hAnsi="Calibri"/>
                <w:b w:val="0"/>
                <w:i w:val="0"/>
                <w:sz w:val="19"/>
              </w:rPr>
              <w:t>79.14%</w:t>
            </w:r>
          </w:p>
        </w:tc>
        <w:tc>
          <w:tcPr>
            <w:tcW w:type="dxa" w:w="4660"/>
            <w:vAlign w:val="center"/>
            <w:tcMar>
              <w:top w:w="80" w:type="dxa"/>
              <w:start w:w="120" w:type="dxa"/>
              <w:bottom w:w="80" w:type="dxa"/>
              <w:end w:w="120" w:type="dxa"/>
            </w:tcMar>
          </w:tcPr>
          <w:p>
            <w:r>
              <w:rPr>
                <w:rFonts w:ascii="Calibri" w:hAnsi="Calibri"/>
                <w:b w:val="0"/>
                <w:i w:val="0"/>
                <w:sz w:val="19"/>
              </w:rPr>
              <w:t>Clear-signal operating point</w:t>
            </w:r>
          </w:p>
        </w:tc>
      </w:tr>
    </w:tbl>
    <w:p>
      <w:pPr>
        <w:spacing w:after="40"/>
      </w:pPr>
    </w:p>
    <w:p>
      <w:pPr>
        <w:pStyle w:val="Heading2"/>
      </w:pPr>
      <w:r>
        <w:t>Project objectives</w:t>
      </w:r>
    </w:p>
    <w:p>
      <w:pPr>
        <w:pStyle w:val="ListBullet"/>
        <w:spacing w:after="100" w:line="264" w:lineRule="auto"/>
        <w:ind w:left="720" w:hanging="360"/>
      </w:pPr>
    </w:p>
    <w:p>
      <w:pPr>
        <w:pStyle w:val="ListBullet"/>
        <w:spacing w:after="100" w:line="264" w:lineRule="auto"/>
        <w:ind w:left="720" w:hanging="360"/>
      </w:pPr>
    </w:p>
    <w:p>
      <w:pPr>
        <w:pStyle w:val="ListBullet"/>
        <w:spacing w:after="100" w:line="264" w:lineRule="auto"/>
        <w:ind w:left="720" w:hanging="360"/>
      </w:pPr>
    </w:p>
    <w:p>
      <w:pPr>
        <w:pStyle w:val="ListBullet"/>
        <w:spacing w:after="100" w:line="264" w:lineRule="auto"/>
        <w:ind w:left="720" w:hanging="360"/>
      </w:pPr>
    </w:p>
    <w:p>
      <w:pPr>
        <w:pStyle w:val="ListBullet"/>
        <w:spacing w:after="100" w:line="264" w:lineRule="auto"/>
        <w:ind w:left="720" w:hanging="360"/>
      </w:pPr>
    </w:p>
    <w:p>
      <w:pPr>
        <w:pStyle w:val="ListBullet"/>
        <w:spacing w:after="100" w:line="264" w:lineRule="auto"/>
        <w:ind w:left="720" w:hanging="360"/>
      </w:pPr>
    </w:p>
    <w:p>
      <w:r>
        <w:br w:type="page"/>
      </w:r>
    </w:p>
    <w:p>
      <w:pPr>
        <w:pStyle w:val="Heading1"/>
      </w:pPr>
      <w:r>
        <w:t>1. Dataset and signal representation</w:t>
      </w:r>
    </w:p>
    <w:p>
      <w:pPr>
        <w:spacing w:after="120" w:line="264" w:lineRule="auto"/>
      </w:pPr>
      <w:r>
        <w:rPr>
          <w:rFonts w:ascii="Calibri" w:hAnsi="Calibri"/>
          <w:b w:val="0"/>
          <w:i w:val="0"/>
          <w:sz w:val="22"/>
        </w:rPr>
        <w:t>RadioML 2016.10a is stored as a dictionary keyed by (modulation, SNR). Each key maps to 1,000 examples with shape (1000, 2, 128). A single example therefore contains 128 I samples and 128 Q samples. The inspected file contains 220 dictionary blocks and 220,000 signals in total.</w:t>
      </w:r>
    </w:p>
    <w:p>
      <w:pPr>
        <w:pStyle w:val="Heading2"/>
      </w:pPr>
      <w:r>
        <w:t>I/Q samples</w:t>
      </w:r>
    </w:p>
    <w:p>
      <w:pPr>
        <w:spacing w:after="120" w:line="264" w:lineRule="auto"/>
      </w:pPr>
      <w:r>
        <w:rPr>
          <w:rFonts w:ascii="Calibri" w:hAnsi="Calibri"/>
          <w:b w:val="0"/>
          <w:i w:val="0"/>
          <w:sz w:val="22"/>
        </w:rPr>
        <w:t>A complex baseband sample is represented as x[n] = I[n] + jQ[n]. The I component lies on the horizontal axis and the Q component lies on an orthogonal axis. Together they retain both signal magnitude and phase. Magnitude is calculated as |x[n]| = sqrt(I[n]^2 + Q[n]^2), while phase is calculated with atan2(Q[n], I[n]).</w:t>
      </w:r>
    </w:p>
    <w:p>
      <w:pPr>
        <w:pStyle w:val="Heading2"/>
      </w:pPr>
      <w:r>
        <w:t>Modulation classes</w:t>
      </w:r>
    </w:p>
    <w:tbl>
      <w:tblPr>
        <w:tblStyle w:val="TableGrid"/>
        <w:tblW w:type="dxa" w:w="9360"/>
        <w:jc w:val="left"/>
        <w:tblLayout w:type="fixed"/>
        <w:tblLook w:firstColumn="1" w:firstRow="1" w:lastColumn="0" w:lastRow="0" w:noHBand="0" w:noVBand="1" w:val="04A0"/>
        <w:tblInd w:w="120" w:type="dxa"/>
      </w:tblPr>
      <w:tblGrid>
        <w:gridCol w:w="2600"/>
        <w:gridCol w:w="6760"/>
      </w:tblGrid>
      <w:tr>
        <w:tc>
          <w:tcPr>
            <w:tcW w:type="dxa" w:w="2600"/>
            <w:shd w:fill="E8EEF5"/>
            <w:vAlign w:val="center"/>
            <w:tcMar>
              <w:top w:w="80" w:type="dxa"/>
              <w:start w:w="120" w:type="dxa"/>
              <w:bottom w:w="80" w:type="dxa"/>
              <w:end w:w="120" w:type="dxa"/>
            </w:tcMar>
          </w:tcPr>
          <w:p>
            <w:r>
              <w:rPr>
                <w:rFonts w:ascii="Calibri" w:hAnsi="Calibri"/>
                <w:b/>
                <w:i w:val="0"/>
                <w:color w:val="0B2545"/>
                <w:sz w:val="20"/>
              </w:rPr>
              <w:t>Family</w:t>
            </w:r>
          </w:p>
        </w:tc>
        <w:tc>
          <w:tcPr>
            <w:tcW w:type="dxa" w:w="6760"/>
            <w:shd w:fill="E8EEF5"/>
            <w:vAlign w:val="center"/>
            <w:tcMar>
              <w:top w:w="80" w:type="dxa"/>
              <w:start w:w="120" w:type="dxa"/>
              <w:bottom w:w="80" w:type="dxa"/>
              <w:end w:w="120" w:type="dxa"/>
            </w:tcMar>
          </w:tcPr>
          <w:p>
            <w:r>
              <w:rPr>
                <w:rFonts w:ascii="Calibri" w:hAnsi="Calibri"/>
                <w:b/>
                <w:i w:val="0"/>
                <w:color w:val="0B2545"/>
                <w:sz w:val="20"/>
              </w:rPr>
              <w:t>Classes in the dataset</w:t>
            </w:r>
          </w:p>
        </w:tc>
      </w:tr>
      <w:tr>
        <w:tc>
          <w:tcPr>
            <w:tcW w:type="dxa" w:w="2600"/>
            <w:vAlign w:val="center"/>
            <w:tcMar>
              <w:top w:w="80" w:type="dxa"/>
              <w:start w:w="120" w:type="dxa"/>
              <w:bottom w:w="80" w:type="dxa"/>
              <w:end w:w="120" w:type="dxa"/>
            </w:tcMar>
          </w:tcPr>
          <w:p>
            <w:r>
              <w:rPr>
                <w:rFonts w:ascii="Calibri" w:hAnsi="Calibri"/>
                <w:b w:val="0"/>
                <w:i w:val="0"/>
                <w:sz w:val="19"/>
              </w:rPr>
              <w:t>Phase/amplitude digital</w:t>
            </w:r>
          </w:p>
        </w:tc>
        <w:tc>
          <w:tcPr>
            <w:tcW w:type="dxa" w:w="6760"/>
            <w:vAlign w:val="center"/>
            <w:tcMar>
              <w:top w:w="80" w:type="dxa"/>
              <w:start w:w="120" w:type="dxa"/>
              <w:bottom w:w="80" w:type="dxa"/>
              <w:end w:w="120" w:type="dxa"/>
            </w:tcMar>
          </w:tcPr>
          <w:p>
            <w:r>
              <w:rPr>
                <w:rFonts w:ascii="Calibri" w:hAnsi="Calibri"/>
                <w:b w:val="0"/>
                <w:i w:val="0"/>
                <w:sz w:val="19"/>
              </w:rPr>
              <w:t>BPSK, QPSK, 8PSK, QAM16, QAM64, PAM4</w:t>
            </w:r>
          </w:p>
        </w:tc>
      </w:tr>
      <w:tr>
        <w:tc>
          <w:tcPr>
            <w:tcW w:type="dxa" w:w="2600"/>
            <w:vAlign w:val="center"/>
            <w:tcMar>
              <w:top w:w="80" w:type="dxa"/>
              <w:start w:w="120" w:type="dxa"/>
              <w:bottom w:w="80" w:type="dxa"/>
              <w:end w:w="120" w:type="dxa"/>
            </w:tcMar>
          </w:tcPr>
          <w:p>
            <w:r>
              <w:rPr>
                <w:rFonts w:ascii="Calibri" w:hAnsi="Calibri"/>
                <w:b w:val="0"/>
                <w:i w:val="0"/>
                <w:sz w:val="19"/>
              </w:rPr>
              <w:t>Frequency digital</w:t>
            </w:r>
          </w:p>
        </w:tc>
        <w:tc>
          <w:tcPr>
            <w:tcW w:type="dxa" w:w="6760"/>
            <w:vAlign w:val="center"/>
            <w:tcMar>
              <w:top w:w="80" w:type="dxa"/>
              <w:start w:w="120" w:type="dxa"/>
              <w:bottom w:w="80" w:type="dxa"/>
              <w:end w:w="120" w:type="dxa"/>
            </w:tcMar>
          </w:tcPr>
          <w:p>
            <w:pPr>
              <w:jc w:val="center"/>
            </w:pPr>
            <w:r>
              <w:rPr>
                <w:rFonts w:ascii="Calibri" w:hAnsi="Calibri"/>
                <w:b w:val="0"/>
                <w:i w:val="0"/>
                <w:sz w:val="19"/>
              </w:rPr>
              <w:t>CPFSK, GFSK</w:t>
            </w:r>
          </w:p>
        </w:tc>
      </w:tr>
      <w:tr>
        <w:tc>
          <w:tcPr>
            <w:tcW w:type="dxa" w:w="2600"/>
            <w:vAlign w:val="center"/>
            <w:tcMar>
              <w:top w:w="80" w:type="dxa"/>
              <w:start w:w="120" w:type="dxa"/>
              <w:bottom w:w="80" w:type="dxa"/>
              <w:end w:w="120" w:type="dxa"/>
            </w:tcMar>
          </w:tcPr>
          <w:p>
            <w:r>
              <w:rPr>
                <w:rFonts w:ascii="Calibri" w:hAnsi="Calibri"/>
                <w:b w:val="0"/>
                <w:i w:val="0"/>
                <w:sz w:val="19"/>
              </w:rPr>
              <w:t>Analog</w:t>
            </w:r>
          </w:p>
        </w:tc>
        <w:tc>
          <w:tcPr>
            <w:tcW w:type="dxa" w:w="6760"/>
            <w:vAlign w:val="center"/>
            <w:tcMar>
              <w:top w:w="80" w:type="dxa"/>
              <w:start w:w="120" w:type="dxa"/>
              <w:bottom w:w="80" w:type="dxa"/>
              <w:end w:w="120" w:type="dxa"/>
            </w:tcMar>
          </w:tcPr>
          <w:p>
            <w:r>
              <w:rPr>
                <w:rFonts w:ascii="Calibri" w:hAnsi="Calibri"/>
                <w:b w:val="0"/>
                <w:i w:val="0"/>
                <w:sz w:val="19"/>
              </w:rPr>
              <w:t>AM-DSB, AM-SSB, WBFM</w:t>
            </w:r>
          </w:p>
        </w:tc>
      </w:tr>
    </w:tbl>
    <w:p>
      <w:pPr>
        <w:spacing w:after="40"/>
      </w:pPr>
    </w:p>
    <w:p>
      <w:pPr>
        <w:pStyle w:val="Heading2"/>
      </w:pPr>
      <w:r>
        <w:t>Signal-to-noise ratio</w:t>
      </w:r>
    </w:p>
    <w:p>
      <w:pPr>
        <w:spacing w:after="120" w:line="264" w:lineRule="auto"/>
      </w:pPr>
      <w:r>
        <w:rPr>
          <w:rFonts w:ascii="Calibri" w:hAnsi="Calibri"/>
          <w:b w:val="0"/>
          <w:i w:val="0"/>
          <w:sz w:val="22"/>
        </w:rPr>
        <w:t>SNR compares signal power with noise power: SNR(dB) = 10 log10(Psignal / Pnoise). At negative SNR, noise power exceeds signal power. In that regime, constellation structure, phase transitions, amplitude patterns, and spectral shape become difficult to distinguish. This is why modulation-recognition performance must be reported as a function of SNR.</w:t>
      </w:r>
    </w:p>
    <w:p>
      <w:pPr>
        <w:keepNext/>
        <w:jc w:val="center"/>
      </w:pPr>
      <w:r>
        <w:drawing>
          <wp:inline xmlns:a="http://schemas.openxmlformats.org/drawingml/2006/main" xmlns:pic="http://schemas.openxmlformats.org/drawingml/2006/picture">
            <wp:extent cx="5760720" cy="3260344"/>
            <wp:docPr id="1" name="Picture 1"/>
            <wp:cNvGraphicFramePr>
              <a:graphicFrameLocks noChangeAspect="1"/>
            </wp:cNvGraphicFramePr>
            <a:graphic>
              <a:graphicData uri="http://schemas.openxmlformats.org/drawingml/2006/picture">
                <pic:pic>
                  <pic:nvPicPr>
                    <pic:cNvPr id="0" name="signal_overview.png"/>
                    <pic:cNvPicPr/>
                  </pic:nvPicPr>
                  <pic:blipFill>
                    <a:blip r:embed="rId11"/>
                    <a:stretch>
                      <a:fillRect/>
                    </a:stretch>
                  </pic:blipFill>
                  <pic:spPr>
                    <a:xfrm>
                      <a:off x="0" y="0"/>
                      <a:ext cx="5760720" cy="3260344"/>
                    </a:xfrm>
                    <a:prstGeom prst="rect"/>
                  </pic:spPr>
                </pic:pic>
              </a:graphicData>
            </a:graphic>
          </wp:inline>
        </w:drawing>
      </w:r>
    </w:p>
    <w:p>
      <w:pPr>
        <w:spacing w:before="60" w:after="160"/>
        <w:jc w:val="center"/>
      </w:pPr>
      <w:r>
        <w:rPr>
          <w:rFonts w:ascii="Calibri" w:hAnsi="Calibri"/>
          <w:b w:val="0"/>
          <w:i/>
          <w:color w:val="5A6470"/>
          <w:sz w:val="18"/>
        </w:rPr>
        <w:t>Figure 1. QPSK example at 18 dB: time-domain channels, amplitude, I/Q scatter, and FFT.</w:t>
      </w:r>
    </w:p>
    <w:p>
      <w:r>
        <w:br w:type="page"/>
      </w:r>
    </w:p>
    <w:p>
      <w:pPr>
        <w:pStyle w:val="Heading1"/>
      </w:pPr>
      <w:r>
        <w:t>2. Feature engineering</w:t>
      </w:r>
    </w:p>
    <w:p>
      <w:pPr>
        <w:spacing w:after="120" w:line="264" w:lineRule="auto"/>
      </w:pPr>
      <w:r>
        <w:rPr>
          <w:rFonts w:ascii="Calibri" w:hAnsi="Calibri"/>
          <w:b w:val="0"/>
          <w:i w:val="0"/>
          <w:sz w:val="22"/>
        </w:rPr>
        <w:t>Each raw capture contains 256 scalar values. Instead of passing these values directly to a model, the project compresses each capture into 15 measurements that can be explained in RF and statistical terms. This loses fine time-order information, but produces a structured table suitable for classical machine learning.</w:t>
      </w:r>
    </w:p>
    <w:tbl>
      <w:tblPr>
        <w:tblStyle w:val="TableGrid"/>
        <w:tblW w:type="dxa" w:w="9360"/>
        <w:jc w:val="left"/>
        <w:tblLayout w:type="fixed"/>
        <w:tblLook w:firstColumn="1" w:firstRow="1" w:lastColumn="0" w:lastRow="0" w:noHBand="0" w:noVBand="1" w:val="04A0"/>
        <w:tblInd w:w="120" w:type="dxa"/>
      </w:tblPr>
      <w:tblGrid>
        <w:gridCol w:w="1700"/>
        <w:gridCol w:w="4400"/>
        <w:gridCol w:w="3260"/>
      </w:tblGrid>
      <w:tr>
        <w:tc>
          <w:tcPr>
            <w:tcW w:type="dxa" w:w="1700"/>
            <w:shd w:fill="E8EEF5"/>
            <w:vAlign w:val="center"/>
            <w:tcMar>
              <w:top w:w="80" w:type="dxa"/>
              <w:start w:w="120" w:type="dxa"/>
              <w:bottom w:w="80" w:type="dxa"/>
              <w:end w:w="120" w:type="dxa"/>
            </w:tcMar>
          </w:tcPr>
          <w:p>
            <w:r>
              <w:rPr>
                <w:rFonts w:ascii="Calibri" w:hAnsi="Calibri"/>
                <w:b/>
                <w:i w:val="0"/>
                <w:color w:val="0B2545"/>
                <w:sz w:val="20"/>
              </w:rPr>
              <w:t>Feature group</w:t>
            </w:r>
          </w:p>
        </w:tc>
        <w:tc>
          <w:tcPr>
            <w:tcW w:type="dxa" w:w="4400"/>
            <w:shd w:fill="E8EEF5"/>
            <w:vAlign w:val="center"/>
            <w:tcMar>
              <w:top w:w="80" w:type="dxa"/>
              <w:start w:w="120" w:type="dxa"/>
              <w:bottom w:w="80" w:type="dxa"/>
              <w:end w:w="120" w:type="dxa"/>
            </w:tcMar>
          </w:tcPr>
          <w:p>
            <w:r>
              <w:rPr>
                <w:rFonts w:ascii="Calibri" w:hAnsi="Calibri"/>
                <w:b/>
                <w:i w:val="0"/>
                <w:color w:val="0B2545"/>
                <w:sz w:val="20"/>
              </w:rPr>
              <w:t>Measurements</w:t>
            </w:r>
          </w:p>
        </w:tc>
        <w:tc>
          <w:tcPr>
            <w:tcW w:type="dxa" w:w="3260"/>
            <w:shd w:fill="E8EEF5"/>
            <w:vAlign w:val="center"/>
            <w:tcMar>
              <w:top w:w="80" w:type="dxa"/>
              <w:start w:w="120" w:type="dxa"/>
              <w:bottom w:w="80" w:type="dxa"/>
              <w:end w:w="120" w:type="dxa"/>
            </w:tcMar>
          </w:tcPr>
          <w:p>
            <w:r>
              <w:rPr>
                <w:rFonts w:ascii="Calibri" w:hAnsi="Calibri"/>
                <w:b/>
                <w:i w:val="0"/>
                <w:color w:val="0B2545"/>
                <w:sz w:val="20"/>
              </w:rPr>
              <w:t>Purpose</w:t>
            </w:r>
          </w:p>
        </w:tc>
      </w:tr>
      <w:tr>
        <w:tc>
          <w:tcPr>
            <w:tcW w:type="dxa" w:w="1700"/>
            <w:vAlign w:val="center"/>
            <w:tcMar>
              <w:top w:w="80" w:type="dxa"/>
              <w:start w:w="120" w:type="dxa"/>
              <w:bottom w:w="80" w:type="dxa"/>
              <w:end w:w="120" w:type="dxa"/>
            </w:tcMar>
          </w:tcPr>
          <w:p>
            <w:r>
              <w:rPr>
                <w:rFonts w:ascii="Calibri" w:hAnsi="Calibri"/>
                <w:b w:val="0"/>
                <w:i w:val="0"/>
                <w:sz w:val="19"/>
              </w:rPr>
              <w:t>Amplitude</w:t>
            </w:r>
          </w:p>
        </w:tc>
        <w:tc>
          <w:tcPr>
            <w:tcW w:type="dxa" w:w="4400"/>
            <w:vAlign w:val="center"/>
            <w:tcMar>
              <w:top w:w="80" w:type="dxa"/>
              <w:start w:w="120" w:type="dxa"/>
              <w:bottom w:w="80" w:type="dxa"/>
              <w:end w:w="120" w:type="dxa"/>
            </w:tcMar>
          </w:tcPr>
          <w:p>
            <w:r>
              <w:rPr>
                <w:rFonts w:ascii="Calibri" w:hAnsi="Calibri"/>
                <w:b w:val="0"/>
                <w:i w:val="0"/>
                <w:sz w:val="19"/>
              </w:rPr>
              <w:t>mean, standard deviation, RMS, maximum, variance</w:t>
            </w:r>
          </w:p>
        </w:tc>
        <w:tc>
          <w:tcPr>
            <w:tcW w:type="dxa" w:w="3260"/>
            <w:vAlign w:val="center"/>
            <w:tcMar>
              <w:top w:w="80" w:type="dxa"/>
              <w:start w:w="120" w:type="dxa"/>
              <w:bottom w:w="80" w:type="dxa"/>
              <w:end w:w="120" w:type="dxa"/>
            </w:tcMar>
          </w:tcPr>
          <w:p>
            <w:r>
              <w:rPr>
                <w:rFonts w:ascii="Calibri" w:hAnsi="Calibri"/>
                <w:b w:val="0"/>
                <w:i w:val="0"/>
                <w:sz w:val="19"/>
              </w:rPr>
              <w:t>Signal strength and variation</w:t>
            </w:r>
          </w:p>
        </w:tc>
      </w:tr>
      <w:tr>
        <w:tc>
          <w:tcPr>
            <w:tcW w:type="dxa" w:w="1700"/>
            <w:vAlign w:val="center"/>
            <w:tcMar>
              <w:top w:w="80" w:type="dxa"/>
              <w:start w:w="120" w:type="dxa"/>
              <w:bottom w:w="80" w:type="dxa"/>
              <w:end w:w="120" w:type="dxa"/>
            </w:tcMar>
          </w:tcPr>
          <w:p>
            <w:r>
              <w:rPr>
                <w:rFonts w:ascii="Calibri" w:hAnsi="Calibri"/>
                <w:b w:val="0"/>
                <w:i w:val="0"/>
                <w:sz w:val="19"/>
              </w:rPr>
              <w:t>Power</w:t>
            </w:r>
          </w:p>
        </w:tc>
        <w:tc>
          <w:tcPr>
            <w:tcW w:type="dxa" w:w="4400"/>
            <w:vAlign w:val="center"/>
            <w:tcMar>
              <w:top w:w="80" w:type="dxa"/>
              <w:start w:w="120" w:type="dxa"/>
              <w:bottom w:w="80" w:type="dxa"/>
              <w:end w:w="120" w:type="dxa"/>
            </w:tcMar>
          </w:tcPr>
          <w:p>
            <w:pPr>
              <w:jc w:val="center"/>
            </w:pPr>
            <w:r>
              <w:rPr>
                <w:rFonts w:ascii="Calibri" w:hAnsi="Calibri"/>
                <w:b w:val="0"/>
                <w:i w:val="0"/>
                <w:sz w:val="19"/>
              </w:rPr>
              <w:t>mean power</w:t>
            </w:r>
          </w:p>
        </w:tc>
        <w:tc>
          <w:tcPr>
            <w:tcW w:type="dxa" w:w="3260"/>
            <w:vAlign w:val="center"/>
            <w:tcMar>
              <w:top w:w="80" w:type="dxa"/>
              <w:start w:w="120" w:type="dxa"/>
              <w:bottom w:w="80" w:type="dxa"/>
              <w:end w:w="120" w:type="dxa"/>
            </w:tcMar>
          </w:tcPr>
          <w:p>
            <w:r>
              <w:rPr>
                <w:rFonts w:ascii="Calibri" w:hAnsi="Calibri"/>
                <w:b w:val="0"/>
                <w:i w:val="0"/>
                <w:sz w:val="19"/>
              </w:rPr>
              <w:t>Average I² + Q²</w:t>
            </w:r>
          </w:p>
        </w:tc>
      </w:tr>
      <w:tr>
        <w:tc>
          <w:tcPr>
            <w:tcW w:type="dxa" w:w="1700"/>
            <w:vAlign w:val="center"/>
            <w:tcMar>
              <w:top w:w="80" w:type="dxa"/>
              <w:start w:w="120" w:type="dxa"/>
              <w:bottom w:w="80" w:type="dxa"/>
              <w:end w:w="120" w:type="dxa"/>
            </w:tcMar>
          </w:tcPr>
          <w:p>
            <w:r>
              <w:rPr>
                <w:rFonts w:ascii="Calibri" w:hAnsi="Calibri"/>
                <w:b w:val="0"/>
                <w:i w:val="0"/>
                <w:sz w:val="19"/>
              </w:rPr>
              <w:t>Phase</w:t>
            </w:r>
          </w:p>
        </w:tc>
        <w:tc>
          <w:tcPr>
            <w:tcW w:type="dxa" w:w="4400"/>
            <w:vAlign w:val="center"/>
            <w:tcMar>
              <w:top w:w="80" w:type="dxa"/>
              <w:start w:w="120" w:type="dxa"/>
              <w:bottom w:w="80" w:type="dxa"/>
              <w:end w:w="120" w:type="dxa"/>
            </w:tcMar>
          </w:tcPr>
          <w:p>
            <w:r>
              <w:rPr>
                <w:rFonts w:ascii="Calibri" w:hAnsi="Calibri"/>
                <w:b w:val="0"/>
                <w:i w:val="0"/>
                <w:sz w:val="19"/>
              </w:rPr>
              <w:t>phase standard deviation</w:t>
            </w:r>
          </w:p>
        </w:tc>
        <w:tc>
          <w:tcPr>
            <w:tcW w:type="dxa" w:w="3260"/>
            <w:vAlign w:val="center"/>
            <w:tcMar>
              <w:top w:w="80" w:type="dxa"/>
              <w:start w:w="120" w:type="dxa"/>
              <w:bottom w:w="80" w:type="dxa"/>
              <w:end w:w="120" w:type="dxa"/>
            </w:tcMar>
          </w:tcPr>
          <w:p>
            <w:pPr>
              <w:jc w:val="center"/>
            </w:pPr>
            <w:r>
              <w:rPr>
                <w:rFonts w:ascii="Calibri" w:hAnsi="Calibri"/>
                <w:b w:val="0"/>
                <w:i w:val="0"/>
                <w:sz w:val="19"/>
              </w:rPr>
              <w:t>Angular spread</w:t>
            </w:r>
          </w:p>
        </w:tc>
      </w:tr>
      <w:tr>
        <w:tc>
          <w:tcPr>
            <w:tcW w:type="dxa" w:w="1700"/>
            <w:vAlign w:val="center"/>
            <w:tcMar>
              <w:top w:w="80" w:type="dxa"/>
              <w:start w:w="120" w:type="dxa"/>
              <w:bottom w:w="80" w:type="dxa"/>
              <w:end w:w="120" w:type="dxa"/>
            </w:tcMar>
          </w:tcPr>
          <w:p>
            <w:r>
              <w:rPr>
                <w:rFonts w:ascii="Calibri" w:hAnsi="Calibri"/>
                <w:b w:val="0"/>
                <w:i w:val="0"/>
                <w:sz w:val="19"/>
              </w:rPr>
              <w:t>I/Q</w:t>
            </w:r>
          </w:p>
        </w:tc>
        <w:tc>
          <w:tcPr>
            <w:tcW w:type="dxa" w:w="4400"/>
            <w:vAlign w:val="center"/>
            <w:tcMar>
              <w:top w:w="80" w:type="dxa"/>
              <w:start w:w="120" w:type="dxa"/>
              <w:bottom w:w="80" w:type="dxa"/>
              <w:end w:w="120" w:type="dxa"/>
            </w:tcMar>
          </w:tcPr>
          <w:p>
            <w:r>
              <w:rPr>
                <w:rFonts w:ascii="Calibri" w:hAnsi="Calibri"/>
                <w:b w:val="0"/>
                <w:i w:val="0"/>
                <w:sz w:val="19"/>
              </w:rPr>
              <w:t>I std, Q std, I/Q correlation</w:t>
            </w:r>
          </w:p>
        </w:tc>
        <w:tc>
          <w:tcPr>
            <w:tcW w:type="dxa" w:w="3260"/>
            <w:vAlign w:val="center"/>
            <w:tcMar>
              <w:top w:w="80" w:type="dxa"/>
              <w:start w:w="120" w:type="dxa"/>
              <w:bottom w:w="80" w:type="dxa"/>
              <w:end w:w="120" w:type="dxa"/>
            </w:tcMar>
          </w:tcPr>
          <w:p>
            <w:r>
              <w:rPr>
                <w:rFonts w:ascii="Calibri" w:hAnsi="Calibri"/>
                <w:b w:val="0"/>
                <w:i w:val="0"/>
                <w:sz w:val="19"/>
              </w:rPr>
              <w:t>Variation and channel relationship</w:t>
            </w:r>
          </w:p>
        </w:tc>
      </w:tr>
      <w:tr>
        <w:tc>
          <w:tcPr>
            <w:tcW w:type="dxa" w:w="1700"/>
            <w:vAlign w:val="center"/>
            <w:tcMar>
              <w:top w:w="80" w:type="dxa"/>
              <w:start w:w="120" w:type="dxa"/>
              <w:bottom w:w="80" w:type="dxa"/>
              <w:end w:w="120" w:type="dxa"/>
            </w:tcMar>
          </w:tcPr>
          <w:p>
            <w:r>
              <w:rPr>
                <w:rFonts w:ascii="Calibri" w:hAnsi="Calibri"/>
                <w:b w:val="0"/>
                <w:i w:val="0"/>
                <w:sz w:val="19"/>
              </w:rPr>
              <w:t>Spectrum</w:t>
            </w:r>
          </w:p>
        </w:tc>
        <w:tc>
          <w:tcPr>
            <w:tcW w:type="dxa" w:w="4400"/>
            <w:vAlign w:val="center"/>
            <w:tcMar>
              <w:top w:w="80" w:type="dxa"/>
              <w:start w:w="120" w:type="dxa"/>
              <w:bottom w:w="80" w:type="dxa"/>
              <w:end w:w="120" w:type="dxa"/>
            </w:tcMar>
          </w:tcPr>
          <w:p>
            <w:r>
              <w:rPr>
                <w:rFonts w:ascii="Calibri" w:hAnsi="Calibri"/>
                <w:b w:val="0"/>
                <w:i w:val="0"/>
                <w:sz w:val="19"/>
              </w:rPr>
              <w:t>centroid, bandwidth, entropy, FFT peak</w:t>
            </w:r>
          </w:p>
        </w:tc>
        <w:tc>
          <w:tcPr>
            <w:tcW w:type="dxa" w:w="3260"/>
            <w:vAlign w:val="center"/>
            <w:tcMar>
              <w:top w:w="80" w:type="dxa"/>
              <w:start w:w="120" w:type="dxa"/>
              <w:bottom w:w="80" w:type="dxa"/>
              <w:end w:w="120" w:type="dxa"/>
            </w:tcMar>
          </w:tcPr>
          <w:p>
            <w:r>
              <w:rPr>
                <w:rFonts w:ascii="Calibri" w:hAnsi="Calibri"/>
                <w:b w:val="0"/>
                <w:i w:val="0"/>
                <w:sz w:val="19"/>
              </w:rPr>
              <w:t>Frequency location and energy distribution</w:t>
            </w:r>
          </w:p>
        </w:tc>
      </w:tr>
      <w:tr>
        <w:tc>
          <w:tcPr>
            <w:tcW w:type="dxa" w:w="1700"/>
            <w:vAlign w:val="center"/>
            <w:tcMar>
              <w:top w:w="80" w:type="dxa"/>
              <w:start w:w="120" w:type="dxa"/>
              <w:bottom w:w="80" w:type="dxa"/>
              <w:end w:w="120" w:type="dxa"/>
            </w:tcMar>
          </w:tcPr>
          <w:p>
            <w:r>
              <w:rPr>
                <w:rFonts w:ascii="Calibri" w:hAnsi="Calibri"/>
                <w:b w:val="0"/>
                <w:i w:val="0"/>
                <w:sz w:val="19"/>
              </w:rPr>
              <w:t>Distribution</w:t>
            </w:r>
          </w:p>
        </w:tc>
        <w:tc>
          <w:tcPr>
            <w:tcW w:type="dxa" w:w="4400"/>
            <w:vAlign w:val="center"/>
            <w:tcMar>
              <w:top w:w="80" w:type="dxa"/>
              <w:start w:w="120" w:type="dxa"/>
              <w:bottom w:w="80" w:type="dxa"/>
              <w:end w:w="120" w:type="dxa"/>
            </w:tcMar>
          </w:tcPr>
          <w:p>
            <w:r>
              <w:rPr>
                <w:rFonts w:ascii="Calibri" w:hAnsi="Calibri"/>
                <w:b w:val="0"/>
                <w:i w:val="0"/>
                <w:sz w:val="19"/>
              </w:rPr>
              <w:t>amplitude kurtosis</w:t>
            </w:r>
          </w:p>
        </w:tc>
        <w:tc>
          <w:tcPr>
            <w:tcW w:type="dxa" w:w="3260"/>
            <w:vAlign w:val="center"/>
            <w:tcMar>
              <w:top w:w="80" w:type="dxa"/>
              <w:start w:w="120" w:type="dxa"/>
              <w:bottom w:w="80" w:type="dxa"/>
              <w:end w:w="120" w:type="dxa"/>
            </w:tcMar>
          </w:tcPr>
          <w:p>
            <w:r>
              <w:rPr>
                <w:rFonts w:ascii="Calibri" w:hAnsi="Calibri"/>
                <w:b w:val="0"/>
                <w:i w:val="0"/>
                <w:sz w:val="19"/>
              </w:rPr>
              <w:t>Peakedness and heavy tails</w:t>
            </w:r>
          </w:p>
        </w:tc>
      </w:tr>
    </w:tbl>
    <w:p>
      <w:pPr>
        <w:spacing w:after="40"/>
      </w:pPr>
    </w:p>
    <w:p>
      <w:pPr>
        <w:pStyle w:val="Heading2"/>
      </w:pPr>
      <w:r>
        <w:t>Spectral entropy</w:t>
      </w:r>
    </w:p>
    <w:p>
      <w:pPr>
        <w:spacing w:after="120" w:line="264" w:lineRule="auto"/>
      </w:pPr>
      <w:r>
        <w:rPr>
          <w:rFonts w:ascii="Calibri" w:hAnsi="Calibri"/>
          <w:b w:val="0"/>
          <w:i w:val="0"/>
          <w:sz w:val="22"/>
        </w:rPr>
        <w:t>The FFT power spectrum is normalized into a probability distribution across frequency bins. Entropy is then divided by log2(N), producing a value between zero and one. Low entropy means energy is concentrated in relatively few bins; high entropy means energy is broadly distributed and more noise-like.</w:t>
      </w:r>
    </w:p>
    <w:p>
      <w:pPr>
        <w:pStyle w:val="Heading2"/>
      </w:pPr>
      <w:r>
        <w:t>Feature-table checks</w:t>
      </w:r>
    </w:p>
    <w:p>
      <w:pPr>
        <w:pStyle w:val="ListBullet"/>
        <w:spacing w:after="100" w:line="264" w:lineRule="auto"/>
        <w:ind w:left="720" w:hanging="360"/>
      </w:pPr>
    </w:p>
    <w:p>
      <w:pPr>
        <w:pStyle w:val="ListBullet"/>
        <w:spacing w:after="100" w:line="264" w:lineRule="auto"/>
        <w:ind w:left="720" w:hanging="360"/>
      </w:pPr>
    </w:p>
    <w:p>
      <w:pPr>
        <w:pStyle w:val="ListBullet"/>
        <w:spacing w:after="100" w:line="264" w:lineRule="auto"/>
        <w:ind w:left="720" w:hanging="360"/>
      </w:pPr>
    </w:p>
    <w:p>
      <w:pPr>
        <w:pStyle w:val="ListBullet"/>
        <w:spacing w:after="100" w:line="264" w:lineRule="auto"/>
        <w:ind w:left="720" w:hanging="360"/>
      </w:pPr>
    </w:p>
    <w:p>
      <w:pPr>
        <w:pStyle w:val="ListBullet"/>
        <w:spacing w:after="100" w:line="264" w:lineRule="auto"/>
        <w:ind w:left="720" w:hanging="360"/>
      </w:pPr>
    </w:p>
    <w:p>
      <w:r>
        <w:br w:type="page"/>
      </w:r>
    </w:p>
    <w:p>
      <w:pPr>
        <w:pStyle w:val="Heading1"/>
      </w:pPr>
      <w:r>
        <w:t>3. Classification methodology</w:t>
      </w:r>
    </w:p>
    <w:p>
      <w:pPr>
        <w:spacing w:after="120" w:line="264" w:lineRule="auto"/>
      </w:pPr>
      <w:r>
        <w:rPr>
          <w:rFonts w:ascii="Calibri" w:hAnsi="Calibri"/>
          <w:b w:val="0"/>
          <w:i w:val="0"/>
          <w:sz w:val="22"/>
        </w:rPr>
        <w:t>The data was divided into 176,000 training signals and 44,000 test signals. Stratification used the combined modulation and SNR label, preserving every operating condition in both partitions. SNR was excluded from the feature matrix and retained only for analysis.</w:t>
      </w:r>
    </w:p>
    <w:p>
      <w:pPr>
        <w:pStyle w:val="Heading2"/>
      </w:pPr>
      <w:r>
        <w:t>Models</w:t>
      </w:r>
    </w:p>
    <w:tbl>
      <w:tblPr>
        <w:tblStyle w:val="TableGrid"/>
        <w:tblW w:type="dxa" w:w="9360"/>
        <w:jc w:val="left"/>
        <w:tblLayout w:type="fixed"/>
        <w:tblLook w:firstColumn="1" w:firstRow="1" w:lastColumn="0" w:lastRow="0" w:noHBand="0" w:noVBand="1" w:val="04A0"/>
        <w:tblInd w:w="120" w:type="dxa"/>
      </w:tblPr>
      <w:tblGrid>
        <w:gridCol w:w="2350"/>
        <w:gridCol w:w="1900"/>
        <w:gridCol w:w="5110"/>
      </w:tblGrid>
      <w:tr>
        <w:tc>
          <w:tcPr>
            <w:tcW w:type="dxa" w:w="2350"/>
            <w:shd w:fill="E8EEF5"/>
            <w:vAlign w:val="center"/>
            <w:tcMar>
              <w:top w:w="80" w:type="dxa"/>
              <w:start w:w="120" w:type="dxa"/>
              <w:bottom w:w="80" w:type="dxa"/>
              <w:end w:w="120" w:type="dxa"/>
            </w:tcMar>
          </w:tcPr>
          <w:p>
            <w:r>
              <w:rPr>
                <w:rFonts w:ascii="Calibri" w:hAnsi="Calibri"/>
                <w:b/>
                <w:i w:val="0"/>
                <w:color w:val="0B2545"/>
                <w:sz w:val="20"/>
              </w:rPr>
              <w:t>Model</w:t>
            </w:r>
          </w:p>
        </w:tc>
        <w:tc>
          <w:tcPr>
            <w:tcW w:type="dxa" w:w="1900"/>
            <w:shd w:fill="E8EEF5"/>
            <w:vAlign w:val="center"/>
            <w:tcMar>
              <w:top w:w="80" w:type="dxa"/>
              <w:start w:w="120" w:type="dxa"/>
              <w:bottom w:w="80" w:type="dxa"/>
              <w:end w:w="120" w:type="dxa"/>
            </w:tcMar>
          </w:tcPr>
          <w:p>
            <w:r>
              <w:rPr>
                <w:rFonts w:ascii="Calibri" w:hAnsi="Calibri"/>
                <w:b/>
                <w:i w:val="0"/>
                <w:color w:val="0B2545"/>
                <w:sz w:val="20"/>
              </w:rPr>
              <w:t>Role</w:t>
            </w:r>
          </w:p>
        </w:tc>
        <w:tc>
          <w:tcPr>
            <w:tcW w:type="dxa" w:w="5110"/>
            <w:shd w:fill="E8EEF5"/>
            <w:vAlign w:val="center"/>
            <w:tcMar>
              <w:top w:w="80" w:type="dxa"/>
              <w:start w:w="120" w:type="dxa"/>
              <w:bottom w:w="80" w:type="dxa"/>
              <w:end w:w="120" w:type="dxa"/>
            </w:tcMar>
          </w:tcPr>
          <w:p>
            <w:r>
              <w:rPr>
                <w:rFonts w:ascii="Calibri" w:hAnsi="Calibri"/>
                <w:b/>
                <w:i w:val="0"/>
                <w:color w:val="0B2545"/>
                <w:sz w:val="20"/>
              </w:rPr>
              <w:t>Configuration</w:t>
            </w:r>
          </w:p>
        </w:tc>
      </w:tr>
      <w:tr>
        <w:tc>
          <w:tcPr>
            <w:tcW w:type="dxa" w:w="2350"/>
            <w:vAlign w:val="center"/>
            <w:tcMar>
              <w:top w:w="80" w:type="dxa"/>
              <w:start w:w="120" w:type="dxa"/>
              <w:bottom w:w="80" w:type="dxa"/>
              <w:end w:w="120" w:type="dxa"/>
            </w:tcMar>
          </w:tcPr>
          <w:p>
            <w:r>
              <w:rPr>
                <w:rFonts w:ascii="Calibri" w:hAnsi="Calibri"/>
                <w:b w:val="0"/>
                <w:i w:val="0"/>
                <w:sz w:val="19"/>
              </w:rPr>
              <w:t>Logistic Regression</w:t>
            </w:r>
          </w:p>
        </w:tc>
        <w:tc>
          <w:tcPr>
            <w:tcW w:type="dxa" w:w="1900"/>
            <w:vAlign w:val="center"/>
            <w:tcMar>
              <w:top w:w="80" w:type="dxa"/>
              <w:start w:w="120" w:type="dxa"/>
              <w:bottom w:w="80" w:type="dxa"/>
              <w:end w:w="120" w:type="dxa"/>
            </w:tcMar>
          </w:tcPr>
          <w:p>
            <w:r>
              <w:rPr>
                <w:rFonts w:ascii="Calibri" w:hAnsi="Calibri"/>
                <w:b w:val="0"/>
                <w:i w:val="0"/>
                <w:sz w:val="19"/>
              </w:rPr>
              <w:t>Linear baseline</w:t>
            </w:r>
          </w:p>
        </w:tc>
        <w:tc>
          <w:tcPr>
            <w:tcW w:type="dxa" w:w="5110"/>
            <w:vAlign w:val="center"/>
            <w:tcMar>
              <w:top w:w="80" w:type="dxa"/>
              <w:start w:w="120" w:type="dxa"/>
              <w:bottom w:w="80" w:type="dxa"/>
              <w:end w:w="120" w:type="dxa"/>
            </w:tcMar>
          </w:tcPr>
          <w:p>
            <w:r>
              <w:rPr>
                <w:rFonts w:ascii="Calibri" w:hAnsi="Calibri"/>
                <w:b w:val="0"/>
                <w:i w:val="0"/>
                <w:sz w:val="19"/>
              </w:rPr>
              <w:t>StandardScaler + LogisticRegression; 1,000 max iterations</w:t>
            </w:r>
          </w:p>
        </w:tc>
      </w:tr>
      <w:tr>
        <w:tc>
          <w:tcPr>
            <w:tcW w:type="dxa" w:w="2350"/>
            <w:vAlign w:val="center"/>
            <w:tcMar>
              <w:top w:w="80" w:type="dxa"/>
              <w:start w:w="120" w:type="dxa"/>
              <w:bottom w:w="80" w:type="dxa"/>
              <w:end w:w="120" w:type="dxa"/>
            </w:tcMar>
          </w:tcPr>
          <w:p>
            <w:r>
              <w:rPr>
                <w:rFonts w:ascii="Calibri" w:hAnsi="Calibri"/>
                <w:b w:val="0"/>
                <w:i w:val="0"/>
                <w:sz w:val="19"/>
              </w:rPr>
              <w:t>Random Forest</w:t>
            </w:r>
          </w:p>
        </w:tc>
        <w:tc>
          <w:tcPr>
            <w:tcW w:type="dxa" w:w="1900"/>
            <w:vAlign w:val="center"/>
            <w:tcMar>
              <w:top w:w="80" w:type="dxa"/>
              <w:start w:w="120" w:type="dxa"/>
              <w:bottom w:w="80" w:type="dxa"/>
              <w:end w:w="120" w:type="dxa"/>
            </w:tcMar>
          </w:tcPr>
          <w:p>
            <w:r>
              <w:rPr>
                <w:rFonts w:ascii="Calibri" w:hAnsi="Calibri"/>
                <w:b w:val="0"/>
                <w:i w:val="0"/>
                <w:sz w:val="19"/>
              </w:rPr>
              <w:t>Main classifier</w:t>
            </w:r>
          </w:p>
        </w:tc>
        <w:tc>
          <w:tcPr>
            <w:tcW w:type="dxa" w:w="5110"/>
            <w:vAlign w:val="center"/>
            <w:tcMar>
              <w:top w:w="80" w:type="dxa"/>
              <w:start w:w="120" w:type="dxa"/>
              <w:bottom w:w="80" w:type="dxa"/>
              <w:end w:w="120" w:type="dxa"/>
            </w:tcMar>
          </w:tcPr>
          <w:p>
            <w:r>
              <w:rPr>
                <w:rFonts w:ascii="Calibri" w:hAnsi="Calibri"/>
                <w:b w:val="0"/>
                <w:i w:val="0"/>
                <w:sz w:val="19"/>
              </w:rPr>
              <w:t>100 trees; maximum depth 18; minimum leaf size 2</w:t>
            </w:r>
          </w:p>
        </w:tc>
      </w:tr>
    </w:tbl>
    <w:p>
      <w:pPr>
        <w:spacing w:after="40"/>
      </w:pPr>
    </w:p>
    <w:p>
      <w:pPr>
        <w:spacing w:after="120" w:line="264" w:lineRule="auto"/>
      </w:pPr>
      <w:r>
        <w:rPr>
          <w:rFonts w:ascii="Calibri" w:hAnsi="Calibri"/>
          <w:b w:val="0"/>
          <w:i w:val="0"/>
          <w:sz w:val="22"/>
        </w:rPr>
        <w:t>Standardization is performed inside the Logistic Regression pipeline, so scaling parameters are learned from training data only. Random Forest does not require feature scaling because its trees use threshold splits. Limiting tree depth reduced the serialized classifier from roughly 1.4 GB to 178 MB while slightly improving measured accuracy.</w:t>
      </w:r>
    </w:p>
    <w:p>
      <w:pPr>
        <w:pStyle w:val="Heading2"/>
      </w:pPr>
      <w:r>
        <w:t>Evaluation measures</w:t>
      </w:r>
    </w:p>
    <w:p>
      <w:pPr>
        <w:pStyle w:val="ListBullet"/>
        <w:spacing w:after="100" w:line="264" w:lineRule="auto"/>
        <w:ind w:left="720" w:hanging="360"/>
      </w:pPr>
    </w:p>
    <w:p>
      <w:pPr>
        <w:pStyle w:val="ListBullet"/>
        <w:spacing w:after="100" w:line="264" w:lineRule="auto"/>
        <w:ind w:left="720" w:hanging="360"/>
      </w:pPr>
    </w:p>
    <w:p>
      <w:pPr>
        <w:pStyle w:val="ListBullet"/>
        <w:spacing w:after="100" w:line="264" w:lineRule="auto"/>
        <w:ind w:left="720" w:hanging="360"/>
      </w:pPr>
    </w:p>
    <w:p>
      <w:pPr>
        <w:pStyle w:val="ListBullet"/>
        <w:spacing w:after="100" w:line="264" w:lineRule="auto"/>
        <w:ind w:left="720" w:hanging="360"/>
      </w:pPr>
    </w:p>
    <w:p>
      <w:pPr>
        <w:pStyle w:val="ListBullet"/>
        <w:spacing w:after="100" w:line="264" w:lineRule="auto"/>
        <w:ind w:left="720" w:hanging="360"/>
      </w:pPr>
    </w:p>
    <w:p>
      <w:pPr>
        <w:pStyle w:val="ListBullet"/>
        <w:spacing w:after="100" w:line="264" w:lineRule="auto"/>
        <w:ind w:left="720" w:hanging="360"/>
      </w:pPr>
    </w:p>
    <w:p>
      <w:pPr>
        <w:pStyle w:val="Heading2"/>
      </w:pPr>
      <w:r>
        <w:t>Overall test results</w:t>
      </w:r>
    </w:p>
    <w:tbl>
      <w:tblPr>
        <w:tblStyle w:val="TableGrid"/>
        <w:tblW w:type="dxa" w:w="9360"/>
        <w:jc w:val="left"/>
        <w:tblLayout w:type="fixed"/>
        <w:tblLook w:firstColumn="1" w:firstRow="1" w:lastColumn="0" w:lastRow="0" w:noHBand="0" w:noVBand="1" w:val="04A0"/>
        <w:tblInd w:w="120" w:type="dxa"/>
      </w:tblPr>
      <w:tblGrid>
        <w:gridCol w:w="3300"/>
        <w:gridCol w:w="1900"/>
        <w:gridCol w:w="4160"/>
      </w:tblGrid>
      <w:tr>
        <w:tc>
          <w:tcPr>
            <w:tcW w:type="dxa" w:w="3300"/>
            <w:shd w:fill="E8EEF5"/>
            <w:vAlign w:val="center"/>
            <w:tcMar>
              <w:top w:w="80" w:type="dxa"/>
              <w:start w:w="120" w:type="dxa"/>
              <w:bottom w:w="80" w:type="dxa"/>
              <w:end w:w="120" w:type="dxa"/>
            </w:tcMar>
          </w:tcPr>
          <w:p>
            <w:r>
              <w:rPr>
                <w:rFonts w:ascii="Calibri" w:hAnsi="Calibri"/>
                <w:b/>
                <w:i w:val="0"/>
                <w:color w:val="0B2545"/>
                <w:sz w:val="20"/>
              </w:rPr>
              <w:t>Model</w:t>
            </w:r>
          </w:p>
        </w:tc>
        <w:tc>
          <w:tcPr>
            <w:tcW w:type="dxa" w:w="1900"/>
            <w:shd w:fill="E8EEF5"/>
            <w:vAlign w:val="center"/>
            <w:tcMar>
              <w:top w:w="80" w:type="dxa"/>
              <w:start w:w="120" w:type="dxa"/>
              <w:bottom w:w="80" w:type="dxa"/>
              <w:end w:w="120" w:type="dxa"/>
            </w:tcMar>
          </w:tcPr>
          <w:p>
            <w:r>
              <w:rPr>
                <w:rFonts w:ascii="Calibri" w:hAnsi="Calibri"/>
                <w:b/>
                <w:i w:val="0"/>
                <w:color w:val="0B2545"/>
                <w:sz w:val="20"/>
              </w:rPr>
              <w:t>Accuracy</w:t>
            </w:r>
          </w:p>
        </w:tc>
        <w:tc>
          <w:tcPr>
            <w:tcW w:type="dxa" w:w="4160"/>
            <w:shd w:fill="E8EEF5"/>
            <w:vAlign w:val="center"/>
            <w:tcMar>
              <w:top w:w="80" w:type="dxa"/>
              <w:start w:w="120" w:type="dxa"/>
              <w:bottom w:w="80" w:type="dxa"/>
              <w:end w:w="120" w:type="dxa"/>
            </w:tcMar>
          </w:tcPr>
          <w:p>
            <w:r>
              <w:rPr>
                <w:rFonts w:ascii="Calibri" w:hAnsi="Calibri"/>
                <w:b/>
                <w:i w:val="0"/>
                <w:color w:val="0B2545"/>
                <w:sz w:val="20"/>
              </w:rPr>
              <w:t>Gain over chance</w:t>
            </w:r>
          </w:p>
        </w:tc>
      </w:tr>
      <w:tr>
        <w:tc>
          <w:tcPr>
            <w:tcW w:type="dxa" w:w="3300"/>
            <w:vAlign w:val="center"/>
            <w:tcMar>
              <w:top w:w="80" w:type="dxa"/>
              <w:start w:w="120" w:type="dxa"/>
              <w:bottom w:w="80" w:type="dxa"/>
              <w:end w:w="120" w:type="dxa"/>
            </w:tcMar>
          </w:tcPr>
          <w:p>
            <w:r>
              <w:rPr>
                <w:rFonts w:ascii="Calibri" w:hAnsi="Calibri"/>
                <w:b w:val="0"/>
                <w:i w:val="0"/>
                <w:sz w:val="19"/>
              </w:rPr>
              <w:t>Logistic Regression</w:t>
            </w:r>
          </w:p>
        </w:tc>
        <w:tc>
          <w:tcPr>
            <w:tcW w:type="dxa" w:w="1900"/>
            <w:vAlign w:val="center"/>
            <w:tcMar>
              <w:top w:w="80" w:type="dxa"/>
              <w:start w:w="120" w:type="dxa"/>
              <w:bottom w:w="80" w:type="dxa"/>
              <w:end w:w="120" w:type="dxa"/>
            </w:tcMar>
          </w:tcPr>
          <w:p>
            <w:pPr>
              <w:jc w:val="center"/>
            </w:pPr>
            <w:r>
              <w:rPr>
                <w:rFonts w:ascii="Calibri" w:hAnsi="Calibri"/>
                <w:b w:val="0"/>
                <w:i w:val="0"/>
                <w:sz w:val="19"/>
              </w:rPr>
              <w:t>44.45%</w:t>
            </w:r>
          </w:p>
        </w:tc>
        <w:tc>
          <w:tcPr>
            <w:tcW w:type="dxa" w:w="4160"/>
            <w:vAlign w:val="center"/>
            <w:tcMar>
              <w:top w:w="80" w:type="dxa"/>
              <w:start w:w="120" w:type="dxa"/>
              <w:bottom w:w="80" w:type="dxa"/>
              <w:end w:w="120" w:type="dxa"/>
            </w:tcMar>
          </w:tcPr>
          <w:p>
            <w:r>
              <w:rPr>
                <w:rFonts w:ascii="Calibri" w:hAnsi="Calibri"/>
                <w:b w:val="0"/>
                <w:i w:val="0"/>
                <w:sz w:val="19"/>
              </w:rPr>
              <w:t>+35.36 percentage points</w:t>
            </w:r>
          </w:p>
        </w:tc>
      </w:tr>
      <w:tr>
        <w:tc>
          <w:tcPr>
            <w:tcW w:type="dxa" w:w="3300"/>
            <w:vAlign w:val="center"/>
            <w:tcMar>
              <w:top w:w="80" w:type="dxa"/>
              <w:start w:w="120" w:type="dxa"/>
              <w:bottom w:w="80" w:type="dxa"/>
              <w:end w:w="120" w:type="dxa"/>
            </w:tcMar>
          </w:tcPr>
          <w:p>
            <w:r>
              <w:rPr>
                <w:rFonts w:ascii="Calibri" w:hAnsi="Calibri"/>
                <w:b w:val="0"/>
                <w:i w:val="0"/>
                <w:sz w:val="19"/>
              </w:rPr>
              <w:t>Random Forest</w:t>
            </w:r>
          </w:p>
        </w:tc>
        <w:tc>
          <w:tcPr>
            <w:tcW w:type="dxa" w:w="1900"/>
            <w:vAlign w:val="center"/>
            <w:tcMar>
              <w:top w:w="80" w:type="dxa"/>
              <w:start w:w="120" w:type="dxa"/>
              <w:bottom w:w="80" w:type="dxa"/>
              <w:end w:w="120" w:type="dxa"/>
            </w:tcMar>
          </w:tcPr>
          <w:p>
            <w:pPr>
              <w:jc w:val="center"/>
            </w:pPr>
            <w:r>
              <w:rPr>
                <w:rFonts w:ascii="Calibri" w:hAnsi="Calibri"/>
                <w:b w:val="0"/>
                <w:i w:val="0"/>
                <w:sz w:val="19"/>
              </w:rPr>
              <w:t>50.44%</w:t>
            </w:r>
          </w:p>
        </w:tc>
        <w:tc>
          <w:tcPr>
            <w:tcW w:type="dxa" w:w="4160"/>
            <w:vAlign w:val="center"/>
            <w:tcMar>
              <w:top w:w="80" w:type="dxa"/>
              <w:start w:w="120" w:type="dxa"/>
              <w:bottom w:w="80" w:type="dxa"/>
              <w:end w:w="120" w:type="dxa"/>
            </w:tcMar>
          </w:tcPr>
          <w:p>
            <w:r>
              <w:rPr>
                <w:rFonts w:ascii="Calibri" w:hAnsi="Calibri"/>
                <w:b w:val="0"/>
                <w:i w:val="0"/>
                <w:sz w:val="19"/>
              </w:rPr>
              <w:t>+41.35 percentage points</w:t>
            </w:r>
          </w:p>
        </w:tc>
      </w:tr>
    </w:tbl>
    <w:p>
      <w:pPr>
        <w:spacing w:after="40"/>
      </w:pPr>
    </w:p>
    <w:p>
      <w:pPr>
        <w:spacing w:after="120" w:line="264" w:lineRule="auto"/>
      </w:pPr>
      <w:r>
        <w:rPr>
          <w:rFonts w:ascii="Calibri" w:hAnsi="Calibri"/>
          <w:b w:val="0"/>
          <w:i w:val="0"/>
          <w:sz w:val="22"/>
        </w:rPr>
        <w:t>With 11 balanced classes, random guessing corresponds to approximately 9.09%. The nonlinear forest improves on the linear baseline, indicating that useful relationships among the handcrafted features are not purely linear.</w:t>
      </w:r>
    </w:p>
    <w:p>
      <w:r>
        <w:br w:type="page"/>
      </w:r>
    </w:p>
    <w:p>
      <w:pPr>
        <w:pStyle w:val="Heading1"/>
      </w:pPr>
      <w:r>
        <w:t>4. Results and interpretation</w:t>
      </w:r>
    </w:p>
    <w:p>
      <w:pPr>
        <w:keepNext/>
        <w:jc w:val="center"/>
      </w:pPr>
      <w:r>
        <w:drawing>
          <wp:inline xmlns:a="http://schemas.openxmlformats.org/drawingml/2006/main" xmlns:pic="http://schemas.openxmlformats.org/drawingml/2006/picture">
            <wp:extent cx="5806440" cy="3170864"/>
            <wp:docPr id="2" name="Picture 2"/>
            <wp:cNvGraphicFramePr>
              <a:graphicFrameLocks noChangeAspect="1"/>
            </wp:cNvGraphicFramePr>
            <a:graphic>
              <a:graphicData uri="http://schemas.openxmlformats.org/drawingml/2006/picture">
                <pic:pic>
                  <pic:nvPicPr>
                    <pic:cNvPr id="0" name="accuracy_by_snr.png"/>
                    <pic:cNvPicPr/>
                  </pic:nvPicPr>
                  <pic:blipFill>
                    <a:blip r:embed="rId12"/>
                    <a:stretch>
                      <a:fillRect/>
                    </a:stretch>
                  </pic:blipFill>
                  <pic:spPr>
                    <a:xfrm>
                      <a:off x="0" y="0"/>
                      <a:ext cx="5806440" cy="3170864"/>
                    </a:xfrm>
                    <a:prstGeom prst="rect"/>
                  </pic:spPr>
                </pic:pic>
              </a:graphicData>
            </a:graphic>
          </wp:inline>
        </w:drawing>
      </w:r>
    </w:p>
    <w:p>
      <w:pPr>
        <w:spacing w:before="60" w:after="160"/>
        <w:jc w:val="center"/>
      </w:pPr>
      <w:r>
        <w:rPr>
          <w:rFonts w:ascii="Calibri" w:hAnsi="Calibri"/>
          <w:b w:val="0"/>
          <w:i/>
          <w:color w:val="5A6470"/>
          <w:sz w:val="18"/>
        </w:rPr>
        <w:t>Figure 2. Test accuracy by SNR for both classifiers.</w:t>
      </w:r>
    </w:p>
    <w:tbl>
      <w:tblPr>
        <w:tblStyle w:val="TableGrid"/>
        <w:tblW w:type="dxa" w:w="9360"/>
        <w:jc w:val="left"/>
        <w:tblLayout w:type="fixed"/>
        <w:tblLook w:firstColumn="1" w:firstRow="1" w:lastColumn="0" w:lastRow="0" w:noHBand="0" w:noVBand="1" w:val="04A0"/>
        <w:tblInd w:w="120" w:type="dxa"/>
      </w:tblPr>
      <w:tblGrid>
        <w:gridCol w:w="1700"/>
        <w:gridCol w:w="2700"/>
        <w:gridCol w:w="4960"/>
      </w:tblGrid>
      <w:tr>
        <w:tc>
          <w:tcPr>
            <w:tcW w:type="dxa" w:w="1700"/>
            <w:shd w:fill="E8EEF5"/>
            <w:vAlign w:val="center"/>
            <w:tcMar>
              <w:top w:w="80" w:type="dxa"/>
              <w:start w:w="120" w:type="dxa"/>
              <w:bottom w:w="80" w:type="dxa"/>
              <w:end w:w="120" w:type="dxa"/>
            </w:tcMar>
          </w:tcPr>
          <w:p>
            <w:r>
              <w:rPr>
                <w:rFonts w:ascii="Calibri" w:hAnsi="Calibri"/>
                <w:b/>
                <w:i w:val="0"/>
                <w:color w:val="0B2545"/>
                <w:sz w:val="20"/>
              </w:rPr>
              <w:t>SNR</w:t>
            </w:r>
          </w:p>
        </w:tc>
        <w:tc>
          <w:tcPr>
            <w:tcW w:type="dxa" w:w="2700"/>
            <w:shd w:fill="E8EEF5"/>
            <w:vAlign w:val="center"/>
            <w:tcMar>
              <w:top w:w="80" w:type="dxa"/>
              <w:start w:w="120" w:type="dxa"/>
              <w:bottom w:w="80" w:type="dxa"/>
              <w:end w:w="120" w:type="dxa"/>
            </w:tcMar>
          </w:tcPr>
          <w:p>
            <w:r>
              <w:rPr>
                <w:rFonts w:ascii="Calibri" w:hAnsi="Calibri"/>
                <w:b/>
                <w:i w:val="0"/>
                <w:color w:val="0B2545"/>
                <w:sz w:val="20"/>
              </w:rPr>
              <w:t>Random Forest accuracy</w:t>
            </w:r>
          </w:p>
        </w:tc>
        <w:tc>
          <w:tcPr>
            <w:tcW w:type="dxa" w:w="4960"/>
            <w:shd w:fill="E8EEF5"/>
            <w:vAlign w:val="center"/>
            <w:tcMar>
              <w:top w:w="80" w:type="dxa"/>
              <w:start w:w="120" w:type="dxa"/>
              <w:bottom w:w="80" w:type="dxa"/>
              <w:end w:w="120" w:type="dxa"/>
            </w:tcMar>
          </w:tcPr>
          <w:p>
            <w:r>
              <w:rPr>
                <w:rFonts w:ascii="Calibri" w:hAnsi="Calibri"/>
                <w:b/>
                <w:i w:val="0"/>
                <w:color w:val="0B2545"/>
                <w:sz w:val="20"/>
              </w:rPr>
              <w:t>Operating interpretation</w:t>
            </w:r>
          </w:p>
        </w:tc>
      </w:tr>
      <w:tr>
        <w:tc>
          <w:tcPr>
            <w:tcW w:type="dxa" w:w="1700"/>
            <w:vAlign w:val="center"/>
            <w:tcMar>
              <w:top w:w="80" w:type="dxa"/>
              <w:start w:w="120" w:type="dxa"/>
              <w:bottom w:w="80" w:type="dxa"/>
              <w:end w:w="120" w:type="dxa"/>
            </w:tcMar>
          </w:tcPr>
          <w:p>
            <w:r>
              <w:rPr>
                <w:rFonts w:ascii="Calibri" w:hAnsi="Calibri"/>
                <w:b w:val="0"/>
                <w:i w:val="0"/>
                <w:sz w:val="19"/>
              </w:rPr>
              <w:t>-20 dB</w:t>
            </w:r>
          </w:p>
        </w:tc>
        <w:tc>
          <w:tcPr>
            <w:tcW w:type="dxa" w:w="2700"/>
            <w:vAlign w:val="center"/>
            <w:tcMar>
              <w:top w:w="80" w:type="dxa"/>
              <w:start w:w="120" w:type="dxa"/>
              <w:bottom w:w="80" w:type="dxa"/>
              <w:end w:w="120" w:type="dxa"/>
            </w:tcMar>
          </w:tcPr>
          <w:p>
            <w:pPr>
              <w:jc w:val="center"/>
            </w:pPr>
            <w:r>
              <w:rPr>
                <w:rFonts w:ascii="Calibri" w:hAnsi="Calibri"/>
                <w:b w:val="0"/>
                <w:i w:val="0"/>
                <w:sz w:val="19"/>
              </w:rPr>
              <w:t>9.1%</w:t>
            </w:r>
          </w:p>
        </w:tc>
        <w:tc>
          <w:tcPr>
            <w:tcW w:type="dxa" w:w="4960"/>
            <w:vAlign w:val="center"/>
            <w:tcMar>
              <w:top w:w="80" w:type="dxa"/>
              <w:start w:w="120" w:type="dxa"/>
              <w:bottom w:w="80" w:type="dxa"/>
              <w:end w:w="120" w:type="dxa"/>
            </w:tcMar>
          </w:tcPr>
          <w:p>
            <w:pPr>
              <w:jc w:val="center"/>
            </w:pPr>
            <w:r>
              <w:rPr>
                <w:rFonts w:ascii="Calibri" w:hAnsi="Calibri"/>
                <w:b w:val="0"/>
                <w:i w:val="0"/>
                <w:sz w:val="19"/>
              </w:rPr>
              <w:t>Near chance</w:t>
            </w:r>
          </w:p>
        </w:tc>
      </w:tr>
      <w:tr>
        <w:tc>
          <w:tcPr>
            <w:tcW w:type="dxa" w:w="1700"/>
            <w:vAlign w:val="center"/>
            <w:tcMar>
              <w:top w:w="80" w:type="dxa"/>
              <w:start w:w="120" w:type="dxa"/>
              <w:bottom w:w="80" w:type="dxa"/>
              <w:end w:w="120" w:type="dxa"/>
            </w:tcMar>
          </w:tcPr>
          <w:p>
            <w:r>
              <w:rPr>
                <w:rFonts w:ascii="Calibri" w:hAnsi="Calibri"/>
                <w:b w:val="0"/>
                <w:i w:val="0"/>
                <w:sz w:val="19"/>
              </w:rPr>
              <w:t>-10 dB</w:t>
            </w:r>
          </w:p>
        </w:tc>
        <w:tc>
          <w:tcPr>
            <w:tcW w:type="dxa" w:w="2700"/>
            <w:vAlign w:val="center"/>
            <w:tcMar>
              <w:top w:w="80" w:type="dxa"/>
              <w:start w:w="120" w:type="dxa"/>
              <w:bottom w:w="80" w:type="dxa"/>
              <w:end w:w="120" w:type="dxa"/>
            </w:tcMar>
          </w:tcPr>
          <w:p>
            <w:pPr>
              <w:jc w:val="center"/>
            </w:pPr>
            <w:r>
              <w:rPr>
                <w:rFonts w:ascii="Calibri" w:hAnsi="Calibri"/>
                <w:b w:val="0"/>
                <w:i w:val="0"/>
                <w:sz w:val="19"/>
              </w:rPr>
              <w:t>17.4%</w:t>
            </w:r>
          </w:p>
        </w:tc>
        <w:tc>
          <w:tcPr>
            <w:tcW w:type="dxa" w:w="4960"/>
            <w:vAlign w:val="center"/>
            <w:tcMar>
              <w:top w:w="80" w:type="dxa"/>
              <w:start w:w="120" w:type="dxa"/>
              <w:bottom w:w="80" w:type="dxa"/>
              <w:end w:w="120" w:type="dxa"/>
            </w:tcMar>
          </w:tcPr>
          <w:p>
            <w:pPr>
              <w:jc w:val="center"/>
            </w:pPr>
            <w:r>
              <w:rPr>
                <w:rFonts w:ascii="Calibri" w:hAnsi="Calibri"/>
                <w:b w:val="0"/>
                <w:i w:val="0"/>
                <w:sz w:val="19"/>
              </w:rPr>
              <w:t>Near chance</w:t>
            </w:r>
          </w:p>
        </w:tc>
      </w:tr>
      <w:tr>
        <w:tc>
          <w:tcPr>
            <w:tcW w:type="dxa" w:w="1700"/>
            <w:vAlign w:val="center"/>
            <w:tcMar>
              <w:top w:w="80" w:type="dxa"/>
              <w:start w:w="120" w:type="dxa"/>
              <w:bottom w:w="80" w:type="dxa"/>
              <w:end w:w="120" w:type="dxa"/>
            </w:tcMar>
          </w:tcPr>
          <w:p>
            <w:r>
              <w:rPr>
                <w:rFonts w:ascii="Calibri" w:hAnsi="Calibri"/>
                <w:b w:val="0"/>
                <w:i w:val="0"/>
                <w:sz w:val="19"/>
              </w:rPr>
              <w:t>-6 dB</w:t>
            </w:r>
          </w:p>
        </w:tc>
        <w:tc>
          <w:tcPr>
            <w:tcW w:type="dxa" w:w="2700"/>
            <w:vAlign w:val="center"/>
            <w:tcMar>
              <w:top w:w="80" w:type="dxa"/>
              <w:start w:w="120" w:type="dxa"/>
              <w:bottom w:w="80" w:type="dxa"/>
              <w:end w:w="120" w:type="dxa"/>
            </w:tcMar>
          </w:tcPr>
          <w:p>
            <w:pPr>
              <w:jc w:val="center"/>
            </w:pPr>
            <w:r>
              <w:rPr>
                <w:rFonts w:ascii="Calibri" w:hAnsi="Calibri"/>
                <w:b w:val="0"/>
                <w:i w:val="0"/>
                <w:sz w:val="19"/>
              </w:rPr>
              <w:t>40.4%</w:t>
            </w:r>
          </w:p>
        </w:tc>
        <w:tc>
          <w:tcPr>
            <w:tcW w:type="dxa" w:w="4960"/>
            <w:vAlign w:val="center"/>
            <w:tcMar>
              <w:top w:w="80" w:type="dxa"/>
              <w:start w:w="120" w:type="dxa"/>
              <w:bottom w:w="80" w:type="dxa"/>
              <w:end w:w="120" w:type="dxa"/>
            </w:tcMar>
          </w:tcPr>
          <w:p>
            <w:r>
              <w:rPr>
                <w:rFonts w:ascii="Calibri" w:hAnsi="Calibri"/>
                <w:b w:val="0"/>
                <w:i w:val="0"/>
                <w:sz w:val="19"/>
              </w:rPr>
              <w:t>Transition region</w:t>
            </w:r>
          </w:p>
        </w:tc>
      </w:tr>
      <w:tr>
        <w:tc>
          <w:tcPr>
            <w:tcW w:type="dxa" w:w="1700"/>
            <w:vAlign w:val="center"/>
            <w:tcMar>
              <w:top w:w="80" w:type="dxa"/>
              <w:start w:w="120" w:type="dxa"/>
              <w:bottom w:w="80" w:type="dxa"/>
              <w:end w:w="120" w:type="dxa"/>
            </w:tcMar>
          </w:tcPr>
          <w:p>
            <w:r>
              <w:rPr>
                <w:rFonts w:ascii="Calibri" w:hAnsi="Calibri"/>
                <w:b w:val="0"/>
                <w:i w:val="0"/>
                <w:sz w:val="19"/>
              </w:rPr>
              <w:t>0 dB</w:t>
            </w:r>
          </w:p>
        </w:tc>
        <w:tc>
          <w:tcPr>
            <w:tcW w:type="dxa" w:w="2700"/>
            <w:vAlign w:val="center"/>
            <w:tcMar>
              <w:top w:w="80" w:type="dxa"/>
              <w:start w:w="120" w:type="dxa"/>
              <w:bottom w:w="80" w:type="dxa"/>
              <w:end w:w="120" w:type="dxa"/>
            </w:tcMar>
          </w:tcPr>
          <w:p>
            <w:pPr>
              <w:jc w:val="center"/>
            </w:pPr>
            <w:r>
              <w:rPr>
                <w:rFonts w:ascii="Calibri" w:hAnsi="Calibri"/>
                <w:b w:val="0"/>
                <w:i w:val="0"/>
                <w:sz w:val="19"/>
              </w:rPr>
              <w:t>67.3%</w:t>
            </w:r>
          </w:p>
        </w:tc>
        <w:tc>
          <w:tcPr>
            <w:tcW w:type="dxa" w:w="4960"/>
            <w:vAlign w:val="center"/>
            <w:tcMar>
              <w:top w:w="80" w:type="dxa"/>
              <w:start w:w="120" w:type="dxa"/>
              <w:bottom w:w="80" w:type="dxa"/>
              <w:end w:w="120" w:type="dxa"/>
            </w:tcMar>
          </w:tcPr>
          <w:p>
            <w:r>
              <w:rPr>
                <w:rFonts w:ascii="Calibri" w:hAnsi="Calibri"/>
                <w:b w:val="0"/>
                <w:i w:val="0"/>
                <w:sz w:val="19"/>
              </w:rPr>
              <w:t>Transition region</w:t>
            </w:r>
          </w:p>
        </w:tc>
      </w:tr>
      <w:tr>
        <w:tc>
          <w:tcPr>
            <w:tcW w:type="dxa" w:w="1700"/>
            <w:vAlign w:val="center"/>
            <w:tcMar>
              <w:top w:w="80" w:type="dxa"/>
              <w:start w:w="120" w:type="dxa"/>
              <w:bottom w:w="80" w:type="dxa"/>
              <w:end w:w="120" w:type="dxa"/>
            </w:tcMar>
          </w:tcPr>
          <w:p>
            <w:r>
              <w:rPr>
                <w:rFonts w:ascii="Calibri" w:hAnsi="Calibri"/>
                <w:b w:val="0"/>
                <w:i w:val="0"/>
                <w:sz w:val="19"/>
              </w:rPr>
              <w:t>6 dB</w:t>
            </w:r>
          </w:p>
        </w:tc>
        <w:tc>
          <w:tcPr>
            <w:tcW w:type="dxa" w:w="2700"/>
            <w:vAlign w:val="center"/>
            <w:tcMar>
              <w:top w:w="80" w:type="dxa"/>
              <w:start w:w="120" w:type="dxa"/>
              <w:bottom w:w="80" w:type="dxa"/>
              <w:end w:w="120" w:type="dxa"/>
            </w:tcMar>
          </w:tcPr>
          <w:p>
            <w:pPr>
              <w:jc w:val="center"/>
            </w:pPr>
            <w:r>
              <w:rPr>
                <w:rFonts w:ascii="Calibri" w:hAnsi="Calibri"/>
                <w:b w:val="0"/>
                <w:i w:val="0"/>
                <w:sz w:val="19"/>
              </w:rPr>
              <w:t>77.5%</w:t>
            </w:r>
          </w:p>
        </w:tc>
        <w:tc>
          <w:tcPr>
            <w:tcW w:type="dxa" w:w="4960"/>
            <w:vAlign w:val="center"/>
            <w:tcMar>
              <w:top w:w="80" w:type="dxa"/>
              <w:start w:w="120" w:type="dxa"/>
              <w:bottom w:w="80" w:type="dxa"/>
              <w:end w:w="120" w:type="dxa"/>
            </w:tcMar>
          </w:tcPr>
          <w:p>
            <w:r>
              <w:rPr>
                <w:rFonts w:ascii="Calibri" w:hAnsi="Calibri"/>
                <w:b w:val="0"/>
                <w:i w:val="0"/>
                <w:sz w:val="19"/>
              </w:rPr>
              <w:t>High-SNR plateau</w:t>
            </w:r>
          </w:p>
        </w:tc>
      </w:tr>
      <w:tr>
        <w:tc>
          <w:tcPr>
            <w:tcW w:type="dxa" w:w="1700"/>
            <w:vAlign w:val="center"/>
            <w:tcMar>
              <w:top w:w="80" w:type="dxa"/>
              <w:start w:w="120" w:type="dxa"/>
              <w:bottom w:w="80" w:type="dxa"/>
              <w:end w:w="120" w:type="dxa"/>
            </w:tcMar>
          </w:tcPr>
          <w:p>
            <w:r>
              <w:rPr>
                <w:rFonts w:ascii="Calibri" w:hAnsi="Calibri"/>
                <w:b w:val="0"/>
                <w:i w:val="0"/>
                <w:sz w:val="19"/>
              </w:rPr>
              <w:t>12 dB</w:t>
            </w:r>
          </w:p>
        </w:tc>
        <w:tc>
          <w:tcPr>
            <w:tcW w:type="dxa" w:w="2700"/>
            <w:vAlign w:val="center"/>
            <w:tcMar>
              <w:top w:w="80" w:type="dxa"/>
              <w:start w:w="120" w:type="dxa"/>
              <w:bottom w:w="80" w:type="dxa"/>
              <w:end w:w="120" w:type="dxa"/>
            </w:tcMar>
          </w:tcPr>
          <w:p>
            <w:pPr>
              <w:jc w:val="center"/>
            </w:pPr>
            <w:r>
              <w:rPr>
                <w:rFonts w:ascii="Calibri" w:hAnsi="Calibri"/>
                <w:b w:val="0"/>
                <w:i w:val="0"/>
                <w:sz w:val="19"/>
              </w:rPr>
              <w:t>79.5%</w:t>
            </w:r>
          </w:p>
        </w:tc>
        <w:tc>
          <w:tcPr>
            <w:tcW w:type="dxa" w:w="4960"/>
            <w:vAlign w:val="center"/>
            <w:tcMar>
              <w:top w:w="80" w:type="dxa"/>
              <w:start w:w="120" w:type="dxa"/>
              <w:bottom w:w="80" w:type="dxa"/>
              <w:end w:w="120" w:type="dxa"/>
            </w:tcMar>
          </w:tcPr>
          <w:p>
            <w:r>
              <w:rPr>
                <w:rFonts w:ascii="Calibri" w:hAnsi="Calibri"/>
                <w:b w:val="0"/>
                <w:i w:val="0"/>
                <w:sz w:val="19"/>
              </w:rPr>
              <w:t>High-SNR plateau</w:t>
            </w:r>
          </w:p>
        </w:tc>
      </w:tr>
      <w:tr>
        <w:tc>
          <w:tcPr>
            <w:tcW w:type="dxa" w:w="1700"/>
            <w:vAlign w:val="center"/>
            <w:tcMar>
              <w:top w:w="80" w:type="dxa"/>
              <w:start w:w="120" w:type="dxa"/>
              <w:bottom w:w="80" w:type="dxa"/>
              <w:end w:w="120" w:type="dxa"/>
            </w:tcMar>
          </w:tcPr>
          <w:p>
            <w:r>
              <w:rPr>
                <w:rFonts w:ascii="Calibri" w:hAnsi="Calibri"/>
                <w:b w:val="0"/>
                <w:i w:val="0"/>
                <w:sz w:val="19"/>
              </w:rPr>
              <w:t>18 dB</w:t>
            </w:r>
          </w:p>
        </w:tc>
        <w:tc>
          <w:tcPr>
            <w:tcW w:type="dxa" w:w="2700"/>
            <w:vAlign w:val="center"/>
            <w:tcMar>
              <w:top w:w="80" w:type="dxa"/>
              <w:start w:w="120" w:type="dxa"/>
              <w:bottom w:w="80" w:type="dxa"/>
              <w:end w:w="120" w:type="dxa"/>
            </w:tcMar>
          </w:tcPr>
          <w:p>
            <w:pPr>
              <w:jc w:val="center"/>
            </w:pPr>
            <w:r>
              <w:rPr>
                <w:rFonts w:ascii="Calibri" w:hAnsi="Calibri"/>
                <w:b w:val="0"/>
                <w:i w:val="0"/>
                <w:sz w:val="19"/>
              </w:rPr>
              <w:t>79.1%</w:t>
            </w:r>
          </w:p>
        </w:tc>
        <w:tc>
          <w:tcPr>
            <w:tcW w:type="dxa" w:w="4960"/>
            <w:vAlign w:val="center"/>
            <w:tcMar>
              <w:top w:w="80" w:type="dxa"/>
              <w:start w:w="120" w:type="dxa"/>
              <w:bottom w:w="80" w:type="dxa"/>
              <w:end w:w="120" w:type="dxa"/>
            </w:tcMar>
          </w:tcPr>
          <w:p>
            <w:r>
              <w:rPr>
                <w:rFonts w:ascii="Calibri" w:hAnsi="Calibri"/>
                <w:b w:val="0"/>
                <w:i w:val="0"/>
                <w:sz w:val="19"/>
              </w:rPr>
              <w:t>High-SNR plateau</w:t>
            </w:r>
          </w:p>
        </w:tc>
      </w:tr>
    </w:tbl>
    <w:p>
      <w:pPr>
        <w:spacing w:after="40"/>
      </w:pPr>
    </w:p>
    <w:p>
      <w:pPr>
        <w:spacing w:after="120" w:line="264" w:lineRule="auto"/>
      </w:pPr>
      <w:r>
        <w:rPr>
          <w:rFonts w:ascii="Calibri" w:hAnsi="Calibri"/>
          <w:b w:val="0"/>
          <w:i w:val="0"/>
          <w:sz w:val="22"/>
        </w:rPr>
        <w:t>The curve has three clear regions. Below approximately -14 dB, the extracted features contain little usable class information. Between -10 dB and 2 dB, accuracy rises rapidly as modulation structure emerges from the noise. Above approximately 6 dB, the forest plateaus near 78–80%. This plateau suggests that the remaining errors are caused primarily by representational limits rather than insufficient SNR.</w:t>
      </w:r>
    </w:p>
    <w:p>
      <w:r>
        <w:br w:type="page"/>
      </w:r>
    </w:p>
    <w:p>
      <w:pPr>
        <w:pStyle w:val="Heading2"/>
      </w:pPr>
      <w:r>
        <w:t>Confusion analysis</w:t>
      </w:r>
    </w:p>
    <w:p>
      <w:pPr>
        <w:keepNext/>
        <w:jc w:val="center"/>
      </w:pPr>
      <w:r>
        <w:drawing>
          <wp:inline xmlns:a="http://schemas.openxmlformats.org/drawingml/2006/main" xmlns:pic="http://schemas.openxmlformats.org/drawingml/2006/picture">
            <wp:extent cx="5577840" cy="5422421"/>
            <wp:docPr id="3" name="Picture 3"/>
            <wp:cNvGraphicFramePr>
              <a:graphicFrameLocks noChangeAspect="1"/>
            </wp:cNvGraphicFramePr>
            <a:graphic>
              <a:graphicData uri="http://schemas.openxmlformats.org/drawingml/2006/picture">
                <pic:pic>
                  <pic:nvPicPr>
                    <pic:cNvPr id="0" name="random_forest_confusion_matrix.png"/>
                    <pic:cNvPicPr/>
                  </pic:nvPicPr>
                  <pic:blipFill>
                    <a:blip r:embed="rId13"/>
                    <a:stretch>
                      <a:fillRect/>
                    </a:stretch>
                  </pic:blipFill>
                  <pic:spPr>
                    <a:xfrm>
                      <a:off x="0" y="0"/>
                      <a:ext cx="5577840" cy="5422421"/>
                    </a:xfrm>
                    <a:prstGeom prst="rect"/>
                  </pic:spPr>
                </pic:pic>
              </a:graphicData>
            </a:graphic>
          </wp:inline>
        </w:drawing>
      </w:r>
    </w:p>
    <w:p>
      <w:pPr>
        <w:spacing w:before="60" w:after="160"/>
        <w:jc w:val="center"/>
      </w:pPr>
      <w:r>
        <w:rPr>
          <w:rFonts w:ascii="Calibri" w:hAnsi="Calibri"/>
          <w:b w:val="0"/>
          <w:i/>
          <w:color w:val="5A6470"/>
          <w:sz w:val="18"/>
        </w:rPr>
        <w:t>Figure 3. Random Forest confusion matrix, normalized by true class.</w:t>
      </w:r>
    </w:p>
    <w:p>
      <w:pPr>
        <w:pStyle w:val="ListBullet"/>
        <w:spacing w:after="100" w:line="264" w:lineRule="auto"/>
        <w:ind w:left="720" w:hanging="360"/>
      </w:pPr>
    </w:p>
    <w:p>
      <w:pPr>
        <w:pStyle w:val="ListBullet"/>
        <w:spacing w:after="100" w:line="264" w:lineRule="auto"/>
        <w:ind w:left="720" w:hanging="360"/>
      </w:pPr>
    </w:p>
    <w:p>
      <w:pPr>
        <w:pStyle w:val="ListBullet"/>
        <w:spacing w:after="100" w:line="264" w:lineRule="auto"/>
        <w:ind w:left="720" w:hanging="360"/>
      </w:pPr>
    </w:p>
    <w:p>
      <w:pPr>
        <w:pStyle w:val="ListBullet"/>
        <w:spacing w:after="100" w:line="264" w:lineRule="auto"/>
        <w:ind w:left="720" w:hanging="360"/>
      </w:pPr>
    </w:p>
    <w:p>
      <w:pPr>
        <w:pStyle w:val="Heading2"/>
      </w:pPr>
      <w:r>
        <w:t>Feature importance</w:t>
      </w:r>
    </w:p>
    <w:p>
      <w:pPr>
        <w:keepNext/>
        <w:jc w:val="center"/>
      </w:pPr>
      <w:r>
        <w:drawing>
          <wp:inline xmlns:a="http://schemas.openxmlformats.org/drawingml/2006/main" xmlns:pic="http://schemas.openxmlformats.org/drawingml/2006/picture">
            <wp:extent cx="5577840" cy="3671490"/>
            <wp:docPr id="4" name="Picture 4"/>
            <wp:cNvGraphicFramePr>
              <a:graphicFrameLocks noChangeAspect="1"/>
            </wp:cNvGraphicFramePr>
            <a:graphic>
              <a:graphicData uri="http://schemas.openxmlformats.org/drawingml/2006/picture">
                <pic:pic>
                  <pic:nvPicPr>
                    <pic:cNvPr id="0" name="random_forest_feature_importance.png"/>
                    <pic:cNvPicPr/>
                  </pic:nvPicPr>
                  <pic:blipFill>
                    <a:blip r:embed="rId14"/>
                    <a:stretch>
                      <a:fillRect/>
                    </a:stretch>
                  </pic:blipFill>
                  <pic:spPr>
                    <a:xfrm>
                      <a:off x="0" y="0"/>
                      <a:ext cx="5577840" cy="3671490"/>
                    </a:xfrm>
                    <a:prstGeom prst="rect"/>
                  </pic:spPr>
                </pic:pic>
              </a:graphicData>
            </a:graphic>
          </wp:inline>
        </w:drawing>
      </w:r>
    </w:p>
    <w:p>
      <w:pPr>
        <w:spacing w:before="60" w:after="160"/>
        <w:jc w:val="center"/>
      </w:pPr>
      <w:r>
        <w:rPr>
          <w:rFonts w:ascii="Calibri" w:hAnsi="Calibri"/>
          <w:b w:val="0"/>
          <w:i/>
          <w:color w:val="5A6470"/>
          <w:sz w:val="18"/>
        </w:rPr>
        <w:t>Figure 4. Random Forest mean-decrease-in-impurity feature importance.</w:t>
      </w:r>
    </w:p>
    <w:p>
      <w:pPr>
        <w:spacing w:after="120" w:line="264" w:lineRule="auto"/>
      </w:pPr>
      <w:r>
        <w:rPr>
          <w:rFonts w:ascii="Calibri" w:hAnsi="Calibri"/>
          <w:b w:val="0"/>
          <w:i w:val="0"/>
          <w:sz w:val="22"/>
        </w:rPr>
        <w:t>Spectral entropy and spectral bandwidth are the leading features, followed by Q variation, FFT peak magnitude, and I/Q correlation. Mean amplitude contributes very little, matching the earlier observation that RadioML normalizes average magnitude. Importance values are diagnostic rather than causal: correlated measurements such as RMS amplitude and mean power can divide importance between themselves.</w:t>
      </w:r>
    </w:p>
    <w:p>
      <w:r>
        <w:br w:type="page"/>
      </w:r>
    </w:p>
    <w:p>
      <w:pPr>
        <w:pStyle w:val="Heading1"/>
      </w:pPr>
      <w:r>
        <w:t>5. Anomaly detection</w:t>
      </w:r>
    </w:p>
    <w:p>
      <w:pPr>
        <w:spacing w:after="120" w:line="264" w:lineRule="auto"/>
      </w:pPr>
      <w:r>
        <w:rPr>
          <w:rFonts w:ascii="Calibri" w:hAnsi="Calibri"/>
          <w:b w:val="0"/>
          <w:i w:val="0"/>
          <w:sz w:val="22"/>
        </w:rPr>
        <w:t>Isolation Forest was trained on a reproducible sample of 50,000 ordinary training examples using the same 15 features. It was not given modulation labels or anomaly labels. The detector returns a decision score: positive values are treated as normal and negative values as anomalous. A contamination setting of 2% establishes the operating threshold.</w:t>
      </w:r>
    </w:p>
    <w:tbl>
      <w:tblPr>
        <w:tblStyle w:val="TableGrid"/>
        <w:tblW w:type="dxa" w:w="9360"/>
        <w:jc w:val="left"/>
        <w:tblLayout w:type="fixed"/>
        <w:tblLook w:firstColumn="1" w:firstRow="1" w:lastColumn="0" w:lastRow="0" w:noHBand="0" w:noVBand="1" w:val="04A0"/>
        <w:tblInd w:w="120" w:type="dxa"/>
      </w:tblPr>
      <w:tblGrid>
        <w:gridCol w:w="2800"/>
        <w:gridCol w:w="1500"/>
        <w:gridCol w:w="1900"/>
        <w:gridCol w:w="3160"/>
      </w:tblGrid>
      <w:tr>
        <w:tc>
          <w:tcPr>
            <w:tcW w:type="dxa" w:w="2800"/>
            <w:shd w:fill="E8EEF5"/>
            <w:vAlign w:val="center"/>
            <w:tcMar>
              <w:top w:w="80" w:type="dxa"/>
              <w:start w:w="120" w:type="dxa"/>
              <w:bottom w:w="80" w:type="dxa"/>
              <w:end w:w="120" w:type="dxa"/>
            </w:tcMar>
          </w:tcPr>
          <w:p>
            <w:r>
              <w:rPr>
                <w:rFonts w:ascii="Calibri" w:hAnsi="Calibri"/>
                <w:b/>
                <w:i w:val="0"/>
                <w:color w:val="0B2545"/>
                <w:sz w:val="20"/>
              </w:rPr>
              <w:t>Test group</w:t>
            </w:r>
          </w:p>
        </w:tc>
        <w:tc>
          <w:tcPr>
            <w:tcW w:type="dxa" w:w="1500"/>
            <w:shd w:fill="E8EEF5"/>
            <w:vAlign w:val="center"/>
            <w:tcMar>
              <w:top w:w="80" w:type="dxa"/>
              <w:start w:w="120" w:type="dxa"/>
              <w:bottom w:w="80" w:type="dxa"/>
              <w:end w:w="120" w:type="dxa"/>
            </w:tcMar>
          </w:tcPr>
          <w:p>
            <w:r>
              <w:rPr>
                <w:rFonts w:ascii="Calibri" w:hAnsi="Calibri"/>
                <w:b/>
                <w:i w:val="0"/>
                <w:color w:val="0B2545"/>
                <w:sz w:val="20"/>
              </w:rPr>
              <w:t>Mean score</w:t>
            </w:r>
          </w:p>
        </w:tc>
        <w:tc>
          <w:tcPr>
            <w:tcW w:type="dxa" w:w="1900"/>
            <w:shd w:fill="E8EEF5"/>
            <w:vAlign w:val="center"/>
            <w:tcMar>
              <w:top w:w="80" w:type="dxa"/>
              <w:start w:w="120" w:type="dxa"/>
              <w:bottom w:w="80" w:type="dxa"/>
              <w:end w:w="120" w:type="dxa"/>
            </w:tcMar>
          </w:tcPr>
          <w:p>
            <w:r>
              <w:rPr>
                <w:rFonts w:ascii="Calibri" w:hAnsi="Calibri"/>
                <w:b/>
                <w:i w:val="0"/>
                <w:color w:val="0B2545"/>
                <w:sz w:val="20"/>
              </w:rPr>
              <w:t>Flagged anomalous</w:t>
            </w:r>
          </w:p>
        </w:tc>
        <w:tc>
          <w:tcPr>
            <w:tcW w:type="dxa" w:w="3160"/>
            <w:shd w:fill="E8EEF5"/>
            <w:vAlign w:val="center"/>
            <w:tcMar>
              <w:top w:w="80" w:type="dxa"/>
              <w:start w:w="120" w:type="dxa"/>
              <w:bottom w:w="80" w:type="dxa"/>
              <w:end w:w="120" w:type="dxa"/>
            </w:tcMar>
          </w:tcPr>
          <w:p>
            <w:r>
              <w:rPr>
                <w:rFonts w:ascii="Calibri" w:hAnsi="Calibri"/>
                <w:b/>
                <w:i w:val="0"/>
                <w:color w:val="0B2545"/>
                <w:sz w:val="20"/>
              </w:rPr>
              <w:t>Result</w:t>
            </w:r>
          </w:p>
        </w:tc>
      </w:tr>
      <w:tr>
        <w:tc>
          <w:tcPr>
            <w:tcW w:type="dxa" w:w="2800"/>
            <w:vAlign w:val="center"/>
            <w:tcMar>
              <w:top w:w="80" w:type="dxa"/>
              <w:start w:w="120" w:type="dxa"/>
              <w:bottom w:w="80" w:type="dxa"/>
              <w:end w:w="120" w:type="dxa"/>
            </w:tcMar>
          </w:tcPr>
          <w:p>
            <w:r>
              <w:rPr>
                <w:rFonts w:ascii="Calibri" w:hAnsi="Calibri"/>
                <w:b w:val="0"/>
                <w:i w:val="0"/>
                <w:sz w:val="19"/>
              </w:rPr>
              <w:t>Normal high-SNR signals</w:t>
            </w:r>
          </w:p>
        </w:tc>
        <w:tc>
          <w:tcPr>
            <w:tcW w:type="dxa" w:w="1500"/>
            <w:vAlign w:val="center"/>
            <w:tcMar>
              <w:top w:w="80" w:type="dxa"/>
              <w:start w:w="120" w:type="dxa"/>
              <w:bottom w:w="80" w:type="dxa"/>
              <w:end w:w="120" w:type="dxa"/>
            </w:tcMar>
          </w:tcPr>
          <w:p>
            <w:pPr>
              <w:jc w:val="center"/>
            </w:pPr>
            <w:r>
              <w:rPr>
                <w:rFonts w:ascii="Calibri" w:hAnsi="Calibri"/>
                <w:b w:val="0"/>
                <w:i w:val="0"/>
                <w:sz w:val="19"/>
              </w:rPr>
              <w:t>+0.087</w:t>
            </w:r>
          </w:p>
        </w:tc>
        <w:tc>
          <w:tcPr>
            <w:tcW w:type="dxa" w:w="1900"/>
            <w:vAlign w:val="center"/>
            <w:tcMar>
              <w:top w:w="80" w:type="dxa"/>
              <w:start w:w="120" w:type="dxa"/>
              <w:bottom w:w="80" w:type="dxa"/>
              <w:end w:w="120" w:type="dxa"/>
            </w:tcMar>
          </w:tcPr>
          <w:p>
            <w:pPr>
              <w:jc w:val="center"/>
            </w:pPr>
            <w:r>
              <w:rPr>
                <w:rFonts w:ascii="Calibri" w:hAnsi="Calibri"/>
                <w:b w:val="0"/>
                <w:i w:val="0"/>
                <w:sz w:val="19"/>
              </w:rPr>
              <w:t>3.3%</w:t>
            </w:r>
          </w:p>
        </w:tc>
        <w:tc>
          <w:tcPr>
            <w:tcW w:type="dxa" w:w="3160"/>
            <w:vAlign w:val="center"/>
            <w:tcMar>
              <w:top w:w="80" w:type="dxa"/>
              <w:start w:w="120" w:type="dxa"/>
              <w:bottom w:w="80" w:type="dxa"/>
              <w:end w:w="120" w:type="dxa"/>
            </w:tcMar>
          </w:tcPr>
          <w:p>
            <w:r>
              <w:rPr>
                <w:rFonts w:ascii="Calibri" w:hAnsi="Calibri"/>
                <w:b w:val="0"/>
                <w:i w:val="0"/>
                <w:sz w:val="19"/>
              </w:rPr>
              <w:t>Low false-positive rate</w:t>
            </w:r>
          </w:p>
        </w:tc>
      </w:tr>
      <w:tr>
        <w:tc>
          <w:tcPr>
            <w:tcW w:type="dxa" w:w="2800"/>
            <w:vAlign w:val="center"/>
            <w:tcMar>
              <w:top w:w="80" w:type="dxa"/>
              <w:start w:w="120" w:type="dxa"/>
              <w:bottom w:w="80" w:type="dxa"/>
              <w:end w:w="120" w:type="dxa"/>
            </w:tcMar>
          </w:tcPr>
          <w:p>
            <w:r>
              <w:rPr>
                <w:rFonts w:ascii="Calibri" w:hAnsi="Calibri"/>
                <w:b w:val="0"/>
                <w:i w:val="0"/>
                <w:sz w:val="19"/>
              </w:rPr>
              <w:t>Strong added noise</w:t>
            </w:r>
          </w:p>
        </w:tc>
        <w:tc>
          <w:tcPr>
            <w:tcW w:type="dxa" w:w="1500"/>
            <w:vAlign w:val="center"/>
            <w:tcMar>
              <w:top w:w="80" w:type="dxa"/>
              <w:start w:w="120" w:type="dxa"/>
              <w:bottom w:w="80" w:type="dxa"/>
              <w:end w:w="120" w:type="dxa"/>
            </w:tcMar>
          </w:tcPr>
          <w:p>
            <w:pPr>
              <w:jc w:val="center"/>
            </w:pPr>
            <w:r>
              <w:rPr>
                <w:rFonts w:ascii="Calibri" w:hAnsi="Calibri"/>
                <w:b w:val="0"/>
                <w:i w:val="0"/>
                <w:sz w:val="19"/>
              </w:rPr>
              <w:t>-0.094</w:t>
            </w:r>
          </w:p>
        </w:tc>
        <w:tc>
          <w:tcPr>
            <w:tcW w:type="dxa" w:w="1900"/>
            <w:vAlign w:val="center"/>
            <w:tcMar>
              <w:top w:w="80" w:type="dxa"/>
              <w:start w:w="120" w:type="dxa"/>
              <w:bottom w:w="80" w:type="dxa"/>
              <w:end w:w="120" w:type="dxa"/>
            </w:tcMar>
          </w:tcPr>
          <w:p>
            <w:pPr>
              <w:jc w:val="center"/>
            </w:pPr>
            <w:r>
              <w:rPr>
                <w:rFonts w:ascii="Calibri" w:hAnsi="Calibri"/>
                <w:b w:val="0"/>
                <w:i w:val="0"/>
                <w:sz w:val="19"/>
              </w:rPr>
              <w:t>100.0%</w:t>
            </w:r>
          </w:p>
        </w:tc>
        <w:tc>
          <w:tcPr>
            <w:tcW w:type="dxa" w:w="3160"/>
            <w:vAlign w:val="center"/>
            <w:tcMar>
              <w:top w:w="80" w:type="dxa"/>
              <w:start w:w="120" w:type="dxa"/>
              <w:bottom w:w="80" w:type="dxa"/>
              <w:end w:w="120" w:type="dxa"/>
            </w:tcMar>
          </w:tcPr>
          <w:p>
            <w:pPr>
              <w:jc w:val="center"/>
            </w:pPr>
            <w:r>
              <w:rPr>
                <w:rFonts w:ascii="Calibri" w:hAnsi="Calibri"/>
                <w:b w:val="0"/>
                <w:i w:val="0"/>
                <w:sz w:val="19"/>
              </w:rPr>
              <w:t>Detected</w:t>
            </w:r>
          </w:p>
        </w:tc>
      </w:tr>
      <w:tr>
        <w:tc>
          <w:tcPr>
            <w:tcW w:type="dxa" w:w="2800"/>
            <w:vAlign w:val="center"/>
            <w:tcMar>
              <w:top w:w="80" w:type="dxa"/>
              <w:start w:w="120" w:type="dxa"/>
              <w:bottom w:w="80" w:type="dxa"/>
              <w:end w:w="120" w:type="dxa"/>
            </w:tcMar>
          </w:tcPr>
          <w:p>
            <w:r>
              <w:rPr>
                <w:rFonts w:ascii="Calibri" w:hAnsi="Calibri"/>
                <w:b w:val="0"/>
                <w:i w:val="0"/>
                <w:sz w:val="19"/>
              </w:rPr>
              <w:t>Threefold amplitude</w:t>
            </w:r>
          </w:p>
        </w:tc>
        <w:tc>
          <w:tcPr>
            <w:tcW w:type="dxa" w:w="1500"/>
            <w:vAlign w:val="center"/>
            <w:tcMar>
              <w:top w:w="80" w:type="dxa"/>
              <w:start w:w="120" w:type="dxa"/>
              <w:bottom w:w="80" w:type="dxa"/>
              <w:end w:w="120" w:type="dxa"/>
            </w:tcMar>
          </w:tcPr>
          <w:p>
            <w:pPr>
              <w:jc w:val="center"/>
            </w:pPr>
            <w:r>
              <w:rPr>
                <w:rFonts w:ascii="Calibri" w:hAnsi="Calibri"/>
                <w:b w:val="0"/>
                <w:i w:val="0"/>
                <w:sz w:val="19"/>
              </w:rPr>
              <w:t>-0.105</w:t>
            </w:r>
          </w:p>
        </w:tc>
        <w:tc>
          <w:tcPr>
            <w:tcW w:type="dxa" w:w="1900"/>
            <w:vAlign w:val="center"/>
            <w:tcMar>
              <w:top w:w="80" w:type="dxa"/>
              <w:start w:w="120" w:type="dxa"/>
              <w:bottom w:w="80" w:type="dxa"/>
              <w:end w:w="120" w:type="dxa"/>
            </w:tcMar>
          </w:tcPr>
          <w:p>
            <w:pPr>
              <w:jc w:val="center"/>
            </w:pPr>
            <w:r>
              <w:rPr>
                <w:rFonts w:ascii="Calibri" w:hAnsi="Calibri"/>
                <w:b w:val="0"/>
                <w:i w:val="0"/>
                <w:sz w:val="19"/>
              </w:rPr>
              <w:t>100.0%</w:t>
            </w:r>
          </w:p>
        </w:tc>
        <w:tc>
          <w:tcPr>
            <w:tcW w:type="dxa" w:w="3160"/>
            <w:vAlign w:val="center"/>
            <w:tcMar>
              <w:top w:w="80" w:type="dxa"/>
              <w:start w:w="120" w:type="dxa"/>
              <w:bottom w:w="80" w:type="dxa"/>
              <w:end w:w="120" w:type="dxa"/>
            </w:tcMar>
          </w:tcPr>
          <w:p>
            <w:pPr>
              <w:jc w:val="center"/>
            </w:pPr>
            <w:r>
              <w:rPr>
                <w:rFonts w:ascii="Calibri" w:hAnsi="Calibri"/>
                <w:b w:val="0"/>
                <w:i w:val="0"/>
                <w:sz w:val="19"/>
              </w:rPr>
              <w:t>Detected</w:t>
            </w:r>
          </w:p>
        </w:tc>
      </w:tr>
      <w:tr>
        <w:tc>
          <w:tcPr>
            <w:tcW w:type="dxa" w:w="2800"/>
            <w:vAlign w:val="center"/>
            <w:tcMar>
              <w:top w:w="80" w:type="dxa"/>
              <w:start w:w="120" w:type="dxa"/>
              <w:bottom w:w="80" w:type="dxa"/>
              <w:end w:w="120" w:type="dxa"/>
            </w:tcMar>
          </w:tcPr>
          <w:p>
            <w:r>
              <w:rPr>
                <w:rFonts w:ascii="Calibri" w:hAnsi="Calibri"/>
                <w:b w:val="0"/>
                <w:i w:val="0"/>
                <w:sz w:val="19"/>
              </w:rPr>
              <w:t>Frequency offset</w:t>
            </w:r>
          </w:p>
        </w:tc>
        <w:tc>
          <w:tcPr>
            <w:tcW w:type="dxa" w:w="1500"/>
            <w:vAlign w:val="center"/>
            <w:tcMar>
              <w:top w:w="80" w:type="dxa"/>
              <w:start w:w="120" w:type="dxa"/>
              <w:bottom w:w="80" w:type="dxa"/>
              <w:end w:w="120" w:type="dxa"/>
            </w:tcMar>
          </w:tcPr>
          <w:p>
            <w:pPr>
              <w:jc w:val="center"/>
            </w:pPr>
            <w:r>
              <w:rPr>
                <w:rFonts w:ascii="Calibri" w:hAnsi="Calibri"/>
                <w:b w:val="0"/>
                <w:i w:val="0"/>
                <w:sz w:val="19"/>
              </w:rPr>
              <w:t>+0.076</w:t>
            </w:r>
          </w:p>
        </w:tc>
        <w:tc>
          <w:tcPr>
            <w:tcW w:type="dxa" w:w="1900"/>
            <w:vAlign w:val="center"/>
            <w:tcMar>
              <w:top w:w="80" w:type="dxa"/>
              <w:start w:w="120" w:type="dxa"/>
              <w:bottom w:w="80" w:type="dxa"/>
              <w:end w:w="120" w:type="dxa"/>
            </w:tcMar>
          </w:tcPr>
          <w:p>
            <w:pPr>
              <w:jc w:val="center"/>
            </w:pPr>
            <w:r>
              <w:rPr>
                <w:rFonts w:ascii="Calibri" w:hAnsi="Calibri"/>
                <w:b w:val="0"/>
                <w:i w:val="0"/>
                <w:sz w:val="19"/>
              </w:rPr>
              <w:t>2.7%</w:t>
            </w:r>
          </w:p>
        </w:tc>
        <w:tc>
          <w:tcPr>
            <w:tcW w:type="dxa" w:w="3160"/>
            <w:vAlign w:val="center"/>
            <w:tcMar>
              <w:top w:w="80" w:type="dxa"/>
              <w:start w:w="120" w:type="dxa"/>
              <w:bottom w:w="80" w:type="dxa"/>
              <w:end w:w="120" w:type="dxa"/>
            </w:tcMar>
          </w:tcPr>
          <w:p>
            <w:pPr>
              <w:jc w:val="center"/>
            </w:pPr>
            <w:r>
              <w:rPr>
                <w:rFonts w:ascii="Calibri" w:hAnsi="Calibri"/>
                <w:b w:val="0"/>
                <w:i w:val="0"/>
                <w:sz w:val="19"/>
              </w:rPr>
              <w:t>Mostly missed</w:t>
            </w:r>
          </w:p>
        </w:tc>
      </w:tr>
    </w:tbl>
    <w:p>
      <w:pPr>
        <w:spacing w:after="40"/>
      </w:pPr>
    </w:p>
    <w:p>
      <w:pPr>
        <w:keepNext/>
        <w:jc w:val="center"/>
      </w:pPr>
      <w:r>
        <w:drawing>
          <wp:inline xmlns:a="http://schemas.openxmlformats.org/drawingml/2006/main" xmlns:pic="http://schemas.openxmlformats.org/drawingml/2006/picture">
            <wp:extent cx="5715000" cy="2803312"/>
            <wp:docPr id="5" name="Picture 5"/>
            <wp:cNvGraphicFramePr>
              <a:graphicFrameLocks noChangeAspect="1"/>
            </wp:cNvGraphicFramePr>
            <a:graphic>
              <a:graphicData uri="http://schemas.openxmlformats.org/drawingml/2006/picture">
                <pic:pic>
                  <pic:nvPicPr>
                    <pic:cNvPr id="0" name="anomaly_scores.png"/>
                    <pic:cNvPicPr/>
                  </pic:nvPicPr>
                  <pic:blipFill>
                    <a:blip r:embed="rId15"/>
                    <a:stretch>
                      <a:fillRect/>
                    </a:stretch>
                  </pic:blipFill>
                  <pic:spPr>
                    <a:xfrm>
                      <a:off x="0" y="0"/>
                      <a:ext cx="5715000" cy="2803312"/>
                    </a:xfrm>
                    <a:prstGeom prst="rect"/>
                  </pic:spPr>
                </pic:pic>
              </a:graphicData>
            </a:graphic>
          </wp:inline>
        </w:drawing>
      </w:r>
    </w:p>
    <w:p>
      <w:pPr>
        <w:spacing w:before="60" w:after="160"/>
        <w:jc w:val="center"/>
      </w:pPr>
      <w:r>
        <w:rPr>
          <w:rFonts w:ascii="Calibri" w:hAnsi="Calibri"/>
          <w:b w:val="0"/>
          <w:i/>
          <w:color w:val="5A6470"/>
          <w:sz w:val="18"/>
        </w:rPr>
        <w:t>Figure 5. Isolation Forest score distributions. The dashed line marks the decision threshold.</w:t>
      </w:r>
    </w:p>
    <w:p>
      <w:pPr>
        <w:pStyle w:val="Heading2"/>
      </w:pPr>
      <w:r>
        <w:t>Interpretation</w:t>
      </w:r>
    </w:p>
    <w:p>
      <w:pPr>
        <w:spacing w:after="120" w:line="264" w:lineRule="auto"/>
      </w:pPr>
      <w:r>
        <w:rPr>
          <w:rFonts w:ascii="Calibri" w:hAnsi="Calibri"/>
          <w:b w:val="0"/>
          <w:i w:val="0"/>
          <w:sz w:val="22"/>
        </w:rPr>
        <w:t>Added noise and amplitude scaling move several features outside the training distribution, so they are isolated reliably. A pure frequency shift mainly changes spectral centroid while preserving amplitude, power, entropy, and bandwidth. The detector therefore accepts most shifted signals. In a practical spectrum-monitoring system, this unsupervised detector should be paired with explicit allowed-channel or carrier-frequency rules.</w:t>
      </w:r>
    </w:p>
    <w:p>
      <w:r>
        <w:br w:type="page"/>
      </w:r>
    </w:p>
    <w:p>
      <w:pPr>
        <w:pStyle w:val="Heading1"/>
      </w:pPr>
      <w:r>
        <w:t>6. Inference and application</w:t>
      </w:r>
    </w:p>
    <w:p>
      <w:pPr>
        <w:spacing w:after="120" w:line="264" w:lineRule="auto"/>
      </w:pPr>
      <w:r>
        <w:rPr>
          <w:rFonts w:ascii="Calibri" w:hAnsi="Calibri"/>
          <w:b w:val="0"/>
          <w:i w:val="0"/>
          <w:sz w:val="22"/>
        </w:rPr>
        <w:t>The reusable predict_signal(iq_signal, snr) function validates a (2, 128) input, extracts features, invokes the Random Forest classifier, obtains its maximum class probability, calculates an Isolation Forest decision score, and returns one dictionary. SNR is returned as context but is not provided to either model.</w:t>
      </w:r>
    </w:p>
    <w:tbl>
      <w:tblPr>
        <w:tblStyle w:val="TableGrid"/>
        <w:tblW w:type="dxa" w:w="9360"/>
        <w:jc w:val="left"/>
        <w:tblLayout w:type="fixed"/>
        <w:tblLook w:firstColumn="1" w:firstRow="1" w:lastColumn="0" w:lastRow="0" w:noHBand="0" w:noVBand="1" w:val="04A0"/>
        <w:tblInd w:w="120" w:type="dxa"/>
      </w:tblPr>
      <w:tblGrid>
        <w:gridCol w:w="2900"/>
        <w:gridCol w:w="6460"/>
      </w:tblGrid>
      <w:tr>
        <w:tc>
          <w:tcPr>
            <w:tcW w:type="dxa" w:w="2900"/>
            <w:shd w:fill="E8EEF5"/>
            <w:vAlign w:val="center"/>
            <w:tcMar>
              <w:top w:w="80" w:type="dxa"/>
              <w:start w:w="120" w:type="dxa"/>
              <w:bottom w:w="80" w:type="dxa"/>
              <w:end w:w="120" w:type="dxa"/>
            </w:tcMar>
          </w:tcPr>
          <w:p>
            <w:r>
              <w:rPr>
                <w:rFonts w:ascii="Calibri" w:hAnsi="Calibri"/>
                <w:b/>
                <w:i w:val="0"/>
                <w:color w:val="0B2545"/>
                <w:sz w:val="20"/>
              </w:rPr>
              <w:t>Output field</w:t>
            </w:r>
          </w:p>
        </w:tc>
        <w:tc>
          <w:tcPr>
            <w:tcW w:type="dxa" w:w="6460"/>
            <w:shd w:fill="E8EEF5"/>
            <w:vAlign w:val="center"/>
            <w:tcMar>
              <w:top w:w="80" w:type="dxa"/>
              <w:start w:w="120" w:type="dxa"/>
              <w:bottom w:w="80" w:type="dxa"/>
              <w:end w:w="120" w:type="dxa"/>
            </w:tcMar>
          </w:tcPr>
          <w:p>
            <w:r>
              <w:rPr>
                <w:rFonts w:ascii="Calibri" w:hAnsi="Calibri"/>
                <w:b/>
                <w:i w:val="0"/>
                <w:color w:val="0B2545"/>
                <w:sz w:val="20"/>
              </w:rPr>
              <w:t>Meaning</w:t>
            </w:r>
          </w:p>
        </w:tc>
      </w:tr>
      <w:tr>
        <w:tc>
          <w:tcPr>
            <w:tcW w:type="dxa" w:w="2900"/>
            <w:vAlign w:val="center"/>
            <w:tcMar>
              <w:top w:w="80" w:type="dxa"/>
              <w:start w:w="120" w:type="dxa"/>
              <w:bottom w:w="80" w:type="dxa"/>
              <w:end w:w="120" w:type="dxa"/>
            </w:tcMar>
          </w:tcPr>
          <w:p>
            <w:r>
              <w:rPr>
                <w:rFonts w:ascii="Calibri" w:hAnsi="Calibri"/>
                <w:b w:val="0"/>
                <w:i w:val="0"/>
                <w:sz w:val="19"/>
              </w:rPr>
              <w:t>predicted_modulation</w:t>
            </w:r>
          </w:p>
        </w:tc>
        <w:tc>
          <w:tcPr>
            <w:tcW w:type="dxa" w:w="6460"/>
            <w:vAlign w:val="center"/>
            <w:tcMar>
              <w:top w:w="80" w:type="dxa"/>
              <w:start w:w="120" w:type="dxa"/>
              <w:bottom w:w="80" w:type="dxa"/>
              <w:end w:w="120" w:type="dxa"/>
            </w:tcMar>
          </w:tcPr>
          <w:p>
            <w:r>
              <w:rPr>
                <w:rFonts w:ascii="Calibri" w:hAnsi="Calibri"/>
                <w:b w:val="0"/>
                <w:i w:val="0"/>
                <w:sz w:val="19"/>
              </w:rPr>
              <w:t>Winning Random Forest class</w:t>
            </w:r>
          </w:p>
        </w:tc>
      </w:tr>
      <w:tr>
        <w:tc>
          <w:tcPr>
            <w:tcW w:type="dxa" w:w="2900"/>
            <w:vAlign w:val="center"/>
            <w:tcMar>
              <w:top w:w="80" w:type="dxa"/>
              <w:start w:w="120" w:type="dxa"/>
              <w:bottom w:w="80" w:type="dxa"/>
              <w:end w:w="120" w:type="dxa"/>
            </w:tcMar>
          </w:tcPr>
          <w:p>
            <w:r>
              <w:rPr>
                <w:rFonts w:ascii="Calibri" w:hAnsi="Calibri"/>
                <w:b w:val="0"/>
                <w:i w:val="0"/>
                <w:sz w:val="19"/>
              </w:rPr>
              <w:t>confidence</w:t>
            </w:r>
          </w:p>
        </w:tc>
        <w:tc>
          <w:tcPr>
            <w:tcW w:type="dxa" w:w="6460"/>
            <w:vAlign w:val="center"/>
            <w:tcMar>
              <w:top w:w="80" w:type="dxa"/>
              <w:start w:w="120" w:type="dxa"/>
              <w:bottom w:w="80" w:type="dxa"/>
              <w:end w:w="120" w:type="dxa"/>
            </w:tcMar>
          </w:tcPr>
          <w:p>
            <w:r>
              <w:rPr>
                <w:rFonts w:ascii="Calibri" w:hAnsi="Calibri"/>
                <w:b w:val="0"/>
                <w:i w:val="0"/>
                <w:sz w:val="19"/>
              </w:rPr>
              <w:t>Largest predicted class probability; not formally calibrated</w:t>
            </w:r>
          </w:p>
        </w:tc>
      </w:tr>
      <w:tr>
        <w:tc>
          <w:tcPr>
            <w:tcW w:type="dxa" w:w="2900"/>
            <w:vAlign w:val="center"/>
            <w:tcMar>
              <w:top w:w="80" w:type="dxa"/>
              <w:start w:w="120" w:type="dxa"/>
              <w:bottom w:w="80" w:type="dxa"/>
              <w:end w:w="120" w:type="dxa"/>
            </w:tcMar>
          </w:tcPr>
          <w:p>
            <w:r>
              <w:rPr>
                <w:rFonts w:ascii="Calibri" w:hAnsi="Calibri"/>
                <w:b w:val="0"/>
                <w:i w:val="0"/>
                <w:sz w:val="19"/>
              </w:rPr>
              <w:t>anomaly_score</w:t>
            </w:r>
          </w:p>
        </w:tc>
        <w:tc>
          <w:tcPr>
            <w:tcW w:type="dxa" w:w="6460"/>
            <w:vAlign w:val="center"/>
            <w:tcMar>
              <w:top w:w="80" w:type="dxa"/>
              <w:start w:w="120" w:type="dxa"/>
              <w:bottom w:w="80" w:type="dxa"/>
              <w:end w:w="120" w:type="dxa"/>
            </w:tcMar>
          </w:tcPr>
          <w:p>
            <w:r>
              <w:rPr>
                <w:rFonts w:ascii="Calibri" w:hAnsi="Calibri"/>
                <w:b w:val="0"/>
                <w:i w:val="0"/>
                <w:sz w:val="19"/>
              </w:rPr>
              <w:t>Isolation Forest decision score</w:t>
            </w:r>
          </w:p>
        </w:tc>
      </w:tr>
      <w:tr>
        <w:tc>
          <w:tcPr>
            <w:tcW w:type="dxa" w:w="2900"/>
            <w:vAlign w:val="center"/>
            <w:tcMar>
              <w:top w:w="80" w:type="dxa"/>
              <w:start w:w="120" w:type="dxa"/>
              <w:bottom w:w="80" w:type="dxa"/>
              <w:end w:w="120" w:type="dxa"/>
            </w:tcMar>
          </w:tcPr>
          <w:p>
            <w:r>
              <w:rPr>
                <w:rFonts w:ascii="Calibri" w:hAnsi="Calibri"/>
                <w:b w:val="0"/>
                <w:i w:val="0"/>
                <w:sz w:val="19"/>
              </w:rPr>
              <w:t>is_anomaly</w:t>
            </w:r>
          </w:p>
        </w:tc>
        <w:tc>
          <w:tcPr>
            <w:tcW w:type="dxa" w:w="6460"/>
            <w:vAlign w:val="center"/>
            <w:tcMar>
              <w:top w:w="80" w:type="dxa"/>
              <w:start w:w="120" w:type="dxa"/>
              <w:bottom w:w="80" w:type="dxa"/>
              <w:end w:w="120" w:type="dxa"/>
            </w:tcMar>
          </w:tcPr>
          <w:p>
            <w:r>
              <w:rPr>
                <w:rFonts w:ascii="Calibri" w:hAnsi="Calibri"/>
                <w:b w:val="0"/>
                <w:i w:val="0"/>
                <w:sz w:val="19"/>
              </w:rPr>
              <w:t>True when the anomaly prediction is -1</w:t>
            </w:r>
          </w:p>
        </w:tc>
      </w:tr>
      <w:tr>
        <w:tc>
          <w:tcPr>
            <w:tcW w:type="dxa" w:w="2900"/>
            <w:vAlign w:val="center"/>
            <w:tcMar>
              <w:top w:w="80" w:type="dxa"/>
              <w:start w:w="120" w:type="dxa"/>
              <w:bottom w:w="80" w:type="dxa"/>
              <w:end w:w="120" w:type="dxa"/>
            </w:tcMar>
          </w:tcPr>
          <w:p>
            <w:r>
              <w:rPr>
                <w:rFonts w:ascii="Calibri" w:hAnsi="Calibri"/>
                <w:b w:val="0"/>
                <w:i w:val="0"/>
                <w:sz w:val="19"/>
              </w:rPr>
              <w:t>snr_db</w:t>
            </w:r>
          </w:p>
        </w:tc>
        <w:tc>
          <w:tcPr>
            <w:tcW w:type="dxa" w:w="6460"/>
            <w:vAlign w:val="center"/>
            <w:tcMar>
              <w:top w:w="80" w:type="dxa"/>
              <w:start w:w="120" w:type="dxa"/>
              <w:bottom w:w="80" w:type="dxa"/>
              <w:end w:w="120" w:type="dxa"/>
            </w:tcMar>
          </w:tcPr>
          <w:p>
            <w:r>
              <w:rPr>
                <w:rFonts w:ascii="Calibri" w:hAnsi="Calibri"/>
                <w:b w:val="0"/>
                <w:i w:val="0"/>
                <w:sz w:val="19"/>
              </w:rPr>
              <w:t>Measurement context returned to the caller</w:t>
            </w:r>
          </w:p>
        </w:tc>
      </w:tr>
    </w:tbl>
    <w:p>
      <w:pPr>
        <w:spacing w:after="40"/>
      </w:pPr>
    </w:p>
    <w:p>
      <w:pPr>
        <w:pStyle w:val="Heading2"/>
      </w:pPr>
      <w:r>
        <w:t>Example behavior</w:t>
      </w:r>
    </w:p>
    <w:tbl>
      <w:tblPr>
        <w:tblStyle w:val="TableGrid"/>
        <w:tblW w:type="dxa" w:w="9360"/>
        <w:jc w:val="left"/>
        <w:tblLayout w:type="fixed"/>
        <w:tblLook w:firstColumn="1" w:firstRow="1" w:lastColumn="0" w:lastRow="0" w:noHBand="0" w:noVBand="1" w:val="04A0"/>
        <w:tblInd w:w="120" w:type="dxa"/>
      </w:tblPr>
      <w:tblGrid>
        <w:gridCol w:w="2600"/>
        <w:gridCol w:w="1900"/>
        <w:gridCol w:w="1700"/>
        <w:gridCol w:w="3160"/>
      </w:tblGrid>
      <w:tr>
        <w:tc>
          <w:tcPr>
            <w:tcW w:type="dxa" w:w="2600"/>
            <w:shd w:fill="E8EEF5"/>
            <w:vAlign w:val="center"/>
            <w:tcMar>
              <w:top w:w="80" w:type="dxa"/>
              <w:start w:w="120" w:type="dxa"/>
              <w:bottom w:w="80" w:type="dxa"/>
              <w:end w:w="120" w:type="dxa"/>
            </w:tcMar>
          </w:tcPr>
          <w:p>
            <w:r>
              <w:rPr>
                <w:rFonts w:ascii="Calibri" w:hAnsi="Calibri"/>
                <w:b/>
                <w:i w:val="0"/>
                <w:color w:val="0B2545"/>
                <w:sz w:val="20"/>
              </w:rPr>
              <w:t>Input</w:t>
            </w:r>
          </w:p>
        </w:tc>
        <w:tc>
          <w:tcPr>
            <w:tcW w:type="dxa" w:w="1900"/>
            <w:shd w:fill="E8EEF5"/>
            <w:vAlign w:val="center"/>
            <w:tcMar>
              <w:top w:w="80" w:type="dxa"/>
              <w:start w:w="120" w:type="dxa"/>
              <w:bottom w:w="80" w:type="dxa"/>
              <w:end w:w="120" w:type="dxa"/>
            </w:tcMar>
          </w:tcPr>
          <w:p>
            <w:r>
              <w:rPr>
                <w:rFonts w:ascii="Calibri" w:hAnsi="Calibri"/>
                <w:b/>
                <w:i w:val="0"/>
                <w:color w:val="0B2545"/>
                <w:sz w:val="20"/>
              </w:rPr>
              <w:t>Prediction</w:t>
            </w:r>
          </w:p>
        </w:tc>
        <w:tc>
          <w:tcPr>
            <w:tcW w:type="dxa" w:w="1700"/>
            <w:shd w:fill="E8EEF5"/>
            <w:vAlign w:val="center"/>
            <w:tcMar>
              <w:top w:w="80" w:type="dxa"/>
              <w:start w:w="120" w:type="dxa"/>
              <w:bottom w:w="80" w:type="dxa"/>
              <w:end w:w="120" w:type="dxa"/>
            </w:tcMar>
          </w:tcPr>
          <w:p>
            <w:r>
              <w:rPr>
                <w:rFonts w:ascii="Calibri" w:hAnsi="Calibri"/>
                <w:b/>
                <w:i w:val="0"/>
                <w:color w:val="0B2545"/>
                <w:sz w:val="20"/>
              </w:rPr>
              <w:t>Confidence</w:t>
            </w:r>
          </w:p>
        </w:tc>
        <w:tc>
          <w:tcPr>
            <w:tcW w:type="dxa" w:w="3160"/>
            <w:shd w:fill="E8EEF5"/>
            <w:vAlign w:val="center"/>
            <w:tcMar>
              <w:top w:w="80" w:type="dxa"/>
              <w:start w:w="120" w:type="dxa"/>
              <w:bottom w:w="80" w:type="dxa"/>
              <w:end w:w="120" w:type="dxa"/>
            </w:tcMar>
          </w:tcPr>
          <w:p>
            <w:r>
              <w:rPr>
                <w:rFonts w:ascii="Calibri" w:hAnsi="Calibri"/>
                <w:b/>
                <w:i w:val="0"/>
                <w:color w:val="0B2545"/>
                <w:sz w:val="20"/>
              </w:rPr>
              <w:t>Anomaly result</w:t>
            </w:r>
          </w:p>
        </w:tc>
      </w:tr>
      <w:tr>
        <w:tc>
          <w:tcPr>
            <w:tcW w:type="dxa" w:w="2600"/>
            <w:vAlign w:val="center"/>
            <w:tcMar>
              <w:top w:w="80" w:type="dxa"/>
              <w:start w:w="120" w:type="dxa"/>
              <w:bottom w:w="80" w:type="dxa"/>
              <w:end w:w="120" w:type="dxa"/>
            </w:tcMar>
          </w:tcPr>
          <w:p>
            <w:r>
              <w:rPr>
                <w:rFonts w:ascii="Calibri" w:hAnsi="Calibri"/>
                <w:b w:val="0"/>
                <w:i w:val="0"/>
                <w:sz w:val="19"/>
              </w:rPr>
              <w:t>QPSK at 18 dB</w:t>
            </w:r>
          </w:p>
        </w:tc>
        <w:tc>
          <w:tcPr>
            <w:tcW w:type="dxa" w:w="1900"/>
            <w:vAlign w:val="center"/>
            <w:tcMar>
              <w:top w:w="80" w:type="dxa"/>
              <w:start w:w="120" w:type="dxa"/>
              <w:bottom w:w="80" w:type="dxa"/>
              <w:end w:w="120" w:type="dxa"/>
            </w:tcMar>
          </w:tcPr>
          <w:p>
            <w:pPr>
              <w:jc w:val="center"/>
            </w:pPr>
            <w:r>
              <w:rPr>
                <w:rFonts w:ascii="Calibri" w:hAnsi="Calibri"/>
                <w:b w:val="0"/>
                <w:i w:val="0"/>
                <w:sz w:val="19"/>
              </w:rPr>
              <w:t>QPSK</w:t>
            </w:r>
          </w:p>
        </w:tc>
        <w:tc>
          <w:tcPr>
            <w:tcW w:type="dxa" w:w="1700"/>
            <w:vAlign w:val="center"/>
            <w:tcMar>
              <w:top w:w="80" w:type="dxa"/>
              <w:start w:w="120" w:type="dxa"/>
              <w:bottom w:w="80" w:type="dxa"/>
              <w:end w:w="120" w:type="dxa"/>
            </w:tcMar>
          </w:tcPr>
          <w:p>
            <w:pPr>
              <w:jc w:val="center"/>
            </w:pPr>
            <w:r>
              <w:rPr>
                <w:rFonts w:ascii="Calibri" w:hAnsi="Calibri"/>
                <w:b w:val="0"/>
                <w:i w:val="0"/>
                <w:sz w:val="19"/>
              </w:rPr>
              <w:t>59.7%</w:t>
            </w:r>
          </w:p>
        </w:tc>
        <w:tc>
          <w:tcPr>
            <w:tcW w:type="dxa" w:w="3160"/>
            <w:vAlign w:val="center"/>
            <w:tcMar>
              <w:top w:w="80" w:type="dxa"/>
              <w:start w:w="120" w:type="dxa"/>
              <w:bottom w:w="80" w:type="dxa"/>
              <w:end w:w="120" w:type="dxa"/>
            </w:tcMar>
          </w:tcPr>
          <w:p>
            <w:r>
              <w:rPr>
                <w:rFonts w:ascii="Calibri" w:hAnsi="Calibri"/>
                <w:b w:val="0"/>
                <w:i w:val="0"/>
                <w:sz w:val="19"/>
              </w:rPr>
              <w:t>Normal, score +0.137</w:t>
            </w:r>
          </w:p>
        </w:tc>
      </w:tr>
      <w:tr>
        <w:tc>
          <w:tcPr>
            <w:tcW w:type="dxa" w:w="2600"/>
            <w:vAlign w:val="center"/>
            <w:tcMar>
              <w:top w:w="80" w:type="dxa"/>
              <w:start w:w="120" w:type="dxa"/>
              <w:bottom w:w="80" w:type="dxa"/>
              <w:end w:w="120" w:type="dxa"/>
            </w:tcMar>
          </w:tcPr>
          <w:p>
            <w:r>
              <w:rPr>
                <w:rFonts w:ascii="Calibri" w:hAnsi="Calibri"/>
                <w:b w:val="0"/>
                <w:i w:val="0"/>
                <w:sz w:val="19"/>
              </w:rPr>
              <w:t>QAM16 at -20 dB</w:t>
            </w:r>
          </w:p>
        </w:tc>
        <w:tc>
          <w:tcPr>
            <w:tcW w:type="dxa" w:w="1900"/>
            <w:vAlign w:val="center"/>
            <w:tcMar>
              <w:top w:w="80" w:type="dxa"/>
              <w:start w:w="120" w:type="dxa"/>
              <w:bottom w:w="80" w:type="dxa"/>
              <w:end w:w="120" w:type="dxa"/>
            </w:tcMar>
          </w:tcPr>
          <w:p>
            <w:pPr>
              <w:jc w:val="center"/>
            </w:pPr>
            <w:r>
              <w:rPr>
                <w:rFonts w:ascii="Calibri" w:hAnsi="Calibri"/>
                <w:b w:val="0"/>
                <w:i w:val="0"/>
                <w:sz w:val="19"/>
              </w:rPr>
              <w:t>AM-SSB</w:t>
            </w:r>
          </w:p>
        </w:tc>
        <w:tc>
          <w:tcPr>
            <w:tcW w:type="dxa" w:w="1700"/>
            <w:vAlign w:val="center"/>
            <w:tcMar>
              <w:top w:w="80" w:type="dxa"/>
              <w:start w:w="120" w:type="dxa"/>
              <w:bottom w:w="80" w:type="dxa"/>
              <w:end w:w="120" w:type="dxa"/>
            </w:tcMar>
          </w:tcPr>
          <w:p>
            <w:pPr>
              <w:jc w:val="center"/>
            </w:pPr>
            <w:r>
              <w:rPr>
                <w:rFonts w:ascii="Calibri" w:hAnsi="Calibri"/>
                <w:b w:val="0"/>
                <w:i w:val="0"/>
                <w:sz w:val="19"/>
              </w:rPr>
              <w:t>26.8%</w:t>
            </w:r>
          </w:p>
        </w:tc>
        <w:tc>
          <w:tcPr>
            <w:tcW w:type="dxa" w:w="3160"/>
            <w:vAlign w:val="center"/>
            <w:tcMar>
              <w:top w:w="80" w:type="dxa"/>
              <w:start w:w="120" w:type="dxa"/>
              <w:bottom w:w="80" w:type="dxa"/>
              <w:end w:w="120" w:type="dxa"/>
            </w:tcMar>
          </w:tcPr>
          <w:p>
            <w:r>
              <w:rPr>
                <w:rFonts w:ascii="Calibri" w:hAnsi="Calibri"/>
                <w:b w:val="0"/>
                <w:i w:val="0"/>
                <w:sz w:val="19"/>
              </w:rPr>
              <w:t>Normal, but uncertain class</w:t>
            </w:r>
          </w:p>
        </w:tc>
      </w:tr>
      <w:tr>
        <w:tc>
          <w:tcPr>
            <w:tcW w:type="dxa" w:w="2600"/>
            <w:vAlign w:val="center"/>
            <w:tcMar>
              <w:top w:w="80" w:type="dxa"/>
              <w:start w:w="120" w:type="dxa"/>
              <w:bottom w:w="80" w:type="dxa"/>
              <w:end w:w="120" w:type="dxa"/>
            </w:tcMar>
          </w:tcPr>
          <w:p>
            <w:r>
              <w:rPr>
                <w:rFonts w:ascii="Calibri" w:hAnsi="Calibri"/>
                <w:b w:val="0"/>
                <w:i w:val="0"/>
                <w:sz w:val="19"/>
              </w:rPr>
              <w:t>Noisy QPSK variant</w:t>
            </w:r>
          </w:p>
        </w:tc>
        <w:tc>
          <w:tcPr>
            <w:tcW w:type="dxa" w:w="1900"/>
            <w:vAlign w:val="center"/>
            <w:tcMar>
              <w:top w:w="80" w:type="dxa"/>
              <w:start w:w="120" w:type="dxa"/>
              <w:bottom w:w="80" w:type="dxa"/>
              <w:end w:w="120" w:type="dxa"/>
            </w:tcMar>
          </w:tcPr>
          <w:p>
            <w:pPr>
              <w:jc w:val="center"/>
            </w:pPr>
            <w:r>
              <w:rPr>
                <w:rFonts w:ascii="Calibri" w:hAnsi="Calibri"/>
                <w:b w:val="0"/>
                <w:i w:val="0"/>
                <w:sz w:val="19"/>
              </w:rPr>
              <w:t>QAM64</w:t>
            </w:r>
          </w:p>
        </w:tc>
        <w:tc>
          <w:tcPr>
            <w:tcW w:type="dxa" w:w="1700"/>
            <w:vAlign w:val="center"/>
            <w:tcMar>
              <w:top w:w="80" w:type="dxa"/>
              <w:start w:w="120" w:type="dxa"/>
              <w:bottom w:w="80" w:type="dxa"/>
              <w:end w:w="120" w:type="dxa"/>
            </w:tcMar>
          </w:tcPr>
          <w:p>
            <w:pPr>
              <w:jc w:val="center"/>
            </w:pPr>
            <w:r>
              <w:rPr>
                <w:rFonts w:ascii="Calibri" w:hAnsi="Calibri"/>
                <w:b w:val="0"/>
                <w:i w:val="0"/>
                <w:sz w:val="19"/>
              </w:rPr>
              <w:t>16.4%</w:t>
            </w:r>
          </w:p>
        </w:tc>
        <w:tc>
          <w:tcPr>
            <w:tcW w:type="dxa" w:w="3160"/>
            <w:vAlign w:val="center"/>
            <w:tcMar>
              <w:top w:w="80" w:type="dxa"/>
              <w:start w:w="120" w:type="dxa"/>
              <w:bottom w:w="80" w:type="dxa"/>
              <w:end w:w="120" w:type="dxa"/>
            </w:tcMar>
          </w:tcPr>
          <w:p>
            <w:r>
              <w:rPr>
                <w:rFonts w:ascii="Calibri" w:hAnsi="Calibri"/>
                <w:b w:val="0"/>
                <w:i w:val="0"/>
                <w:sz w:val="19"/>
              </w:rPr>
              <w:t>Anomaly, score -0.086</w:t>
            </w:r>
          </w:p>
        </w:tc>
      </w:tr>
    </w:tbl>
    <w:p>
      <w:pPr>
        <w:spacing w:after="40"/>
      </w:pPr>
    </w:p>
    <w:p>
      <w:pPr>
        <w:spacing w:after="120" w:line="264" w:lineRule="auto"/>
      </w:pPr>
      <w:r>
        <w:rPr>
          <w:rFonts w:ascii="Calibri" w:hAnsi="Calibri"/>
          <w:b w:val="0"/>
          <w:i w:val="0"/>
          <w:sz w:val="22"/>
        </w:rPr>
        <w:t>The noisy example illustrates why classification and anomaly detection are complementary. The classifier must select one of its 11 known classes, even when none is a good match. The anomaly detector supplies an additional warning that the feature vector lies outside the normal training distribution.</w:t>
      </w:r>
    </w:p>
    <w:p>
      <w:pPr>
        <w:pStyle w:val="Heading2"/>
      </w:pPr>
      <w:r>
        <w:t>Streamlit dashboard</w:t>
      </w:r>
    </w:p>
    <w:p>
      <w:pPr>
        <w:spacing w:after="120" w:line="264" w:lineRule="auto"/>
      </w:pPr>
      <w:r>
        <w:rPr>
          <w:rFonts w:ascii="Calibri" w:hAnsi="Calibri"/>
          <w:b w:val="0"/>
          <w:i w:val="0"/>
          <w:sz w:val="22"/>
        </w:rPr>
        <w:t>The local dashboard allows selection of modulation, SNR, and example index. It displays I/Q waveforms, amplitude, I/Q scatter, FFT magnitude, predicted class, confidence, anomaly score, the SNR accuracy curve, and the Random Forest confusion matrix. It calls the same inference function used by command-line tests, avoiding duplicate model logic.</w:t>
      </w:r>
    </w:p>
    <w:p>
      <w:r>
        <w:br w:type="page"/>
      </w:r>
    </w:p>
    <w:p>
      <w:pPr>
        <w:pStyle w:val="Heading1"/>
      </w:pPr>
      <w:r>
        <w:t>7. Limitations and next steps</w:t>
      </w:r>
    </w:p>
    <w:p>
      <w:pPr>
        <w:pStyle w:val="ListBullet"/>
        <w:spacing w:after="100" w:line="264" w:lineRule="auto"/>
        <w:ind w:left="720" w:hanging="360"/>
      </w:pPr>
    </w:p>
    <w:p>
      <w:pPr>
        <w:pStyle w:val="ListBullet"/>
        <w:spacing w:after="100" w:line="264" w:lineRule="auto"/>
        <w:ind w:left="720" w:hanging="360"/>
      </w:pPr>
    </w:p>
    <w:p>
      <w:pPr>
        <w:pStyle w:val="ListBullet"/>
        <w:spacing w:after="100" w:line="264" w:lineRule="auto"/>
        <w:ind w:left="720" w:hanging="360"/>
      </w:pPr>
    </w:p>
    <w:p>
      <w:pPr>
        <w:pStyle w:val="ListBullet"/>
        <w:spacing w:after="100" w:line="264" w:lineRule="auto"/>
        <w:ind w:left="720" w:hanging="360"/>
      </w:pPr>
    </w:p>
    <w:p>
      <w:pPr>
        <w:pStyle w:val="ListBullet"/>
        <w:spacing w:after="100" w:line="264" w:lineRule="auto"/>
        <w:ind w:left="720" w:hanging="360"/>
      </w:pPr>
    </w:p>
    <w:p>
      <w:pPr>
        <w:pStyle w:val="Heading2"/>
      </w:pPr>
      <w:r>
        <w:t>Reasonable extensions</w:t>
      </w:r>
    </w:p>
    <w:p>
      <w:pPr>
        <w:pStyle w:val="ListBullet"/>
        <w:spacing w:after="100" w:line="264" w:lineRule="auto"/>
        <w:ind w:left="720" w:hanging="360"/>
      </w:pPr>
    </w:p>
    <w:p>
      <w:pPr>
        <w:pStyle w:val="ListBullet"/>
        <w:spacing w:after="100" w:line="264" w:lineRule="auto"/>
        <w:ind w:left="720" w:hanging="360"/>
      </w:pPr>
    </w:p>
    <w:p>
      <w:pPr>
        <w:pStyle w:val="ListBullet"/>
        <w:spacing w:after="100" w:line="264" w:lineRule="auto"/>
        <w:ind w:left="720" w:hanging="360"/>
      </w:pPr>
    </w:p>
    <w:p>
      <w:pPr>
        <w:pStyle w:val="ListBullet"/>
        <w:spacing w:after="100" w:line="264" w:lineRule="auto"/>
        <w:ind w:left="720" w:hanging="360"/>
      </w:pPr>
    </w:p>
    <w:p>
      <w:pPr>
        <w:pStyle w:val="ListBullet"/>
        <w:spacing w:after="100" w:line="264" w:lineRule="auto"/>
        <w:ind w:left="720" w:hanging="360"/>
      </w:pPr>
    </w:p>
    <w:p>
      <w:pPr>
        <w:pStyle w:val="Heading1"/>
      </w:pPr>
      <w:r>
        <w:t>8. Interview summary</w:t>
      </w:r>
    </w:p>
    <w:p>
      <w:pPr>
        <w:spacing w:after="120" w:line="264" w:lineRule="auto"/>
      </w:pPr>
      <w:r>
        <w:rPr>
          <w:rFonts w:ascii="Calibri" w:hAnsi="Calibri"/>
          <w:b w:val="0"/>
          <w:i w:val="0"/>
          <w:sz w:val="22"/>
        </w:rPr>
        <w:t>I built a classical RF machine-learning pipeline on RadioML 2016.10a. Each input is a short complex baseband capture with 128 I/Q samples. I converted it into 15 interpretable amplitude, phase, correlation, and spectral features, then compared Logistic Regression with Random Forest using a split stratified by modulation and SNR. Random Forest reached 50.44% overall accuracy, but the key result was the SNR curve: performance was near chance at very low SNR and approximately 79% at 18 dB. Spectral entropy and bandwidth were the most useful features. I also added Isolation Forest to flag unusual feature combinations, and I documented that it detected strong noise and amplitude anomalies but usually missed pure frequency shifts. Finally, I wrapped classification and anomaly scoring in one inference function and a small Streamlit interface.</w:t>
      </w:r>
    </w:p>
    <w:p>
      <w:pPr>
        <w:pStyle w:val="Heading1"/>
      </w:pPr>
      <w:r>
        <w:t>9. Reproduction</w:t>
      </w:r>
    </w:p>
    <w:p>
      <w:pPr>
        <w:spacing w:after="120" w:line="264" w:lineRule="auto"/>
      </w:pPr>
      <w:r>
        <w:rPr>
          <w:rFonts w:ascii="Calibri" w:hAnsi="Calibri"/>
          <w:b w:val="0"/>
          <w:i w:val="0"/>
          <w:sz w:val="22"/>
        </w:rPr>
        <w:t>From the repository root, create the environment, set RADIOML_DATASET to the trusted pickle location, and run the following commands in order:</w:t>
      </w:r>
    </w:p>
    <w:p>
      <w:pPr>
        <w:spacing w:after="60"/>
        <w:ind w:left="360"/>
      </w:pPr>
      <w:r>
        <w:rPr>
          <w:rFonts w:ascii="Calibri" w:hAnsi="Calibri"/>
          <w:b w:val="0"/>
          <w:i w:val="0"/>
          <w:color w:val="0B2545"/>
          <w:sz w:val="18"/>
        </w:rPr>
        <w:t>python scripts/explore.py "$RADIOML_DATASET"</w:t>
      </w:r>
    </w:p>
    <w:p>
      <w:pPr>
        <w:spacing w:after="60"/>
        <w:ind w:left="360"/>
      </w:pPr>
      <w:r>
        <w:rPr>
          <w:rFonts w:ascii="Calibri" w:hAnsi="Calibri"/>
          <w:b w:val="0"/>
          <w:i w:val="0"/>
          <w:color w:val="0B2545"/>
          <w:sz w:val="18"/>
        </w:rPr>
        <w:t>python scripts/build_features.py "$RADIOML_DATASET"</w:t>
      </w:r>
    </w:p>
    <w:p>
      <w:pPr>
        <w:spacing w:after="60"/>
        <w:ind w:left="360"/>
      </w:pPr>
      <w:r>
        <w:rPr>
          <w:rFonts w:ascii="Calibri" w:hAnsi="Calibri"/>
          <w:b w:val="0"/>
          <w:i w:val="0"/>
          <w:color w:val="0B2545"/>
          <w:sz w:val="18"/>
        </w:rPr>
        <w:t>python src/train.py</w:t>
      </w:r>
    </w:p>
    <w:p>
      <w:pPr>
        <w:spacing w:after="60"/>
        <w:ind w:left="360"/>
      </w:pPr>
      <w:r>
        <w:rPr>
          <w:rFonts w:ascii="Calibri" w:hAnsi="Calibri"/>
          <w:b w:val="0"/>
          <w:i w:val="0"/>
          <w:color w:val="0B2545"/>
          <w:sz w:val="18"/>
        </w:rPr>
        <w:t>MPLBACKEND=Agg python src/evaluate.py</w:t>
      </w:r>
    </w:p>
    <w:p>
      <w:pPr>
        <w:spacing w:after="60"/>
        <w:ind w:left="360"/>
      </w:pPr>
      <w:r>
        <w:rPr>
          <w:rFonts w:ascii="Calibri" w:hAnsi="Calibri"/>
          <w:b w:val="0"/>
          <w:i w:val="0"/>
          <w:color w:val="0B2545"/>
          <w:sz w:val="18"/>
        </w:rPr>
        <w:t>MPLBACKEND=Agg python src/anomaly.py "$RADIOML_DATASET"</w:t>
      </w:r>
    </w:p>
    <w:p>
      <w:pPr>
        <w:spacing w:after="60"/>
        <w:ind w:left="360"/>
      </w:pPr>
      <w:r>
        <w:rPr>
          <w:rFonts w:ascii="Calibri" w:hAnsi="Calibri"/>
          <w:b w:val="0"/>
          <w:i w:val="0"/>
          <w:color w:val="0B2545"/>
          <w:sz w:val="18"/>
        </w:rPr>
        <w:t>streamlit run app.py</w:t>
      </w:r>
    </w:p>
    <w:p>
      <w:pPr>
        <w:pStyle w:val="Heading2"/>
      </w:pPr>
      <w:r>
        <w:t>Artifact map</w:t>
      </w:r>
    </w:p>
    <w:tbl>
      <w:tblPr>
        <w:tblStyle w:val="TableGrid"/>
        <w:tblW w:type="dxa" w:w="9360"/>
        <w:jc w:val="left"/>
        <w:tblLayout w:type="fixed"/>
        <w:tblLook w:firstColumn="1" w:firstRow="1" w:lastColumn="0" w:lastRow="0" w:noHBand="0" w:noVBand="1" w:val="04A0"/>
        <w:tblInd w:w="120" w:type="dxa"/>
      </w:tblPr>
      <w:tblGrid>
        <w:gridCol w:w="2100"/>
        <w:gridCol w:w="7260"/>
      </w:tblGrid>
      <w:tr>
        <w:tc>
          <w:tcPr>
            <w:tcW w:type="dxa" w:w="2100"/>
            <w:shd w:fill="E8EEF5"/>
            <w:vAlign w:val="center"/>
            <w:tcMar>
              <w:top w:w="80" w:type="dxa"/>
              <w:start w:w="120" w:type="dxa"/>
              <w:bottom w:w="80" w:type="dxa"/>
              <w:end w:w="120" w:type="dxa"/>
            </w:tcMar>
          </w:tcPr>
          <w:p>
            <w:r>
              <w:rPr>
                <w:rFonts w:ascii="Calibri" w:hAnsi="Calibri"/>
                <w:b/>
                <w:i w:val="0"/>
                <w:color w:val="0B2545"/>
                <w:sz w:val="20"/>
              </w:rPr>
              <w:t>Location</w:t>
            </w:r>
          </w:p>
        </w:tc>
        <w:tc>
          <w:tcPr>
            <w:tcW w:type="dxa" w:w="7260"/>
            <w:shd w:fill="E8EEF5"/>
            <w:vAlign w:val="center"/>
            <w:tcMar>
              <w:top w:w="80" w:type="dxa"/>
              <w:start w:w="120" w:type="dxa"/>
              <w:bottom w:w="80" w:type="dxa"/>
              <w:end w:w="120" w:type="dxa"/>
            </w:tcMar>
          </w:tcPr>
          <w:p>
            <w:r>
              <w:rPr>
                <w:rFonts w:ascii="Calibri" w:hAnsi="Calibri"/>
                <w:b/>
                <w:i w:val="0"/>
                <w:color w:val="0B2545"/>
                <w:sz w:val="20"/>
              </w:rPr>
              <w:t>Contents</w:t>
            </w:r>
          </w:p>
        </w:tc>
      </w:tr>
      <w:tr>
        <w:tc>
          <w:tcPr>
            <w:tcW w:type="dxa" w:w="2100"/>
            <w:vAlign w:val="center"/>
            <w:tcMar>
              <w:top w:w="80" w:type="dxa"/>
              <w:start w:w="120" w:type="dxa"/>
              <w:bottom w:w="80" w:type="dxa"/>
              <w:end w:w="120" w:type="dxa"/>
            </w:tcMar>
          </w:tcPr>
          <w:p>
            <w:r>
              <w:rPr>
                <w:rFonts w:ascii="Calibri" w:hAnsi="Calibri"/>
                <w:b w:val="0"/>
                <w:i w:val="0"/>
                <w:sz w:val="19"/>
              </w:rPr>
              <w:t>data/</w:t>
            </w:r>
          </w:p>
        </w:tc>
        <w:tc>
          <w:tcPr>
            <w:tcW w:type="dxa" w:w="7260"/>
            <w:vAlign w:val="center"/>
            <w:tcMar>
              <w:top w:w="80" w:type="dxa"/>
              <w:start w:w="120" w:type="dxa"/>
              <w:bottom w:w="80" w:type="dxa"/>
              <w:end w:w="120" w:type="dxa"/>
            </w:tcMar>
          </w:tcPr>
          <w:p>
            <w:r>
              <w:rPr>
                <w:rFonts w:ascii="Calibri" w:hAnsi="Calibri"/>
                <w:b w:val="0"/>
                <w:i w:val="0"/>
                <w:sz w:val="19"/>
              </w:rPr>
              <w:t>Feature table and local dataset link</w:t>
            </w:r>
          </w:p>
        </w:tc>
      </w:tr>
      <w:tr>
        <w:tc>
          <w:tcPr>
            <w:tcW w:type="dxa" w:w="2100"/>
            <w:vAlign w:val="center"/>
            <w:tcMar>
              <w:top w:w="80" w:type="dxa"/>
              <w:start w:w="120" w:type="dxa"/>
              <w:bottom w:w="80" w:type="dxa"/>
              <w:end w:w="120" w:type="dxa"/>
            </w:tcMar>
          </w:tcPr>
          <w:p>
            <w:r>
              <w:rPr>
                <w:rFonts w:ascii="Calibri" w:hAnsi="Calibri"/>
                <w:b w:val="0"/>
                <w:i w:val="0"/>
                <w:sz w:val="19"/>
              </w:rPr>
              <w:t>models/</w:t>
            </w:r>
          </w:p>
        </w:tc>
        <w:tc>
          <w:tcPr>
            <w:tcW w:type="dxa" w:w="7260"/>
            <w:vAlign w:val="center"/>
            <w:tcMar>
              <w:top w:w="80" w:type="dxa"/>
              <w:start w:w="120" w:type="dxa"/>
              <w:bottom w:w="80" w:type="dxa"/>
              <w:end w:w="120" w:type="dxa"/>
            </w:tcMar>
          </w:tcPr>
          <w:p>
            <w:r>
              <w:rPr>
                <w:rFonts w:ascii="Calibri" w:hAnsi="Calibri"/>
                <w:b w:val="0"/>
                <w:i w:val="0"/>
                <w:sz w:val="19"/>
              </w:rPr>
              <w:t>Classifier, split IDs, and anomaly detector</w:t>
            </w:r>
          </w:p>
        </w:tc>
      </w:tr>
      <w:tr>
        <w:tc>
          <w:tcPr>
            <w:tcW w:type="dxa" w:w="2100"/>
            <w:vAlign w:val="center"/>
            <w:tcMar>
              <w:top w:w="80" w:type="dxa"/>
              <w:start w:w="120" w:type="dxa"/>
              <w:bottom w:w="80" w:type="dxa"/>
              <w:end w:w="120" w:type="dxa"/>
            </w:tcMar>
          </w:tcPr>
          <w:p>
            <w:r>
              <w:rPr>
                <w:rFonts w:ascii="Calibri" w:hAnsi="Calibri"/>
                <w:b w:val="0"/>
                <w:i w:val="0"/>
                <w:sz w:val="19"/>
              </w:rPr>
              <w:t>results/</w:t>
            </w:r>
          </w:p>
        </w:tc>
        <w:tc>
          <w:tcPr>
            <w:tcW w:type="dxa" w:w="7260"/>
            <w:vAlign w:val="center"/>
            <w:tcMar>
              <w:top w:w="80" w:type="dxa"/>
              <w:start w:w="120" w:type="dxa"/>
              <w:bottom w:w="80" w:type="dxa"/>
              <w:end w:w="120" w:type="dxa"/>
            </w:tcMar>
          </w:tcPr>
          <w:p>
            <w:r>
              <w:rPr>
                <w:rFonts w:ascii="Calibri" w:hAnsi="Calibri"/>
                <w:b w:val="0"/>
                <w:i w:val="0"/>
                <w:sz w:val="19"/>
              </w:rPr>
              <w:t>Metrics, reports, and figures</w:t>
            </w:r>
          </w:p>
        </w:tc>
      </w:tr>
      <w:tr>
        <w:tc>
          <w:tcPr>
            <w:tcW w:type="dxa" w:w="2100"/>
            <w:vAlign w:val="center"/>
            <w:tcMar>
              <w:top w:w="80" w:type="dxa"/>
              <w:start w:w="120" w:type="dxa"/>
              <w:bottom w:w="80" w:type="dxa"/>
              <w:end w:w="120" w:type="dxa"/>
            </w:tcMar>
          </w:tcPr>
          <w:p>
            <w:r>
              <w:rPr>
                <w:rFonts w:ascii="Calibri" w:hAnsi="Calibri"/>
                <w:b w:val="0"/>
                <w:i w:val="0"/>
                <w:sz w:val="19"/>
              </w:rPr>
              <w:t>scripts/</w:t>
            </w:r>
          </w:p>
        </w:tc>
        <w:tc>
          <w:tcPr>
            <w:tcW w:type="dxa" w:w="7260"/>
            <w:vAlign w:val="center"/>
            <w:tcMar>
              <w:top w:w="80" w:type="dxa"/>
              <w:start w:w="120" w:type="dxa"/>
              <w:bottom w:w="80" w:type="dxa"/>
              <w:end w:w="120" w:type="dxa"/>
            </w:tcMar>
          </w:tcPr>
          <w:p>
            <w:r>
              <w:rPr>
                <w:rFonts w:ascii="Calibri" w:hAnsi="Calibri"/>
                <w:b w:val="0"/>
                <w:i w:val="0"/>
                <w:sz w:val="19"/>
              </w:rPr>
              <w:t>Exploration and feature-building commands</w:t>
            </w:r>
          </w:p>
        </w:tc>
      </w:tr>
      <w:tr>
        <w:tc>
          <w:tcPr>
            <w:tcW w:type="dxa" w:w="2100"/>
            <w:vAlign w:val="center"/>
            <w:tcMar>
              <w:top w:w="80" w:type="dxa"/>
              <w:start w:w="120" w:type="dxa"/>
              <w:bottom w:w="80" w:type="dxa"/>
              <w:end w:w="120" w:type="dxa"/>
            </w:tcMar>
          </w:tcPr>
          <w:p>
            <w:r>
              <w:rPr>
                <w:rFonts w:ascii="Calibri" w:hAnsi="Calibri"/>
                <w:b w:val="0"/>
                <w:i w:val="0"/>
                <w:sz w:val="19"/>
              </w:rPr>
              <w:t>src/</w:t>
            </w:r>
          </w:p>
        </w:tc>
        <w:tc>
          <w:tcPr>
            <w:tcW w:type="dxa" w:w="7260"/>
            <w:vAlign w:val="center"/>
            <w:tcMar>
              <w:top w:w="80" w:type="dxa"/>
              <w:start w:w="120" w:type="dxa"/>
              <w:bottom w:w="80" w:type="dxa"/>
              <w:end w:w="120" w:type="dxa"/>
            </w:tcMar>
          </w:tcPr>
          <w:p>
            <w:r>
              <w:rPr>
                <w:rFonts w:ascii="Calibri" w:hAnsi="Calibri"/>
                <w:b w:val="0"/>
                <w:i w:val="0"/>
                <w:sz w:val="19"/>
              </w:rPr>
              <w:t>Feature extraction, training, evaluation, anomaly, and inference code</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A647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A6470"/>
        <w:sz w:val="18"/>
      </w:rPr>
      <w:t>RadioML Modulation Classifier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RadioML Modulation Classifier — Project Report</dc:title>
  <dc:subject>Classical machine learning for RF modulation recognition</dc:subject>
  <dc:creator>Chandranshu Verma</dc:creator>
  <cp:keywords>RadioML, RF, I/Q, modulation classification, Random Forest, anomaly detection</cp:keywords>
  <dc:description>generated by python-docx</dc:description>
  <cp:lastModifiedBy/>
  <cp:revision>1</cp:revision>
  <dcterms:created xsi:type="dcterms:W3CDTF">2013-12-23T23:15:00Z</dcterms:created>
  <dcterms:modified xsi:type="dcterms:W3CDTF">2013-12-23T23:15:00Z</dcterms:modified>
  <cp:category/>
</cp:coreProperties>
</file>