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000001" w14:textId="77777777" w:rsidR="0036428B" w:rsidRDefault="00831D93">
      <w:pPr>
        <w:jc w:val="center"/>
        <w:rPr>
          <w:rFonts w:ascii="Times New Roman" w:eastAsia="Times New Roman" w:hAnsi="Times New Roman" w:cs="Times New Roman"/>
          <w:b/>
          <w:color w:val="000000"/>
          <w:sz w:val="24"/>
          <w:szCs w:val="24"/>
          <w:highlight w:val="white"/>
        </w:rPr>
      </w:pPr>
      <w:r>
        <w:rPr>
          <w:rFonts w:ascii="Times New Roman" w:eastAsia="Times New Roman" w:hAnsi="Times New Roman" w:cs="Times New Roman"/>
          <w:b/>
          <w:color w:val="000000"/>
          <w:sz w:val="24"/>
          <w:szCs w:val="24"/>
          <w:highlight w:val="white"/>
        </w:rPr>
        <w:t xml:space="preserve">Combinatorial influence of environmental temperature, obesity and cholesterol on SARS-CoV-2 infectivity </w:t>
      </w:r>
    </w:p>
    <w:p w14:paraId="00000002" w14:textId="77777777" w:rsidR="0036428B" w:rsidRDefault="00831D93">
      <w:pPr>
        <w:jc w:val="center"/>
        <w:rPr>
          <w:rFonts w:ascii="Times New Roman" w:eastAsia="Times New Roman" w:hAnsi="Times New Roman" w:cs="Times New Roman"/>
          <w:b/>
          <w:color w:val="000000"/>
          <w:sz w:val="24"/>
          <w:szCs w:val="24"/>
          <w:highlight w:val="white"/>
          <w:vertAlign w:val="superscript"/>
        </w:rPr>
      </w:pPr>
      <w:r>
        <w:rPr>
          <w:rFonts w:ascii="Times New Roman" w:eastAsia="Times New Roman" w:hAnsi="Times New Roman" w:cs="Times New Roman"/>
          <w:b/>
          <w:color w:val="000000"/>
          <w:sz w:val="24"/>
          <w:szCs w:val="24"/>
          <w:highlight w:val="white"/>
        </w:rPr>
        <w:t>Chandi C. Mandal</w:t>
      </w:r>
      <w:r>
        <w:rPr>
          <w:rFonts w:ascii="Times New Roman" w:eastAsia="Times New Roman" w:hAnsi="Times New Roman" w:cs="Times New Roman"/>
          <w:b/>
          <w:color w:val="000000"/>
          <w:sz w:val="24"/>
          <w:szCs w:val="24"/>
          <w:highlight w:val="white"/>
          <w:vertAlign w:val="superscript"/>
        </w:rPr>
        <w:t>1</w:t>
      </w:r>
      <w:proofErr w:type="gramStart"/>
      <w:r>
        <w:rPr>
          <w:rFonts w:ascii="Times New Roman" w:eastAsia="Times New Roman" w:hAnsi="Times New Roman" w:cs="Times New Roman"/>
          <w:b/>
          <w:color w:val="000000"/>
          <w:sz w:val="24"/>
          <w:szCs w:val="24"/>
          <w:highlight w:val="white"/>
          <w:vertAlign w:val="superscript"/>
        </w:rPr>
        <w:t>,#</w:t>
      </w:r>
      <w:proofErr w:type="gramEnd"/>
      <w:r>
        <w:rPr>
          <w:rFonts w:ascii="Times New Roman" w:eastAsia="Times New Roman" w:hAnsi="Times New Roman" w:cs="Times New Roman"/>
          <w:b/>
          <w:color w:val="000000"/>
          <w:sz w:val="24"/>
          <w:szCs w:val="24"/>
          <w:highlight w:val="white"/>
          <w:vertAlign w:val="superscript"/>
        </w:rPr>
        <w:t>,*</w:t>
      </w:r>
      <w:r>
        <w:rPr>
          <w:rFonts w:ascii="Times New Roman" w:eastAsia="Times New Roman" w:hAnsi="Times New Roman" w:cs="Times New Roman"/>
          <w:b/>
          <w:color w:val="000000"/>
          <w:sz w:val="24"/>
          <w:szCs w:val="24"/>
          <w:highlight w:val="white"/>
        </w:rPr>
        <w:t>, Mahaveer S. Panwar</w:t>
      </w:r>
      <w:r>
        <w:rPr>
          <w:rFonts w:ascii="Times New Roman" w:eastAsia="Times New Roman" w:hAnsi="Times New Roman" w:cs="Times New Roman"/>
          <w:b/>
          <w:color w:val="000000"/>
          <w:sz w:val="24"/>
          <w:szCs w:val="24"/>
          <w:highlight w:val="white"/>
          <w:vertAlign w:val="superscript"/>
        </w:rPr>
        <w:t>2,#</w:t>
      </w:r>
      <w:r>
        <w:rPr>
          <w:rFonts w:ascii="Times New Roman" w:eastAsia="Times New Roman" w:hAnsi="Times New Roman" w:cs="Times New Roman"/>
          <w:b/>
          <w:color w:val="000000"/>
          <w:sz w:val="24"/>
          <w:szCs w:val="24"/>
          <w:highlight w:val="white"/>
        </w:rPr>
        <w:t>, Chandra P. Yadav</w:t>
      </w:r>
      <w:r>
        <w:rPr>
          <w:rFonts w:ascii="Times New Roman" w:eastAsia="Times New Roman" w:hAnsi="Times New Roman" w:cs="Times New Roman"/>
          <w:b/>
          <w:color w:val="000000"/>
          <w:sz w:val="24"/>
          <w:szCs w:val="24"/>
          <w:highlight w:val="white"/>
          <w:vertAlign w:val="superscript"/>
        </w:rPr>
        <w:t>2</w:t>
      </w:r>
      <w:r>
        <w:rPr>
          <w:rFonts w:ascii="Times New Roman" w:eastAsia="Times New Roman" w:hAnsi="Times New Roman" w:cs="Times New Roman"/>
          <w:b/>
          <w:color w:val="000000"/>
          <w:sz w:val="24"/>
          <w:szCs w:val="24"/>
          <w:highlight w:val="white"/>
        </w:rPr>
        <w:t xml:space="preserve">, </w:t>
      </w:r>
      <w:proofErr w:type="spellStart"/>
      <w:r>
        <w:rPr>
          <w:rFonts w:ascii="Times New Roman" w:eastAsia="Times New Roman" w:hAnsi="Times New Roman" w:cs="Times New Roman"/>
          <w:b/>
          <w:color w:val="000000"/>
          <w:sz w:val="24"/>
          <w:szCs w:val="24"/>
          <w:highlight w:val="white"/>
        </w:rPr>
        <w:t>Vaishnavi</w:t>
      </w:r>
      <w:proofErr w:type="spellEnd"/>
      <w:r>
        <w:rPr>
          <w:rFonts w:ascii="Times New Roman" w:eastAsia="Times New Roman" w:hAnsi="Times New Roman" w:cs="Times New Roman"/>
          <w:b/>
          <w:color w:val="000000"/>
          <w:sz w:val="24"/>
          <w:szCs w:val="24"/>
          <w:highlight w:val="white"/>
        </w:rPr>
        <w:t xml:space="preserve"> Tripathi</w:t>
      </w:r>
      <w:r>
        <w:rPr>
          <w:rFonts w:ascii="Times New Roman" w:eastAsia="Times New Roman" w:hAnsi="Times New Roman" w:cs="Times New Roman"/>
          <w:b/>
          <w:color w:val="000000"/>
          <w:sz w:val="24"/>
          <w:szCs w:val="24"/>
          <w:highlight w:val="white"/>
          <w:vertAlign w:val="superscript"/>
        </w:rPr>
        <w:t>1</w:t>
      </w:r>
      <w:r>
        <w:rPr>
          <w:rFonts w:ascii="Times New Roman" w:eastAsia="Times New Roman" w:hAnsi="Times New Roman" w:cs="Times New Roman"/>
          <w:b/>
          <w:color w:val="000000"/>
          <w:sz w:val="24"/>
          <w:szCs w:val="24"/>
          <w:highlight w:val="white"/>
        </w:rPr>
        <w:t xml:space="preserve"> and </w:t>
      </w:r>
      <w:proofErr w:type="spellStart"/>
      <w:r>
        <w:rPr>
          <w:rFonts w:ascii="Times New Roman" w:eastAsia="Times New Roman" w:hAnsi="Times New Roman" w:cs="Times New Roman"/>
          <w:b/>
          <w:color w:val="000000"/>
          <w:sz w:val="24"/>
          <w:szCs w:val="24"/>
          <w:highlight w:val="white"/>
        </w:rPr>
        <w:t>Shreetama</w:t>
      </w:r>
      <w:proofErr w:type="spellEnd"/>
      <w:r>
        <w:rPr>
          <w:rFonts w:ascii="Times New Roman" w:eastAsia="Times New Roman" w:hAnsi="Times New Roman" w:cs="Times New Roman"/>
          <w:b/>
          <w:color w:val="000000"/>
          <w:sz w:val="24"/>
          <w:szCs w:val="24"/>
          <w:highlight w:val="white"/>
        </w:rPr>
        <w:t xml:space="preserve"> Bandyopadhayaya</w:t>
      </w:r>
      <w:r>
        <w:rPr>
          <w:rFonts w:ascii="Times New Roman" w:eastAsia="Times New Roman" w:hAnsi="Times New Roman" w:cs="Times New Roman"/>
          <w:b/>
          <w:color w:val="000000"/>
          <w:sz w:val="24"/>
          <w:szCs w:val="24"/>
          <w:highlight w:val="white"/>
          <w:vertAlign w:val="superscript"/>
        </w:rPr>
        <w:t>1</w:t>
      </w:r>
    </w:p>
    <w:p w14:paraId="00000003" w14:textId="77777777" w:rsidR="0036428B" w:rsidRDefault="00831D93">
      <w:pPr>
        <w:rPr>
          <w:rFonts w:ascii="Times New Roman" w:eastAsia="Times New Roman" w:hAnsi="Times New Roman" w:cs="Times New Roman"/>
          <w:color w:val="000000"/>
        </w:rPr>
      </w:pPr>
      <w:r>
        <w:rPr>
          <w:rFonts w:ascii="Times New Roman" w:eastAsia="Times New Roman" w:hAnsi="Times New Roman" w:cs="Times New Roman"/>
          <w:color w:val="000000"/>
          <w:sz w:val="24"/>
          <w:szCs w:val="24"/>
          <w:vertAlign w:val="superscript"/>
        </w:rPr>
        <w:t>1</w:t>
      </w:r>
      <w:r>
        <w:rPr>
          <w:rFonts w:ascii="Times New Roman" w:eastAsia="Times New Roman" w:hAnsi="Times New Roman" w:cs="Times New Roman"/>
          <w:color w:val="000000"/>
          <w:sz w:val="24"/>
          <w:szCs w:val="24"/>
        </w:rPr>
        <w:t xml:space="preserve">Department of Biochemistry, School of Life Sciences, Central University of Rajasthan, India; </w:t>
      </w:r>
      <w:r>
        <w:rPr>
          <w:rFonts w:ascii="Times New Roman" w:eastAsia="Times New Roman" w:hAnsi="Times New Roman" w:cs="Times New Roman"/>
          <w:color w:val="000000"/>
          <w:sz w:val="24"/>
          <w:szCs w:val="24"/>
          <w:vertAlign w:val="superscript"/>
        </w:rPr>
        <w:t>2</w:t>
      </w:r>
      <w:r>
        <w:rPr>
          <w:rFonts w:ascii="Times New Roman" w:eastAsia="Times New Roman" w:hAnsi="Times New Roman" w:cs="Times New Roman"/>
          <w:color w:val="000000"/>
          <w:sz w:val="24"/>
          <w:szCs w:val="24"/>
        </w:rPr>
        <w:t>Department of Statistics, Banaras Hindu University, Varanasi, Uttar Pradesh, India</w:t>
      </w:r>
    </w:p>
    <w:p w14:paraId="00000004" w14:textId="77777777" w:rsidR="0036428B" w:rsidRDefault="00831D93">
      <w:pPr>
        <w:spacing w:after="0"/>
        <w:rPr>
          <w:rFonts w:ascii="Times New Roman" w:eastAsia="Times New Roman" w:hAnsi="Times New Roman" w:cs="Times New Roman"/>
          <w:color w:val="000000"/>
        </w:rPr>
      </w:pPr>
      <w:r>
        <w:rPr>
          <w:rFonts w:ascii="Times New Roman" w:eastAsia="Times New Roman" w:hAnsi="Times New Roman" w:cs="Times New Roman"/>
          <w:color w:val="000000"/>
        </w:rPr>
        <w:t xml:space="preserve">*Correspondence to </w:t>
      </w:r>
      <w:proofErr w:type="spellStart"/>
      <w:r>
        <w:rPr>
          <w:rFonts w:ascii="Times New Roman" w:eastAsia="Times New Roman" w:hAnsi="Times New Roman" w:cs="Times New Roman"/>
          <w:color w:val="000000"/>
        </w:rPr>
        <w:t>Prof.</w:t>
      </w:r>
      <w:proofErr w:type="spellEnd"/>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Chandi</w:t>
      </w:r>
      <w:proofErr w:type="spellEnd"/>
      <w:r>
        <w:rPr>
          <w:rFonts w:ascii="Times New Roman" w:eastAsia="Times New Roman" w:hAnsi="Times New Roman" w:cs="Times New Roman"/>
          <w:color w:val="000000"/>
        </w:rPr>
        <w:t xml:space="preserve"> C </w:t>
      </w:r>
      <w:proofErr w:type="spellStart"/>
      <w:r>
        <w:rPr>
          <w:rFonts w:ascii="Times New Roman" w:eastAsia="Times New Roman" w:hAnsi="Times New Roman" w:cs="Times New Roman"/>
          <w:color w:val="000000"/>
        </w:rPr>
        <w:t>Mandal</w:t>
      </w:r>
      <w:proofErr w:type="spellEnd"/>
    </w:p>
    <w:p w14:paraId="00000005" w14:textId="77777777" w:rsidR="0036428B" w:rsidRDefault="00831D93">
      <w:pPr>
        <w:spacing w:after="0"/>
        <w:rPr>
          <w:rFonts w:ascii="Times New Roman" w:eastAsia="Times New Roman" w:hAnsi="Times New Roman" w:cs="Times New Roman"/>
          <w:color w:val="000000"/>
        </w:rPr>
      </w:pPr>
      <w:r>
        <w:rPr>
          <w:rFonts w:ascii="Times New Roman" w:eastAsia="Times New Roman" w:hAnsi="Times New Roman" w:cs="Times New Roman"/>
          <w:color w:val="000000"/>
        </w:rPr>
        <w:tab/>
        <w:t>Department of Biochemistry,</w:t>
      </w:r>
    </w:p>
    <w:p w14:paraId="00000006" w14:textId="77777777" w:rsidR="0036428B" w:rsidRDefault="00831D93">
      <w:pPr>
        <w:spacing w:after="0"/>
        <w:ind w:firstLine="720"/>
        <w:rPr>
          <w:rFonts w:ascii="Times New Roman" w:eastAsia="Times New Roman" w:hAnsi="Times New Roman" w:cs="Times New Roman"/>
          <w:color w:val="000000"/>
        </w:rPr>
      </w:pPr>
      <w:r>
        <w:rPr>
          <w:rFonts w:ascii="Times New Roman" w:eastAsia="Times New Roman" w:hAnsi="Times New Roman" w:cs="Times New Roman"/>
          <w:color w:val="000000"/>
        </w:rPr>
        <w:t>School of Life Sciences,</w:t>
      </w:r>
    </w:p>
    <w:p w14:paraId="00000007" w14:textId="77777777" w:rsidR="0036428B" w:rsidRDefault="00831D93">
      <w:pPr>
        <w:spacing w:after="0"/>
        <w:rPr>
          <w:rFonts w:ascii="Times New Roman" w:eastAsia="Times New Roman" w:hAnsi="Times New Roman" w:cs="Times New Roman"/>
          <w:color w:val="000000"/>
        </w:rPr>
      </w:pPr>
      <w:r>
        <w:rPr>
          <w:rFonts w:ascii="Times New Roman" w:eastAsia="Times New Roman" w:hAnsi="Times New Roman" w:cs="Times New Roman"/>
          <w:color w:val="000000"/>
        </w:rPr>
        <w:tab/>
        <w:t>Central University of Rajasthan,</w:t>
      </w:r>
    </w:p>
    <w:p w14:paraId="00000008" w14:textId="77777777" w:rsidR="0036428B" w:rsidRDefault="00831D93">
      <w:pPr>
        <w:spacing w:after="0"/>
        <w:rPr>
          <w:rFonts w:ascii="Times New Roman" w:eastAsia="Times New Roman" w:hAnsi="Times New Roman" w:cs="Times New Roman"/>
          <w:color w:val="000000"/>
        </w:rPr>
      </w:pPr>
      <w:r>
        <w:rPr>
          <w:rFonts w:ascii="Times New Roman" w:eastAsia="Times New Roman" w:hAnsi="Times New Roman" w:cs="Times New Roman"/>
          <w:color w:val="000000"/>
        </w:rPr>
        <w:tab/>
        <w:t xml:space="preserve">NH-8, </w:t>
      </w:r>
      <w:proofErr w:type="spellStart"/>
      <w:r>
        <w:rPr>
          <w:rFonts w:ascii="Times New Roman" w:eastAsia="Times New Roman" w:hAnsi="Times New Roman" w:cs="Times New Roman"/>
          <w:color w:val="000000"/>
        </w:rPr>
        <w:t>Bandarsindri</w:t>
      </w:r>
      <w:proofErr w:type="spellEnd"/>
      <w:r>
        <w:rPr>
          <w:rFonts w:ascii="Times New Roman" w:eastAsia="Times New Roman" w:hAnsi="Times New Roman" w:cs="Times New Roman"/>
          <w:color w:val="000000"/>
        </w:rPr>
        <w:t>, Kishangarh-305817</w:t>
      </w:r>
    </w:p>
    <w:p w14:paraId="00000009" w14:textId="77777777" w:rsidR="0036428B" w:rsidRDefault="00831D93">
      <w:pPr>
        <w:spacing w:after="0"/>
        <w:rPr>
          <w:rFonts w:ascii="Times New Roman" w:eastAsia="Times New Roman" w:hAnsi="Times New Roman" w:cs="Times New Roman"/>
          <w:color w:val="000000"/>
        </w:rPr>
      </w:pPr>
      <w:r>
        <w:rPr>
          <w:rFonts w:ascii="Times New Roman" w:eastAsia="Times New Roman" w:hAnsi="Times New Roman" w:cs="Times New Roman"/>
          <w:color w:val="000000"/>
        </w:rPr>
        <w:tab/>
        <w:t>Ajmer, Rajasthan, India</w:t>
      </w:r>
    </w:p>
    <w:p w14:paraId="0000000A" w14:textId="77777777" w:rsidR="0036428B" w:rsidRDefault="00831D93">
      <w:pPr>
        <w:spacing w:after="0"/>
        <w:rPr>
          <w:rFonts w:ascii="Times New Roman" w:eastAsia="Times New Roman" w:hAnsi="Times New Roman" w:cs="Times New Roman"/>
          <w:color w:val="000000"/>
        </w:rPr>
      </w:pPr>
      <w:r>
        <w:rPr>
          <w:rFonts w:ascii="Times New Roman" w:eastAsia="Times New Roman" w:hAnsi="Times New Roman" w:cs="Times New Roman"/>
          <w:color w:val="000000"/>
        </w:rPr>
        <w:tab/>
        <w:t>Phone No: +919650569396</w:t>
      </w:r>
    </w:p>
    <w:p w14:paraId="0000000B" w14:textId="77777777" w:rsidR="0036428B" w:rsidRDefault="00831D93">
      <w:pPr>
        <w:spacing w:after="0"/>
        <w:rPr>
          <w:rFonts w:ascii="Times New Roman" w:eastAsia="Times New Roman" w:hAnsi="Times New Roman" w:cs="Times New Roman"/>
          <w:color w:val="000000"/>
        </w:rPr>
      </w:pPr>
      <w:r>
        <w:rPr>
          <w:rFonts w:ascii="Times New Roman" w:eastAsia="Times New Roman" w:hAnsi="Times New Roman" w:cs="Times New Roman"/>
          <w:color w:val="000000"/>
        </w:rPr>
        <w:tab/>
        <w:t xml:space="preserve">Email ID: chandicmandal@gmail.com or </w:t>
      </w:r>
      <w:hyperlink r:id="rId7">
        <w:r>
          <w:rPr>
            <w:rFonts w:ascii="Times New Roman" w:eastAsia="Times New Roman" w:hAnsi="Times New Roman" w:cs="Times New Roman"/>
            <w:color w:val="000000"/>
            <w:u w:val="single"/>
          </w:rPr>
          <w:t>ccmandal@curaj.ac.in</w:t>
        </w:r>
      </w:hyperlink>
    </w:p>
    <w:p w14:paraId="0000000C" w14:textId="77777777" w:rsidR="0036428B" w:rsidRDefault="0036428B">
      <w:pPr>
        <w:spacing w:after="0"/>
        <w:rPr>
          <w:rFonts w:ascii="Times New Roman" w:eastAsia="Times New Roman" w:hAnsi="Times New Roman" w:cs="Times New Roman"/>
          <w:color w:val="000000"/>
        </w:rPr>
      </w:pPr>
    </w:p>
    <w:p w14:paraId="0000000D" w14:textId="77777777" w:rsidR="0036428B" w:rsidRDefault="00831D93">
      <w:pPr>
        <w:jc w:val="both"/>
        <w:rPr>
          <w:rFonts w:ascii="Times New Roman" w:eastAsia="Times New Roman" w:hAnsi="Times New Roman" w:cs="Times New Roman"/>
          <w:b/>
          <w:color w:val="000099"/>
          <w:sz w:val="24"/>
          <w:szCs w:val="24"/>
          <w:highlight w:val="white"/>
        </w:rPr>
      </w:pPr>
      <w:r>
        <w:rPr>
          <w:rFonts w:ascii="Times New Roman" w:eastAsia="Times New Roman" w:hAnsi="Times New Roman" w:cs="Times New Roman"/>
          <w:b/>
          <w:color w:val="000000"/>
          <w:sz w:val="24"/>
          <w:szCs w:val="24"/>
          <w:highlight w:val="white"/>
        </w:rPr>
        <w:t># Authors contributed equally for first position.</w:t>
      </w:r>
    </w:p>
    <w:p w14:paraId="0000000E" w14:textId="77777777" w:rsidR="0036428B" w:rsidRDefault="00831D93">
      <w:pPr>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Abstract</w:t>
      </w:r>
    </w:p>
    <w:p w14:paraId="0000000F" w14:textId="77777777" w:rsidR="0036428B" w:rsidRDefault="00831D93">
      <w:pPr>
        <w:jc w:val="both"/>
        <w:rPr>
          <w:rFonts w:ascii="Times New Roman" w:eastAsia="Times New Roman" w:hAnsi="Times New Roman" w:cs="Times New Roman"/>
          <w:b/>
          <w:color w:val="000000"/>
          <w:sz w:val="24"/>
          <w:szCs w:val="24"/>
        </w:rPr>
      </w:pPr>
      <w:bookmarkStart w:id="0" w:name="_heading=h.gjdgxs" w:colFirst="0" w:colLast="0"/>
      <w:bookmarkEnd w:id="0"/>
      <w:r>
        <w:rPr>
          <w:rFonts w:ascii="Times New Roman" w:eastAsia="Times New Roman" w:hAnsi="Times New Roman" w:cs="Times New Roman"/>
          <w:color w:val="0000FF"/>
          <w:sz w:val="24"/>
          <w:szCs w:val="24"/>
        </w:rPr>
        <w:t xml:space="preserve">The continuing evolution of SARS-CoV-2 variants not only causes a long-term global health concerns but also encounters the vaccine/drug effectiveness. The degree of virus infectivity and its clinical outcomes often depend on various biological parameters (e.g., age, genetic factors, diabetes, obesity and other ailments) of an individual along with multiple environmental factors (e.g., air temperature, humidity, seasons). </w:t>
      </w:r>
      <w:r>
        <w:rPr>
          <w:rFonts w:ascii="Times New Roman" w:eastAsia="Times New Roman" w:hAnsi="Times New Roman" w:cs="Times New Roman"/>
          <w:color w:val="000000"/>
          <w:sz w:val="24"/>
          <w:szCs w:val="24"/>
        </w:rPr>
        <w:t>Thus,</w:t>
      </w:r>
      <w:r>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sz w:val="24"/>
          <w:szCs w:val="24"/>
        </w:rPr>
        <w:t>despite the</w:t>
      </w:r>
      <w:r>
        <w:rPr>
          <w:rFonts w:ascii="Times New Roman" w:eastAsia="Times New Roman" w:hAnsi="Times New Roman" w:cs="Times New Roman"/>
          <w:color w:val="000099"/>
          <w:sz w:val="24"/>
          <w:szCs w:val="24"/>
        </w:rPr>
        <w:t xml:space="preserve"> </w:t>
      </w:r>
      <w:r>
        <w:rPr>
          <w:rFonts w:ascii="Times New Roman" w:eastAsia="Times New Roman" w:hAnsi="Times New Roman" w:cs="Times New Roman"/>
          <w:color w:val="000000"/>
          <w:sz w:val="24"/>
          <w:szCs w:val="24"/>
        </w:rPr>
        <w:t xml:space="preserve">extensive search for and use </w:t>
      </w:r>
      <w:r>
        <w:rPr>
          <w:rFonts w:ascii="Times New Roman" w:eastAsia="Times New Roman" w:hAnsi="Times New Roman" w:cs="Times New Roman"/>
          <w:color w:val="000099"/>
          <w:sz w:val="24"/>
          <w:szCs w:val="24"/>
        </w:rPr>
        <w:t xml:space="preserve">of </w:t>
      </w:r>
      <w:r>
        <w:rPr>
          <w:rFonts w:ascii="Times New Roman" w:eastAsia="Times New Roman" w:hAnsi="Times New Roman" w:cs="Times New Roman"/>
          <w:sz w:val="24"/>
          <w:szCs w:val="24"/>
        </w:rPr>
        <w:t xml:space="preserve">several vaccine/drug candidates, </w:t>
      </w:r>
      <w:r>
        <w:rPr>
          <w:rFonts w:ascii="Times New Roman" w:eastAsia="Times New Roman" w:hAnsi="Times New Roman" w:cs="Times New Roman"/>
          <w:color w:val="000099"/>
          <w:sz w:val="24"/>
          <w:szCs w:val="24"/>
        </w:rPr>
        <w:t xml:space="preserve">the combinative influence of these </w:t>
      </w:r>
      <w:r>
        <w:rPr>
          <w:rFonts w:ascii="Times New Roman" w:eastAsia="Times New Roman" w:hAnsi="Times New Roman" w:cs="Times New Roman"/>
          <w:color w:val="000000"/>
          <w:sz w:val="24"/>
          <w:szCs w:val="24"/>
        </w:rPr>
        <w:t>various extrinsic and intrinsic risk factors involved in the SARS-CoV-2 virus infectivity has yet</w:t>
      </w:r>
      <w:r>
        <w:rPr>
          <w:rFonts w:ascii="Times New Roman" w:eastAsia="Times New Roman" w:hAnsi="Times New Roman" w:cs="Times New Roman"/>
          <w:color w:val="000099"/>
          <w:sz w:val="24"/>
          <w:szCs w:val="24"/>
        </w:rPr>
        <w:t xml:space="preserve"> </w:t>
      </w:r>
      <w:r>
        <w:rPr>
          <w:rFonts w:ascii="Times New Roman" w:eastAsia="Times New Roman" w:hAnsi="Times New Roman" w:cs="Times New Roman"/>
          <w:sz w:val="24"/>
          <w:szCs w:val="24"/>
        </w:rPr>
        <w:t xml:space="preserve">to be explored. </w:t>
      </w:r>
      <w:r>
        <w:rPr>
          <w:rFonts w:ascii="Times New Roman" w:eastAsia="Times New Roman" w:hAnsi="Times New Roman" w:cs="Times New Roman"/>
          <w:color w:val="000000"/>
          <w:sz w:val="24"/>
          <w:szCs w:val="24"/>
        </w:rPr>
        <w:t>Previous studies have reported that environment temperature is negatively associated with virus infectivity for SARS-CoV-2.  This study elaborates on our previous findings, investigating the link between environmental temperature and other metabolic parameters, such as average total cholesterol and obesity, with the increase in COVID-19 cases. Statistical analysis conducted on a per country basis not only supports the existence of a significant negative correlation between environmental temperature and SARS-CoV-2 infections but also found a strong positive correlation between COVID-19 cases and these metabolic parameters. In addition, a multiphase growth curve model (GCM) was built to predict the contribution of these covariates in SARS-CoV-2 infectivity. These findings, for first time, support the idea that there might be a combinatorial impact of environmental temperature, average total cholesterol, and obesity in the inflation of the SARS-CoV-2 infectivity.</w:t>
      </w:r>
    </w:p>
    <w:p w14:paraId="00000010" w14:textId="77777777" w:rsidR="0036428B" w:rsidRDefault="00831D93">
      <w:pPr>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Keywords: </w:t>
      </w:r>
      <w:r>
        <w:rPr>
          <w:rFonts w:ascii="Times New Roman" w:eastAsia="Times New Roman" w:hAnsi="Times New Roman" w:cs="Times New Roman"/>
          <w:color w:val="000000"/>
          <w:sz w:val="24"/>
          <w:szCs w:val="24"/>
        </w:rPr>
        <w:t>Coronavirus, SARS-CoV-2, Environmental Temperature, Cholesterol, BMI, Obesity, Growth Curve Model</w:t>
      </w:r>
    </w:p>
    <w:p w14:paraId="00000011" w14:textId="77777777" w:rsidR="0036428B" w:rsidRDefault="0036428B">
      <w:pPr>
        <w:jc w:val="both"/>
        <w:rPr>
          <w:rFonts w:ascii="Times New Roman" w:eastAsia="Times New Roman" w:hAnsi="Times New Roman" w:cs="Times New Roman"/>
          <w:b/>
          <w:color w:val="000000"/>
          <w:sz w:val="28"/>
          <w:szCs w:val="28"/>
        </w:rPr>
      </w:pPr>
    </w:p>
    <w:p w14:paraId="00000012" w14:textId="77777777" w:rsidR="0036428B" w:rsidRDefault="0036428B">
      <w:pPr>
        <w:spacing w:line="360" w:lineRule="auto"/>
        <w:jc w:val="both"/>
        <w:rPr>
          <w:rFonts w:ascii="Times New Roman" w:eastAsia="Times New Roman" w:hAnsi="Times New Roman" w:cs="Times New Roman"/>
          <w:b/>
          <w:color w:val="000000"/>
          <w:sz w:val="28"/>
          <w:szCs w:val="28"/>
        </w:rPr>
      </w:pPr>
    </w:p>
    <w:p w14:paraId="00000013" w14:textId="77777777" w:rsidR="0036428B" w:rsidRDefault="00831D93">
      <w:pPr>
        <w:spacing w:line="360" w:lineRule="auto"/>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lastRenderedPageBreak/>
        <w:t>Introduction</w:t>
      </w:r>
    </w:p>
    <w:p w14:paraId="00000014" w14:textId="67047525" w:rsidR="0036428B" w:rsidRDefault="00831D93">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An international public health crisis emanated from Wuhan (Hubei province), China with the emergence of a new coronavirus strain later identified as severe acute respiratory syndrome coronavirus 2 (SARS-CoV-2)</w:t>
      </w:r>
      <w:r>
        <w:rPr>
          <w:rFonts w:ascii="Times New Roman" w:eastAsia="Times New Roman" w:hAnsi="Times New Roman" w:cs="Times New Roman"/>
          <w:color w:val="000000"/>
          <w:sz w:val="24"/>
          <w:szCs w:val="24"/>
          <w:vertAlign w:val="superscript"/>
        </w:rPr>
        <w:t>1</w:t>
      </w:r>
      <w:r>
        <w:rPr>
          <w:rFonts w:ascii="Times New Roman" w:eastAsia="Times New Roman" w:hAnsi="Times New Roman" w:cs="Times New Roman"/>
          <w:color w:val="000000"/>
          <w:sz w:val="24"/>
          <w:szCs w:val="24"/>
        </w:rPr>
        <w:t xml:space="preserve">. This novel virus spread rapidly across the globe and has been declared as a pandemic by the World Health Organization in March, 2020. As of July, 2021 (data considered in our study), ~200 million cases have been confirmed, with over 4 million deaths worldwide. In order to curb the spread of this novel virus, multiple comprehensive measures will have to be devised and thus, it compelled us to elucidate any additional factors which might affect the transmission of this virus. </w:t>
      </w:r>
      <w:r>
        <w:rPr>
          <w:rFonts w:ascii="Times New Roman" w:eastAsia="Times New Roman" w:hAnsi="Times New Roman" w:cs="Times New Roman"/>
          <w:color w:val="0000FF"/>
          <w:sz w:val="24"/>
          <w:szCs w:val="24"/>
        </w:rPr>
        <w:t>Indeed, various nanotechnology based approaches as preventive measures and detection of SARS-CoV-2 have been suggested to combat COVID-19 pandemic</w:t>
      </w:r>
      <w:r>
        <w:rPr>
          <w:rFonts w:ascii="Times New Roman" w:eastAsia="Times New Roman" w:hAnsi="Times New Roman" w:cs="Times New Roman"/>
          <w:color w:val="0000FF"/>
          <w:sz w:val="24"/>
          <w:szCs w:val="24"/>
          <w:vertAlign w:val="superscript"/>
        </w:rPr>
        <w:t>2</w:t>
      </w:r>
      <w:proofErr w:type="gramStart"/>
      <w:r>
        <w:rPr>
          <w:rFonts w:ascii="Times New Roman" w:eastAsia="Times New Roman" w:hAnsi="Times New Roman" w:cs="Times New Roman"/>
          <w:color w:val="0000FF"/>
          <w:sz w:val="24"/>
          <w:szCs w:val="24"/>
          <w:vertAlign w:val="superscript"/>
        </w:rPr>
        <w:t>,3</w:t>
      </w:r>
      <w:proofErr w:type="gramEnd"/>
      <w:r>
        <w:rPr>
          <w:rFonts w:ascii="Times New Roman" w:eastAsia="Times New Roman" w:hAnsi="Times New Roman" w:cs="Times New Roman"/>
          <w:color w:val="0000FF"/>
          <w:sz w:val="24"/>
          <w:szCs w:val="24"/>
        </w:rPr>
        <w:t xml:space="preserve">.  </w:t>
      </w:r>
      <w:r>
        <w:rPr>
          <w:rFonts w:ascii="Times New Roman" w:eastAsia="Times New Roman" w:hAnsi="Times New Roman" w:cs="Times New Roman"/>
          <w:color w:val="000000"/>
          <w:sz w:val="24"/>
          <w:szCs w:val="24"/>
        </w:rPr>
        <w:t>Previous studies have demonstrated that environmental temperature affects the spread of other respiratory viruses including rhinovirus, influenza A and B, and other coronaviruses</w:t>
      </w:r>
      <w:r>
        <w:rPr>
          <w:rFonts w:ascii="Times New Roman" w:eastAsia="Times New Roman" w:hAnsi="Times New Roman" w:cs="Times New Roman"/>
          <w:color w:val="000000"/>
          <w:sz w:val="24"/>
          <w:szCs w:val="24"/>
          <w:vertAlign w:val="superscript"/>
        </w:rPr>
        <w:t>4</w:t>
      </w:r>
      <w:r>
        <w:rPr>
          <w:rFonts w:ascii="Times New Roman" w:eastAsia="Times New Roman" w:hAnsi="Times New Roman" w:cs="Times New Roman"/>
          <w:color w:val="000000"/>
          <w:sz w:val="24"/>
          <w:szCs w:val="24"/>
        </w:rPr>
        <w:t>. These data suggested that environmental temperature might also play a role in the transmission of SARS-CoV-2. We recently published an article demonstrating a strong negative correlation between environmental temperature an</w:t>
      </w:r>
      <w:r w:rsidR="00D02561">
        <w:rPr>
          <w:rFonts w:ascii="Times New Roman" w:eastAsia="Times New Roman" w:hAnsi="Times New Roman" w:cs="Times New Roman"/>
          <w:color w:val="000000"/>
          <w:sz w:val="24"/>
          <w:szCs w:val="24"/>
        </w:rPr>
        <w:t xml:space="preserve">d SARS-CoV-2 infection of a </w:t>
      </w:r>
      <w:r>
        <w:rPr>
          <w:rFonts w:ascii="Times New Roman" w:eastAsia="Times New Roman" w:hAnsi="Times New Roman" w:cs="Times New Roman"/>
          <w:color w:val="000000"/>
          <w:sz w:val="24"/>
          <w:szCs w:val="24"/>
        </w:rPr>
        <w:t>country, worldwide</w:t>
      </w:r>
      <w:r>
        <w:rPr>
          <w:rFonts w:ascii="Times New Roman" w:eastAsia="Times New Roman" w:hAnsi="Times New Roman" w:cs="Times New Roman"/>
          <w:color w:val="000000"/>
          <w:sz w:val="24"/>
          <w:szCs w:val="24"/>
          <w:vertAlign w:val="superscript"/>
        </w:rPr>
        <w:t>5</w:t>
      </w:r>
      <w:r>
        <w:rPr>
          <w:rFonts w:ascii="Times New Roman" w:eastAsia="Times New Roman" w:hAnsi="Times New Roman" w:cs="Times New Roman"/>
          <w:color w:val="000000"/>
          <w:sz w:val="24"/>
          <w:szCs w:val="24"/>
        </w:rPr>
        <w:t xml:space="preserve">. This conclusion was made at the beginning </w:t>
      </w:r>
      <w:r>
        <w:rPr>
          <w:rFonts w:ascii="Times New Roman" w:eastAsia="Times New Roman" w:hAnsi="Times New Roman" w:cs="Times New Roman"/>
          <w:sz w:val="24"/>
          <w:szCs w:val="24"/>
        </w:rPr>
        <w:t xml:space="preserve">of COVID-19 pandemic (April, 2020) when the data was too much dynamic and fluid. Thus, to further validate our previous findings, we have analysed the link between monthly average environmental temperature (MAET) and COVID-19 cases of a country by using data from March, 2020 to July, 2021. </w:t>
      </w:r>
    </w:p>
    <w:p w14:paraId="00000015" w14:textId="77777777" w:rsidR="0036428B" w:rsidRDefault="00831D93">
      <w:pPr>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sz w:val="24"/>
          <w:szCs w:val="24"/>
        </w:rPr>
        <w:t>Because of the inconsistent results between studies on the role of temperature in SARS-CoV-2 infectivity, we looked into other factors which might also be contributing to the spread of the virus. In this present study, we probed the correlation between average total cholesterol, obesity, and BMI all associated with metabolic processes with confirmed SARS-CoV-2 cases. Apart from being the predominant component of lipid microdomains, cholesterol has also been investigated in the efficient binding of the SARS-CoV virus to the ACE-2 receptor, even before the current COVID-19 pandemic</w:t>
      </w:r>
      <w:r>
        <w:rPr>
          <w:rFonts w:ascii="Times New Roman" w:eastAsia="Times New Roman" w:hAnsi="Times New Roman" w:cs="Times New Roman"/>
          <w:sz w:val="24"/>
          <w:szCs w:val="24"/>
          <w:vertAlign w:val="superscript"/>
        </w:rPr>
        <w:t>6</w:t>
      </w:r>
      <w:proofErr w:type="gramStart"/>
      <w:r>
        <w:rPr>
          <w:rFonts w:ascii="Times New Roman" w:eastAsia="Times New Roman" w:hAnsi="Times New Roman" w:cs="Times New Roman"/>
          <w:sz w:val="24"/>
          <w:szCs w:val="24"/>
          <w:vertAlign w:val="superscript"/>
        </w:rPr>
        <w:t>,7</w:t>
      </w:r>
      <w:proofErr w:type="gramEnd"/>
      <w:r>
        <w:rPr>
          <w:rFonts w:ascii="Times New Roman" w:eastAsia="Times New Roman" w:hAnsi="Times New Roman" w:cs="Times New Roman"/>
          <w:sz w:val="24"/>
          <w:szCs w:val="24"/>
        </w:rPr>
        <w:t>. Additionally, a study conducted in Wuhan observed that a number of obesity-associated conditions, including diabetes, hypertension, and coronary artery disease, were common comorbidities in hospitalised patients</w:t>
      </w:r>
      <w:r>
        <w:rPr>
          <w:rFonts w:ascii="Times New Roman" w:eastAsia="Times New Roman" w:hAnsi="Times New Roman" w:cs="Times New Roman"/>
          <w:sz w:val="24"/>
          <w:szCs w:val="24"/>
          <w:vertAlign w:val="superscript"/>
        </w:rPr>
        <w:t>8</w:t>
      </w:r>
      <w:r>
        <w:rPr>
          <w:rFonts w:ascii="Times New Roman" w:eastAsia="Times New Roman" w:hAnsi="Times New Roman" w:cs="Times New Roman"/>
          <w:sz w:val="24"/>
          <w:szCs w:val="24"/>
        </w:rPr>
        <w:t xml:space="preserve">. Hence, obesity and BMI were the other chosen factors for this study. Statistical analysis identified a strong negative correlation between MAET and the number of COVID-19 cases in a country.  Additionally, we identified a positive correlation between the previously mentioned metabolic parameters </w:t>
      </w:r>
      <w:r>
        <w:rPr>
          <w:rFonts w:ascii="Times New Roman" w:eastAsia="Times New Roman" w:hAnsi="Times New Roman" w:cs="Times New Roman"/>
          <w:sz w:val="24"/>
          <w:szCs w:val="24"/>
        </w:rPr>
        <w:lastRenderedPageBreak/>
        <w:t>and the number of COVID-19 cases in the country. This data implicates additional variables, particularly environmental and metabolic factors, which collaborate to support the rapid spread of the SARS-CoV-2 infection.</w:t>
      </w:r>
    </w:p>
    <w:p w14:paraId="00000016" w14:textId="77777777" w:rsidR="0036428B" w:rsidRDefault="00831D93">
      <w:pPr>
        <w:spacing w:line="360" w:lineRule="auto"/>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Results</w:t>
      </w:r>
    </w:p>
    <w:p w14:paraId="00000017" w14:textId="77777777" w:rsidR="0036428B" w:rsidRDefault="00831D93">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Geographical locations of countries with highest levels of average total cholesterol, BMI, obesity, and COVID-19 cases in their population</w:t>
      </w:r>
    </w:p>
    <w:p w14:paraId="00000018" w14:textId="77777777" w:rsidR="0036428B" w:rsidRDefault="00831D93">
      <w:p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To investigate whether the geographical location has any impact on SARS-CoV-2 infection, we first identified the top 75 countries for COVID-19 infection (</w:t>
      </w:r>
      <w:r>
        <w:rPr>
          <w:rFonts w:ascii="Times New Roman" w:eastAsia="Times New Roman" w:hAnsi="Times New Roman" w:cs="Times New Roman"/>
          <w:b/>
          <w:color w:val="000000"/>
          <w:sz w:val="24"/>
          <w:szCs w:val="24"/>
        </w:rPr>
        <w:t>Fig.1A</w:t>
      </w:r>
      <w:r>
        <w:rPr>
          <w:rFonts w:ascii="Times New Roman" w:eastAsia="Times New Roman" w:hAnsi="Times New Roman" w:cs="Times New Roman"/>
          <w:color w:val="000000"/>
          <w:sz w:val="24"/>
          <w:szCs w:val="24"/>
        </w:rPr>
        <w:t>). As of December 2020, there are 75 countries with at least 14,000 COVID-19 cases, providing a relatively large number for comparative analysis between various parameters. Moreover, 40 out of these 75 countries belong to a relatively colder temperature zone i.e., 15</w:t>
      </w:r>
      <w:r>
        <w:rPr>
          <w:rFonts w:ascii="Times New Roman" w:eastAsia="Times New Roman" w:hAnsi="Times New Roman" w:cs="Times New Roman"/>
          <w:color w:val="000000"/>
          <w:sz w:val="24"/>
          <w:szCs w:val="24"/>
          <w:vertAlign w:val="superscript"/>
        </w:rPr>
        <w:t>0</w:t>
      </w:r>
      <w:r>
        <w:rPr>
          <w:rFonts w:ascii="Times New Roman" w:eastAsia="Times New Roman" w:hAnsi="Times New Roman" w:cs="Times New Roman"/>
          <w:color w:val="000000"/>
          <w:sz w:val="24"/>
          <w:szCs w:val="24"/>
        </w:rPr>
        <w:t>C or below (average annual temperature)</w:t>
      </w:r>
      <w:r>
        <w:rPr>
          <w:rFonts w:ascii="Arial" w:eastAsia="Arial" w:hAnsi="Arial" w:cs="Arial"/>
          <w:color w:val="000000"/>
          <w:sz w:val="24"/>
          <w:szCs w:val="24"/>
        </w:rPr>
        <w:t> </w:t>
      </w:r>
      <w:r>
        <w:rPr>
          <w:rFonts w:ascii="Times New Roman" w:eastAsia="Times New Roman" w:hAnsi="Times New Roman" w:cs="Times New Roman"/>
          <w:color w:val="000000"/>
          <w:sz w:val="24"/>
          <w:szCs w:val="24"/>
        </w:rPr>
        <w:t>i.e., above 23.5</w:t>
      </w:r>
      <w:r>
        <w:rPr>
          <w:rFonts w:ascii="Times New Roman" w:eastAsia="Times New Roman" w:hAnsi="Times New Roman" w:cs="Times New Roman"/>
          <w:color w:val="000000"/>
          <w:sz w:val="24"/>
          <w:szCs w:val="24"/>
          <w:vertAlign w:val="superscript"/>
        </w:rPr>
        <w:t>o</w:t>
      </w:r>
      <w:r>
        <w:rPr>
          <w:rFonts w:ascii="Times New Roman" w:eastAsia="Times New Roman" w:hAnsi="Times New Roman" w:cs="Times New Roman"/>
          <w:color w:val="000000"/>
          <w:sz w:val="24"/>
          <w:szCs w:val="24"/>
        </w:rPr>
        <w:t xml:space="preserve">N latitude and towards the north pole, which suggests that areas with lower environmental temperature are more prone to SARS-CoV-2 infection. We simultaneously identified the top 75 countries for relatively high average total cholesterol, high-BMI, and prevalence of obesity in their population in the world map in order to associate the influence of these particular metabolic parameters with SARS-CoV-2 infections. </w:t>
      </w:r>
    </w:p>
    <w:p w14:paraId="00000019" w14:textId="77777777" w:rsidR="0036428B" w:rsidRDefault="00831D93">
      <w:p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 our recent publication, we investigated whether the novel coronavirus may exhibit increased infectivity in regions with lower environmental temperatures</w:t>
      </w:r>
      <w:r>
        <w:rPr>
          <w:rFonts w:ascii="Times New Roman" w:eastAsia="Times New Roman" w:hAnsi="Times New Roman" w:cs="Times New Roman"/>
          <w:color w:val="000000"/>
          <w:sz w:val="24"/>
          <w:szCs w:val="24"/>
          <w:vertAlign w:val="superscript"/>
        </w:rPr>
        <w:t>5</w:t>
      </w:r>
      <w:r>
        <w:rPr>
          <w:rFonts w:ascii="Times New Roman" w:eastAsia="Times New Roman" w:hAnsi="Times New Roman" w:cs="Times New Roman"/>
          <w:color w:val="000000"/>
          <w:sz w:val="24"/>
          <w:szCs w:val="24"/>
        </w:rPr>
        <w:t>. Additionally, our laboratory had previously reported a negative correlation between environmental temperature and serum cholesterol content of the associated population, based on geographic locations</w:t>
      </w:r>
      <w:r>
        <w:rPr>
          <w:rFonts w:ascii="Times New Roman" w:eastAsia="Times New Roman" w:hAnsi="Times New Roman" w:cs="Times New Roman"/>
          <w:color w:val="000000"/>
          <w:sz w:val="24"/>
          <w:szCs w:val="24"/>
          <w:vertAlign w:val="superscript"/>
        </w:rPr>
        <w:t>9</w:t>
      </w:r>
      <w:r>
        <w:rPr>
          <w:rFonts w:ascii="Times New Roman" w:eastAsia="Times New Roman" w:hAnsi="Times New Roman" w:cs="Times New Roman"/>
          <w:color w:val="000000"/>
          <w:sz w:val="24"/>
          <w:szCs w:val="24"/>
        </w:rPr>
        <w:t>. Furthermore, it was found that the locations with the highest COVID-19 caseloads overlapped with those with the greatest number of metabolic parameters occupying the same locations (</w:t>
      </w:r>
      <w:r>
        <w:rPr>
          <w:rFonts w:ascii="Times New Roman" w:eastAsia="Times New Roman" w:hAnsi="Times New Roman" w:cs="Times New Roman"/>
          <w:b/>
          <w:color w:val="000000"/>
          <w:sz w:val="24"/>
          <w:szCs w:val="24"/>
        </w:rPr>
        <w:t>Fig.1B-D</w:t>
      </w:r>
      <w:r>
        <w:rPr>
          <w:rFonts w:ascii="Times New Roman" w:eastAsia="Times New Roman" w:hAnsi="Times New Roman" w:cs="Times New Roman"/>
          <w:color w:val="000000"/>
          <w:sz w:val="24"/>
          <w:szCs w:val="24"/>
        </w:rPr>
        <w:t>).  Therefore, these data indicated that these metabolic variables, i.e. high-cholesterol, high-BMI, and high-obesity, might additionally affect viral infectivity.</w:t>
      </w:r>
    </w:p>
    <w:p w14:paraId="0000001A" w14:textId="77777777" w:rsidR="0036428B" w:rsidRDefault="00831D93">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Univariate analysis to study the association between COVID-19 cases and metabolic parameters</w:t>
      </w:r>
    </w:p>
    <w:p w14:paraId="0000001B" w14:textId="77777777" w:rsidR="0036428B" w:rsidRDefault="00831D93">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As stated earlier, our previous publication identified a negative correlation between environmental temperature and the number of novel coronavirus cases</w:t>
      </w:r>
      <w:r>
        <w:rPr>
          <w:rFonts w:ascii="Times New Roman" w:eastAsia="Times New Roman" w:hAnsi="Times New Roman" w:cs="Times New Roman"/>
          <w:sz w:val="24"/>
          <w:szCs w:val="24"/>
          <w:vertAlign w:val="superscript"/>
        </w:rPr>
        <w:t>5</w:t>
      </w:r>
      <w:r>
        <w:rPr>
          <w:rFonts w:ascii="Times New Roman" w:eastAsia="Times New Roman" w:hAnsi="Times New Roman" w:cs="Times New Roman"/>
          <w:sz w:val="24"/>
          <w:szCs w:val="24"/>
        </w:rPr>
        <w:t>. In this earlier publication, the COVID-19 case data was limited to the months of March and April of 2020</w:t>
      </w:r>
      <w:r>
        <w:rPr>
          <w:rFonts w:ascii="Times New Roman" w:eastAsia="Times New Roman" w:hAnsi="Times New Roman" w:cs="Times New Roman"/>
          <w:sz w:val="24"/>
          <w:szCs w:val="24"/>
          <w:vertAlign w:val="superscript"/>
        </w:rPr>
        <w:t>5</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FF"/>
          <w:sz w:val="24"/>
          <w:szCs w:val="24"/>
        </w:rPr>
        <w:t>Our findings were consistent with other studies</w:t>
      </w:r>
      <w:r>
        <w:rPr>
          <w:rFonts w:ascii="Times New Roman" w:eastAsia="Times New Roman" w:hAnsi="Times New Roman" w:cs="Times New Roman"/>
          <w:color w:val="0000FF"/>
          <w:sz w:val="24"/>
          <w:szCs w:val="24"/>
          <w:vertAlign w:val="superscript"/>
        </w:rPr>
        <w:t>10-12</w:t>
      </w:r>
      <w:r>
        <w:rPr>
          <w:rFonts w:ascii="Times New Roman" w:eastAsia="Times New Roman" w:hAnsi="Times New Roman" w:cs="Times New Roman"/>
          <w:color w:val="0000FF"/>
          <w:sz w:val="24"/>
          <w:szCs w:val="24"/>
        </w:rPr>
        <w:t xml:space="preserve">, detecting significantly lower COVID-19 transmissibility in warmer temperatures. However, some conflicting studies did not find any </w:t>
      </w:r>
      <w:r>
        <w:rPr>
          <w:rFonts w:ascii="Times New Roman" w:eastAsia="Times New Roman" w:hAnsi="Times New Roman" w:cs="Times New Roman"/>
          <w:color w:val="0000FF"/>
          <w:sz w:val="24"/>
          <w:szCs w:val="24"/>
        </w:rPr>
        <w:lastRenderedPageBreak/>
        <w:t>significant correlation between temperature with COVID-19 cases</w:t>
      </w:r>
      <w:r>
        <w:rPr>
          <w:rFonts w:ascii="Times New Roman" w:eastAsia="Times New Roman" w:hAnsi="Times New Roman" w:cs="Times New Roman"/>
          <w:color w:val="0000FF"/>
          <w:sz w:val="24"/>
          <w:szCs w:val="24"/>
          <w:vertAlign w:val="superscript"/>
        </w:rPr>
        <w:t>13</w:t>
      </w:r>
      <w:proofErr w:type="gramStart"/>
      <w:r>
        <w:rPr>
          <w:rFonts w:ascii="Times New Roman" w:eastAsia="Times New Roman" w:hAnsi="Times New Roman" w:cs="Times New Roman"/>
          <w:color w:val="0000FF"/>
          <w:sz w:val="24"/>
          <w:szCs w:val="24"/>
          <w:vertAlign w:val="superscript"/>
        </w:rPr>
        <w:t>,14</w:t>
      </w:r>
      <w:proofErr w:type="gramEnd"/>
      <w:r>
        <w:rPr>
          <w:rFonts w:ascii="Times New Roman" w:eastAsia="Times New Roman" w:hAnsi="Times New Roman" w:cs="Times New Roman"/>
          <w:color w:val="0000FF"/>
          <w:sz w:val="24"/>
          <w:szCs w:val="24"/>
        </w:rPr>
        <w:t xml:space="preserve">. Generally, such studies were carried out in using only a single country/region.  </w:t>
      </w:r>
      <w:r>
        <w:rPr>
          <w:rFonts w:ascii="Times New Roman" w:eastAsia="Times New Roman" w:hAnsi="Times New Roman" w:cs="Times New Roman"/>
          <w:color w:val="000000"/>
          <w:sz w:val="24"/>
          <w:szCs w:val="24"/>
        </w:rPr>
        <w:t xml:space="preserve">Thus, </w:t>
      </w:r>
      <w:r>
        <w:rPr>
          <w:rFonts w:ascii="Times New Roman" w:eastAsia="Times New Roman" w:hAnsi="Times New Roman" w:cs="Times New Roman"/>
          <w:sz w:val="24"/>
          <w:szCs w:val="24"/>
        </w:rPr>
        <w:t xml:space="preserve">for this current study, we have expanded our analysis to include data for the total COVID-19 cases per million populations from March, 2020 to July, 2021. Univariate analysis using the Spearman correlation method found a strong negative correlation between MAET and the number of COVID-19 cases in the winter months in comparison to the other months for this period of time, thereby implying that the winter months may promote viral infectivity. A similar trend is also seen when using Pearson correlation analysis. Furthermore, we examined the association between the previously-discussed metabolic parameters and COVID-19 cases. The results of the univariate analysis between these metabolic parameters (average total cholesterol, BMI, and obesity levels) with COVID-19 cases per million are shown in </w:t>
      </w:r>
      <w:r>
        <w:rPr>
          <w:rFonts w:ascii="Times New Roman" w:eastAsia="Times New Roman" w:hAnsi="Times New Roman" w:cs="Times New Roman"/>
          <w:b/>
          <w:sz w:val="24"/>
          <w:szCs w:val="24"/>
        </w:rPr>
        <w:t>Table 1</w:t>
      </w:r>
      <w:r>
        <w:rPr>
          <w:rFonts w:ascii="Times New Roman" w:eastAsia="Times New Roman" w:hAnsi="Times New Roman" w:cs="Times New Roman"/>
          <w:sz w:val="24"/>
          <w:szCs w:val="24"/>
        </w:rPr>
        <w:t>. In agreement with our previous work, we again found a negative correlation between environmental temperature and COVID-19 cases</w:t>
      </w:r>
      <w:r>
        <w:rPr>
          <w:rFonts w:ascii="Times New Roman" w:eastAsia="Times New Roman" w:hAnsi="Times New Roman" w:cs="Times New Roman"/>
          <w:sz w:val="24"/>
          <w:szCs w:val="24"/>
          <w:vertAlign w:val="superscript"/>
        </w:rPr>
        <w:t>5</w:t>
      </w:r>
      <w:r>
        <w:rPr>
          <w:rFonts w:ascii="Times New Roman" w:eastAsia="Times New Roman" w:hAnsi="Times New Roman" w:cs="Times New Roman"/>
          <w:sz w:val="24"/>
          <w:szCs w:val="24"/>
        </w:rPr>
        <w:t>. Thus, to examine the interdependence of cholesterol levels and total COVID-19 cases, we conducted a univariate analysis between average total cholesterol and the month-wise COVID-19 cases per million by both Pearson and Spearman’s correlation methods.  A strong positive correlation was observed between cholesterol and total COVID-19 cases per million of a country (</w:t>
      </w:r>
      <w:r>
        <w:rPr>
          <w:rFonts w:ascii="Times New Roman" w:eastAsia="Times New Roman" w:hAnsi="Times New Roman" w:cs="Times New Roman"/>
          <w:b/>
          <w:sz w:val="24"/>
          <w:szCs w:val="24"/>
        </w:rPr>
        <w:t>Table 1</w:t>
      </w:r>
      <w:r>
        <w:rPr>
          <w:rFonts w:ascii="Times New Roman" w:eastAsia="Times New Roman" w:hAnsi="Times New Roman" w:cs="Times New Roman"/>
          <w:sz w:val="24"/>
          <w:szCs w:val="24"/>
        </w:rPr>
        <w:t>). Finally, we performed a univariate analysis between COVID-19 case number and BMI of the population of a country and found a positive correlation between these parameters (</w:t>
      </w:r>
      <w:r>
        <w:rPr>
          <w:rFonts w:ascii="Times New Roman" w:eastAsia="Times New Roman" w:hAnsi="Times New Roman" w:cs="Times New Roman"/>
          <w:b/>
          <w:sz w:val="24"/>
          <w:szCs w:val="24"/>
        </w:rPr>
        <w:t>Table 1</w:t>
      </w:r>
      <w:r>
        <w:rPr>
          <w:rFonts w:ascii="Times New Roman" w:eastAsia="Times New Roman" w:hAnsi="Times New Roman" w:cs="Times New Roman"/>
          <w:sz w:val="24"/>
          <w:szCs w:val="24"/>
        </w:rPr>
        <w:t xml:space="preserve">). Therefore, the metabolic parameters, i.e., high-cholesterol and obesity, could contribute to novel coronavirus infectivity. However, univariate data analysis alone is not sufficient to address the combinatorial influence of these parameters on virus infectivity. </w:t>
      </w:r>
    </w:p>
    <w:p w14:paraId="0000001C" w14:textId="77777777" w:rsidR="0036428B" w:rsidRDefault="00831D93">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Analysis of the distribution of total COVID-19 cases per million from March 2020 to July 2021</w:t>
      </w:r>
    </w:p>
    <w:p w14:paraId="0000001D" w14:textId="77777777" w:rsidR="0036428B" w:rsidRDefault="00831D93">
      <w:pPr>
        <w:pBdr>
          <w:top w:val="nil"/>
          <w:left w:val="nil"/>
          <w:bottom w:val="nil"/>
          <w:right w:val="nil"/>
          <w:between w:val="nil"/>
        </w:pBdr>
        <w:spacing w:before="240" w:after="24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To better understand the potential connection between the various factors and the number of COVID-19 infections, further exploratory data analysis was conducted. </w:t>
      </w:r>
      <w:r>
        <w:rPr>
          <w:rFonts w:ascii="Times New Roman" w:eastAsia="Times New Roman" w:hAnsi="Times New Roman" w:cs="Times New Roman"/>
          <w:b/>
          <w:color w:val="000000"/>
          <w:sz w:val="24"/>
          <w:szCs w:val="24"/>
        </w:rPr>
        <w:t xml:space="preserve">Fig.2, </w:t>
      </w:r>
      <w:r>
        <w:rPr>
          <w:rFonts w:ascii="Times New Roman" w:eastAsia="Times New Roman" w:hAnsi="Times New Roman" w:cs="Times New Roman"/>
          <w:color w:val="000000"/>
          <w:sz w:val="24"/>
          <w:szCs w:val="24"/>
        </w:rPr>
        <w:t xml:space="preserve">contains a set of box plots showing the distribution of COVID-19 cases per million over the specified months. These plots show that the mean and median both increase over the period, the mean is larger than the median indicating that the distribution of cases per million is positively skewed for the sample of considered countries. Additionally, the dot points in the initial months indicate that the data points from some countries were outliers. The difference between median and mean increased gradually even in the year 2021, clearly indicating that countries with extreme values </w:t>
      </w:r>
      <w:r>
        <w:rPr>
          <w:rFonts w:ascii="Times New Roman" w:eastAsia="Times New Roman" w:hAnsi="Times New Roman" w:cs="Times New Roman"/>
          <w:color w:val="000000"/>
          <w:sz w:val="24"/>
          <w:szCs w:val="24"/>
        </w:rPr>
        <w:lastRenderedPageBreak/>
        <w:t>were still skewing statistical measures. In addition to this, a simple trajectory plot for the monthly COVID-19 data from March, 2020 to July, 2021 (</w:t>
      </w:r>
      <w:r>
        <w:rPr>
          <w:rFonts w:ascii="Times New Roman" w:eastAsia="Times New Roman" w:hAnsi="Times New Roman" w:cs="Times New Roman"/>
          <w:b/>
          <w:color w:val="000000"/>
          <w:sz w:val="24"/>
          <w:szCs w:val="24"/>
        </w:rPr>
        <w:t>Fig.3</w:t>
      </w:r>
      <w:r>
        <w:rPr>
          <w:rFonts w:ascii="Times New Roman" w:eastAsia="Times New Roman" w:hAnsi="Times New Roman" w:cs="Times New Roman"/>
          <w:color w:val="000000"/>
          <w:sz w:val="24"/>
          <w:szCs w:val="24"/>
        </w:rPr>
        <w:t>) showed that in the early months of the year 2020, there is instant growth in COVID-19 cases per million in most of the countries included, in the middle of months of 2020 a stability is seen in all countries and finally, in the last few months, there is again rapid growth in most countries. It can be seen that the rising trend in cases among the countries is non-linear and the growth rate varies from country to country over the defined period.</w:t>
      </w:r>
    </w:p>
    <w:p w14:paraId="0000001E" w14:textId="77777777" w:rsidR="0036428B" w:rsidRDefault="00831D93">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Modelling approaches for examining the relationship between environmental temperature, average total cholesterol, and BMI and COVID-19 cases of a country</w:t>
      </w:r>
    </w:p>
    <w:p w14:paraId="0000001F" w14:textId="4E2199C4" w:rsidR="0036428B" w:rsidRDefault="00831D93">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We used a latent growth curve model (GCM) approach to capture the growth of COVID-19 cases for considered time periods. Furthermore, the multiphase GCM elected to study the intra-individual and inter-individual changes in trajectories for considered countries. In the absence and presence of various covariates, we assigned the ranks to different fitted multiphase models as per their performances. It was observed that model-8 had the lowest AIC and BIC values and large</w:t>
      </w:r>
      <w:r w:rsidR="004D3D87">
        <w:rPr>
          <w:rFonts w:ascii="Times New Roman" w:eastAsia="Times New Roman" w:hAnsi="Times New Roman" w:cs="Times New Roman"/>
          <w:sz w:val="24"/>
          <w:szCs w:val="24"/>
        </w:rPr>
        <w:t xml:space="preserve"> en</w:t>
      </w:r>
      <w:r w:rsidR="00C87EBB">
        <w:rPr>
          <w:rFonts w:ascii="Times New Roman" w:eastAsia="Times New Roman" w:hAnsi="Times New Roman" w:cs="Times New Roman"/>
          <w:sz w:val="24"/>
          <w:szCs w:val="24"/>
        </w:rPr>
        <w:t>ough TLI value</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Table 2</w:t>
      </w:r>
      <w:r>
        <w:rPr>
          <w:rFonts w:ascii="Times New Roman" w:eastAsia="Times New Roman" w:hAnsi="Times New Roman" w:cs="Times New Roman"/>
          <w:sz w:val="24"/>
          <w:szCs w:val="24"/>
        </w:rPr>
        <w:t xml:space="preserve">), and so it was used for modelling the COVID-19 case number of all countries’ data. The estimates with corresponding standard errors obtained from model-8 are reported in </w:t>
      </w:r>
      <w:r>
        <w:rPr>
          <w:rFonts w:ascii="Times New Roman" w:eastAsia="Times New Roman" w:hAnsi="Times New Roman" w:cs="Times New Roman"/>
          <w:b/>
          <w:sz w:val="24"/>
          <w:szCs w:val="24"/>
        </w:rPr>
        <w:t>Table 3.</w:t>
      </w:r>
    </w:p>
    <w:p w14:paraId="00000020" w14:textId="4AF687A1" w:rsidR="0036428B" w:rsidRDefault="00831D93">
      <w:pPr>
        <w:pBdr>
          <w:top w:val="nil"/>
          <w:left w:val="nil"/>
          <w:bottom w:val="nil"/>
          <w:right w:val="nil"/>
          <w:between w:val="nil"/>
        </w:pBdr>
        <w:spacing w:before="240" w:after="24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From (</w:t>
      </w:r>
      <w:r>
        <w:rPr>
          <w:rFonts w:ascii="Times New Roman" w:eastAsia="Times New Roman" w:hAnsi="Times New Roman" w:cs="Times New Roman"/>
          <w:b/>
          <w:color w:val="000000"/>
          <w:sz w:val="24"/>
          <w:szCs w:val="24"/>
        </w:rPr>
        <w:t>Table 3)</w:t>
      </w:r>
      <w:r>
        <w:rPr>
          <w:rFonts w:ascii="Times New Roman" w:eastAsia="Times New Roman" w:hAnsi="Times New Roman" w:cs="Times New Roman"/>
          <w:color w:val="000000"/>
          <w:sz w:val="24"/>
          <w:szCs w:val="24"/>
        </w:rPr>
        <w:t xml:space="preserve">, it can be observed that the average baseline value for the outcome variable </w:t>
      </w:r>
      <m:oMath>
        <m:r>
          <w:rPr>
            <w:rFonts w:ascii="Cambria Math" w:eastAsia="Cambria Math" w:hAnsi="Cambria Math" w:cs="Cambria Math"/>
            <w:color w:val="000000"/>
            <w:sz w:val="24"/>
            <w:szCs w:val="24"/>
          </w:rPr>
          <m:t>C</m:t>
        </m:r>
        <m:sSub>
          <m:sSubPr>
            <m:ctrlPr>
              <w:rPr>
                <w:rFonts w:ascii="Cambria Math" w:eastAsia="Cambria Math" w:hAnsi="Cambria Math" w:cs="Cambria Math"/>
                <w:color w:val="000000"/>
                <w:sz w:val="24"/>
                <w:szCs w:val="24"/>
              </w:rPr>
            </m:ctrlPr>
          </m:sSubPr>
          <m:e>
            <m:r>
              <w:rPr>
                <w:rFonts w:ascii="Cambria Math" w:eastAsia="Cambria Math" w:hAnsi="Cambria Math" w:cs="Cambria Math"/>
                <w:color w:val="000000"/>
                <w:sz w:val="24"/>
                <w:szCs w:val="24"/>
              </w:rPr>
              <m:t>[t]</m:t>
            </m:r>
          </m:e>
          <m:sub>
            <m:r>
              <w:rPr>
                <w:rFonts w:ascii="Cambria Math" w:eastAsia="Cambria Math" w:hAnsi="Cambria Math" w:cs="Cambria Math"/>
                <w:color w:val="000000"/>
                <w:sz w:val="24"/>
                <w:szCs w:val="24"/>
              </w:rPr>
              <m:t>n</m:t>
            </m:r>
          </m:sub>
        </m:sSub>
      </m:oMath>
      <w:r>
        <w:rPr>
          <w:rFonts w:ascii="Times New Roman" w:eastAsia="Times New Roman" w:hAnsi="Times New Roman" w:cs="Times New Roman"/>
          <w:color w:val="000000"/>
          <w:sz w:val="24"/>
          <w:szCs w:val="24"/>
        </w:rPr>
        <w:t xml:space="preserve"> is 65.4469 (</w:t>
      </w:r>
      <m:oMath>
        <m:sSub>
          <m:sSubPr>
            <m:ctrlPr>
              <w:rPr>
                <w:rFonts w:ascii="Cambria Math" w:eastAsia="Cambria Math" w:hAnsi="Cambria Math" w:cs="Cambria Math"/>
                <w:color w:val="000000"/>
                <w:sz w:val="24"/>
                <w:szCs w:val="24"/>
              </w:rPr>
            </m:ctrlPr>
          </m:sSubPr>
          <m:e>
            <m:r>
              <w:rPr>
                <w:rFonts w:ascii="Cambria Math" w:eastAsia="Cambria Math" w:hAnsi="Cambria Math" w:cs="Cambria Math"/>
                <w:color w:val="000000"/>
                <w:sz w:val="24"/>
                <w:szCs w:val="24"/>
              </w:rPr>
              <m:t>g</m:t>
            </m:r>
          </m:e>
          <m:sub>
            <m:r>
              <w:rPr>
                <w:rFonts w:ascii="Cambria Math" w:eastAsia="Cambria Math" w:hAnsi="Cambria Math" w:cs="Cambria Math"/>
                <w:color w:val="000000"/>
                <w:sz w:val="24"/>
                <w:szCs w:val="24"/>
              </w:rPr>
              <m:t>0n</m:t>
            </m:r>
          </m:sub>
        </m:sSub>
      </m:oMath>
      <w:r>
        <w:rPr>
          <w:rFonts w:ascii="Times New Roman" w:eastAsia="Times New Roman" w:hAnsi="Times New Roman" w:cs="Times New Roman"/>
          <w:color w:val="000000"/>
          <w:sz w:val="24"/>
          <w:szCs w:val="24"/>
        </w:rPr>
        <w:t>). The average growth amount in the second, third, and fourth phases (as defined in the Methods) are -0.0004 (</w:t>
      </w:r>
      <m:oMath>
        <m:sSub>
          <m:sSubPr>
            <m:ctrlPr>
              <w:rPr>
                <w:rFonts w:ascii="Cambria Math" w:eastAsia="Cambria Math" w:hAnsi="Cambria Math" w:cs="Cambria Math"/>
                <w:color w:val="000000"/>
                <w:sz w:val="24"/>
                <w:szCs w:val="24"/>
              </w:rPr>
            </m:ctrlPr>
          </m:sSubPr>
          <m:e>
            <m:r>
              <w:rPr>
                <w:rFonts w:ascii="Cambria Math" w:eastAsia="Cambria Math" w:hAnsi="Cambria Math" w:cs="Cambria Math"/>
                <w:color w:val="000000"/>
                <w:sz w:val="24"/>
                <w:szCs w:val="24"/>
              </w:rPr>
              <m:t>g</m:t>
            </m:r>
          </m:e>
          <m:sub>
            <m:r>
              <w:rPr>
                <w:rFonts w:ascii="Cambria Math" w:eastAsia="Cambria Math" w:hAnsi="Cambria Math" w:cs="Cambria Math"/>
                <w:color w:val="000000"/>
                <w:sz w:val="24"/>
                <w:szCs w:val="24"/>
              </w:rPr>
              <m:t>1n</m:t>
            </m:r>
          </m:sub>
        </m:sSub>
      </m:oMath>
      <w:r>
        <w:rPr>
          <w:rFonts w:ascii="Times New Roman" w:eastAsia="Times New Roman" w:hAnsi="Times New Roman" w:cs="Times New Roman"/>
          <w:color w:val="000000"/>
          <w:sz w:val="24"/>
          <w:szCs w:val="24"/>
        </w:rPr>
        <w:t>), -1.5834 (</w:t>
      </w:r>
      <m:oMath>
        <m:sSub>
          <m:sSubPr>
            <m:ctrlPr>
              <w:rPr>
                <w:rFonts w:ascii="Cambria Math" w:eastAsia="Cambria Math" w:hAnsi="Cambria Math" w:cs="Cambria Math"/>
                <w:color w:val="000000"/>
                <w:sz w:val="24"/>
                <w:szCs w:val="24"/>
              </w:rPr>
            </m:ctrlPr>
          </m:sSubPr>
          <m:e>
            <m:r>
              <w:rPr>
                <w:rFonts w:ascii="Cambria Math" w:eastAsia="Cambria Math" w:hAnsi="Cambria Math" w:cs="Cambria Math"/>
                <w:color w:val="000000"/>
                <w:sz w:val="24"/>
                <w:szCs w:val="24"/>
              </w:rPr>
              <m:t>g</m:t>
            </m:r>
          </m:e>
          <m:sub>
            <m:r>
              <w:rPr>
                <w:rFonts w:ascii="Cambria Math" w:eastAsia="Cambria Math" w:hAnsi="Cambria Math" w:cs="Cambria Math"/>
                <w:color w:val="000000"/>
                <w:sz w:val="24"/>
                <w:szCs w:val="24"/>
              </w:rPr>
              <m:t>2n</m:t>
            </m:r>
          </m:sub>
        </m:sSub>
      </m:oMath>
      <w:r>
        <w:rPr>
          <w:rFonts w:ascii="Times New Roman" w:eastAsia="Times New Roman" w:hAnsi="Times New Roman" w:cs="Times New Roman"/>
          <w:color w:val="000000"/>
          <w:sz w:val="24"/>
          <w:szCs w:val="24"/>
        </w:rPr>
        <w:t>) and 3.9195 (</w:t>
      </w:r>
      <m:oMath>
        <m:sSub>
          <m:sSubPr>
            <m:ctrlPr>
              <w:rPr>
                <w:rFonts w:ascii="Cambria Math" w:eastAsia="Cambria Math" w:hAnsi="Cambria Math" w:cs="Cambria Math"/>
                <w:color w:val="000000"/>
                <w:sz w:val="24"/>
                <w:szCs w:val="24"/>
              </w:rPr>
            </m:ctrlPr>
          </m:sSubPr>
          <m:e>
            <m:r>
              <w:rPr>
                <w:rFonts w:ascii="Cambria Math" w:eastAsia="Cambria Math" w:hAnsi="Cambria Math" w:cs="Cambria Math"/>
                <w:color w:val="000000"/>
                <w:sz w:val="24"/>
                <w:szCs w:val="24"/>
              </w:rPr>
              <m:t>g</m:t>
            </m:r>
          </m:e>
          <m:sub>
            <m:r>
              <w:rPr>
                <w:rFonts w:ascii="Cambria Math" w:eastAsia="Cambria Math" w:hAnsi="Cambria Math" w:cs="Cambria Math"/>
                <w:color w:val="000000"/>
                <w:sz w:val="24"/>
                <w:szCs w:val="24"/>
              </w:rPr>
              <m:t>3n</m:t>
            </m:r>
          </m:sub>
        </m:sSub>
      </m:oMath>
      <w:r>
        <w:rPr>
          <w:rFonts w:ascii="Times New Roman" w:eastAsia="Times New Roman" w:hAnsi="Times New Roman" w:cs="Times New Roman"/>
          <w:color w:val="000000"/>
          <w:sz w:val="24"/>
          <w:szCs w:val="24"/>
        </w:rPr>
        <w:t xml:space="preserve">), with significant variances. The estimated parameters of </w:t>
      </w:r>
      <w:proofErr w:type="gramStart"/>
      <w:r>
        <w:rPr>
          <w:rFonts w:ascii="Times New Roman" w:eastAsia="Times New Roman" w:hAnsi="Times New Roman" w:cs="Times New Roman"/>
          <w:color w:val="000000"/>
          <w:sz w:val="24"/>
          <w:szCs w:val="24"/>
        </w:rPr>
        <w:t xml:space="preserve">vectors </w:t>
      </w:r>
      <w:proofErr w:type="gramEnd"/>
      <m:oMath>
        <m:sSub>
          <m:sSubPr>
            <m:ctrlPr>
              <w:rPr>
                <w:rFonts w:ascii="Cambria Math" w:eastAsia="Cambria Math" w:hAnsi="Cambria Math" w:cs="Cambria Math"/>
                <w:color w:val="000000"/>
                <w:sz w:val="24"/>
                <w:szCs w:val="24"/>
              </w:rPr>
            </m:ctrlPr>
          </m:sSubPr>
          <m:e>
            <m:r>
              <w:rPr>
                <w:rFonts w:ascii="Cambria Math" w:eastAsia="Cambria Math" w:hAnsi="Cambria Math" w:cs="Cambria Math"/>
                <w:color w:val="000000"/>
                <w:sz w:val="24"/>
                <w:szCs w:val="24"/>
              </w:rPr>
              <m:t>A</m:t>
            </m:r>
          </m:e>
          <m:sub>
            <m:r>
              <w:rPr>
                <w:rFonts w:ascii="Cambria Math" w:eastAsia="Cambria Math" w:hAnsi="Cambria Math" w:cs="Cambria Math"/>
                <w:color w:val="000000"/>
                <w:sz w:val="24"/>
                <w:szCs w:val="24"/>
              </w:rPr>
              <m:t>1</m:t>
            </m:r>
          </m:sub>
        </m:sSub>
        <m:d>
          <m:dPr>
            <m:begChr m:val="["/>
            <m:endChr m:val="]"/>
            <m:ctrlPr>
              <w:rPr>
                <w:rFonts w:ascii="Cambria Math" w:eastAsia="Cambria Math" w:hAnsi="Cambria Math" w:cs="Cambria Math"/>
                <w:color w:val="000000"/>
                <w:sz w:val="24"/>
                <w:szCs w:val="24"/>
              </w:rPr>
            </m:ctrlPr>
          </m:dPr>
          <m:e>
            <m:r>
              <w:rPr>
                <w:rFonts w:ascii="Cambria Math" w:eastAsia="Cambria Math" w:hAnsi="Cambria Math" w:cs="Cambria Math"/>
                <w:color w:val="000000"/>
                <w:sz w:val="24"/>
                <w:szCs w:val="24"/>
              </w:rPr>
              <m:t>t</m:t>
            </m:r>
          </m:e>
        </m:d>
      </m:oMath>
      <w:r>
        <w:rPr>
          <w:rFonts w:ascii="Times New Roman" w:eastAsia="Times New Roman" w:hAnsi="Times New Roman" w:cs="Times New Roman"/>
          <w:color w:val="000000"/>
          <w:sz w:val="24"/>
          <w:szCs w:val="24"/>
        </w:rPr>
        <w:t xml:space="preserve">, </w:t>
      </w:r>
      <m:oMath>
        <m:sSub>
          <m:sSubPr>
            <m:ctrlPr>
              <w:rPr>
                <w:rFonts w:ascii="Cambria Math" w:eastAsia="Cambria Math" w:hAnsi="Cambria Math" w:cs="Cambria Math"/>
                <w:color w:val="000000"/>
                <w:sz w:val="24"/>
                <w:szCs w:val="24"/>
              </w:rPr>
            </m:ctrlPr>
          </m:sSubPr>
          <m:e>
            <m:r>
              <w:rPr>
                <w:rFonts w:ascii="Cambria Math" w:eastAsia="Cambria Math" w:hAnsi="Cambria Math" w:cs="Cambria Math"/>
                <w:color w:val="000000"/>
                <w:sz w:val="24"/>
                <w:szCs w:val="24"/>
              </w:rPr>
              <m:t>A</m:t>
            </m:r>
          </m:e>
          <m:sub>
            <m:r>
              <w:rPr>
                <w:rFonts w:ascii="Cambria Math" w:eastAsia="Cambria Math" w:hAnsi="Cambria Math" w:cs="Cambria Math"/>
                <w:color w:val="000000"/>
                <w:sz w:val="24"/>
                <w:szCs w:val="24"/>
              </w:rPr>
              <m:t>2</m:t>
            </m:r>
          </m:sub>
        </m:sSub>
        <m:d>
          <m:dPr>
            <m:begChr m:val="["/>
            <m:endChr m:val="]"/>
            <m:ctrlPr>
              <w:rPr>
                <w:rFonts w:ascii="Cambria Math" w:eastAsia="Cambria Math" w:hAnsi="Cambria Math" w:cs="Cambria Math"/>
                <w:color w:val="000000"/>
                <w:sz w:val="24"/>
                <w:szCs w:val="24"/>
              </w:rPr>
            </m:ctrlPr>
          </m:dPr>
          <m:e>
            <m:r>
              <w:rPr>
                <w:rFonts w:ascii="Cambria Math" w:eastAsia="Cambria Math" w:hAnsi="Cambria Math" w:cs="Cambria Math"/>
                <w:color w:val="000000"/>
                <w:sz w:val="24"/>
                <w:szCs w:val="24"/>
              </w:rPr>
              <m:t>t</m:t>
            </m:r>
          </m:e>
        </m:d>
      </m:oMath>
      <w:r>
        <w:rPr>
          <w:rFonts w:ascii="Times New Roman" w:eastAsia="Times New Roman" w:hAnsi="Times New Roman" w:cs="Times New Roman"/>
          <w:color w:val="000000"/>
          <w:sz w:val="24"/>
          <w:szCs w:val="24"/>
        </w:rPr>
        <w:t xml:space="preserve"> and </w:t>
      </w:r>
      <m:oMath>
        <m:sSub>
          <m:sSubPr>
            <m:ctrlPr>
              <w:rPr>
                <w:rFonts w:ascii="Cambria Math" w:eastAsia="Cambria Math" w:hAnsi="Cambria Math" w:cs="Cambria Math"/>
                <w:color w:val="000000"/>
                <w:sz w:val="24"/>
                <w:szCs w:val="24"/>
              </w:rPr>
            </m:ctrlPr>
          </m:sSubPr>
          <m:e>
            <m:r>
              <w:rPr>
                <w:rFonts w:ascii="Cambria Math" w:eastAsia="Cambria Math" w:hAnsi="Cambria Math" w:cs="Cambria Math"/>
                <w:color w:val="000000"/>
                <w:sz w:val="24"/>
                <w:szCs w:val="24"/>
              </w:rPr>
              <m:t>A</m:t>
            </m:r>
          </m:e>
          <m:sub>
            <m:r>
              <w:rPr>
                <w:rFonts w:ascii="Cambria Math" w:eastAsia="Cambria Math" w:hAnsi="Cambria Math" w:cs="Cambria Math"/>
                <w:color w:val="000000"/>
                <w:sz w:val="24"/>
                <w:szCs w:val="24"/>
              </w:rPr>
              <m:t>3</m:t>
            </m:r>
          </m:sub>
        </m:sSub>
        <m:d>
          <m:dPr>
            <m:begChr m:val="["/>
            <m:endChr m:val="]"/>
            <m:ctrlPr>
              <w:rPr>
                <w:rFonts w:ascii="Cambria Math" w:eastAsia="Cambria Math" w:hAnsi="Cambria Math" w:cs="Cambria Math"/>
                <w:color w:val="000000"/>
                <w:sz w:val="24"/>
                <w:szCs w:val="24"/>
              </w:rPr>
            </m:ctrlPr>
          </m:dPr>
          <m:e>
            <m:r>
              <w:rPr>
                <w:rFonts w:ascii="Cambria Math" w:eastAsia="Cambria Math" w:hAnsi="Cambria Math" w:cs="Cambria Math"/>
                <w:color w:val="000000"/>
                <w:sz w:val="24"/>
                <w:szCs w:val="24"/>
              </w:rPr>
              <m:t>t</m:t>
            </m:r>
          </m:e>
        </m:d>
      </m:oMath>
      <w:r>
        <w:rPr>
          <w:rFonts w:ascii="Times New Roman" w:eastAsia="Times New Roman" w:hAnsi="Times New Roman" w:cs="Times New Roman"/>
          <w:color w:val="000000"/>
          <w:sz w:val="24"/>
          <w:szCs w:val="24"/>
        </w:rPr>
        <w:t xml:space="preserve"> (</w:t>
      </w:r>
      <m:oMath>
        <m:sSub>
          <m:sSubPr>
            <m:ctrlPr>
              <w:rPr>
                <w:rFonts w:ascii="Cambria Math" w:eastAsia="Cambria Math" w:hAnsi="Cambria Math" w:cs="Cambria Math"/>
                <w:color w:val="000000"/>
                <w:sz w:val="24"/>
                <w:szCs w:val="24"/>
              </w:rPr>
            </m:ctrlPr>
          </m:sSubPr>
          <m:e>
            <m:r>
              <w:rPr>
                <w:rFonts w:ascii="Cambria Math" w:hAnsi="Cambria Math"/>
              </w:rPr>
              <m:t>α</m:t>
            </m:r>
          </m:e>
          <m:sub>
            <m:r>
              <w:rPr>
                <w:rFonts w:ascii="Cambria Math" w:eastAsia="Cambria Math" w:hAnsi="Cambria Math" w:cs="Cambria Math"/>
                <w:color w:val="000000"/>
                <w:sz w:val="24"/>
                <w:szCs w:val="24"/>
              </w:rPr>
              <m:t>6</m:t>
            </m:r>
          </m:sub>
        </m:sSub>
      </m:oMath>
      <w:r>
        <w:rPr>
          <w:rFonts w:ascii="Times New Roman" w:eastAsia="Times New Roman" w:hAnsi="Times New Roman" w:cs="Times New Roman"/>
          <w:color w:val="000000"/>
          <w:sz w:val="24"/>
          <w:szCs w:val="24"/>
        </w:rPr>
        <w:t>,</w:t>
      </w:r>
      <m:oMath>
        <m:sSub>
          <m:sSubPr>
            <m:ctrlPr>
              <w:rPr>
                <w:rFonts w:ascii="Cambria Math" w:eastAsia="Cambria Math" w:hAnsi="Cambria Math" w:cs="Cambria Math"/>
                <w:color w:val="000000"/>
                <w:sz w:val="24"/>
                <w:szCs w:val="24"/>
              </w:rPr>
            </m:ctrlPr>
          </m:sSubPr>
          <m:e>
            <m:r>
              <w:rPr>
                <w:rFonts w:ascii="Cambria Math" w:hAnsi="Cambria Math"/>
              </w:rPr>
              <m:t>α</m:t>
            </m:r>
          </m:e>
          <m:sub>
            <m:r>
              <w:rPr>
                <w:rFonts w:ascii="Cambria Math" w:eastAsia="Cambria Math" w:hAnsi="Cambria Math" w:cs="Cambria Math"/>
                <w:color w:val="000000"/>
                <w:sz w:val="24"/>
                <w:szCs w:val="24"/>
              </w:rPr>
              <m:t>7</m:t>
            </m:r>
          </m:sub>
        </m:sSub>
        <m:r>
          <w:rPr>
            <w:rFonts w:ascii="Cambria Math" w:eastAsia="Cambria Math" w:hAnsi="Cambria Math" w:cs="Cambria Math"/>
            <w:color w:val="000000"/>
            <w:sz w:val="24"/>
            <w:szCs w:val="24"/>
          </w:rPr>
          <m:t>,</m:t>
        </m:r>
        <m:sSub>
          <m:sSubPr>
            <m:ctrlPr>
              <w:rPr>
                <w:rFonts w:ascii="Cambria Math" w:eastAsia="Cambria Math" w:hAnsi="Cambria Math" w:cs="Cambria Math"/>
                <w:color w:val="000000"/>
                <w:sz w:val="24"/>
                <w:szCs w:val="24"/>
              </w:rPr>
            </m:ctrlPr>
          </m:sSubPr>
          <m:e>
            <m:r>
              <w:rPr>
                <w:rFonts w:ascii="Cambria Math" w:eastAsia="Cambria Math" w:hAnsi="Cambria Math" w:cs="Cambria Math"/>
                <w:color w:val="000000"/>
                <w:sz w:val="24"/>
                <w:szCs w:val="24"/>
              </w:rPr>
              <m:t>α</m:t>
            </m:r>
          </m:e>
          <m:sub>
            <m:r>
              <w:rPr>
                <w:rFonts w:ascii="Cambria Math" w:eastAsia="Cambria Math" w:hAnsi="Cambria Math" w:cs="Cambria Math"/>
                <w:color w:val="000000"/>
                <w:sz w:val="24"/>
                <w:szCs w:val="24"/>
              </w:rPr>
              <m:t>8</m:t>
            </m:r>
          </m:sub>
        </m:sSub>
        <m:r>
          <w:rPr>
            <w:rFonts w:ascii="Cambria Math" w:eastAsia="Cambria Math" w:hAnsi="Cambria Math" w:cs="Cambria Math"/>
            <w:color w:val="000000"/>
            <w:sz w:val="24"/>
            <w:szCs w:val="24"/>
          </w:rPr>
          <m:t>,</m:t>
        </m:r>
        <m:sSub>
          <m:sSubPr>
            <m:ctrlPr>
              <w:rPr>
                <w:rFonts w:ascii="Cambria Math" w:eastAsia="Cambria Math" w:hAnsi="Cambria Math" w:cs="Cambria Math"/>
                <w:color w:val="000000"/>
                <w:sz w:val="24"/>
                <w:szCs w:val="24"/>
              </w:rPr>
            </m:ctrlPr>
          </m:sSubPr>
          <m:e>
            <m:r>
              <w:rPr>
                <w:rFonts w:ascii="Cambria Math" w:eastAsia="Cambria Math" w:hAnsi="Cambria Math" w:cs="Cambria Math"/>
                <w:color w:val="000000"/>
                <w:sz w:val="24"/>
                <w:szCs w:val="24"/>
              </w:rPr>
              <m:t>α</m:t>
            </m:r>
          </m:e>
          <m:sub>
            <m:r>
              <w:rPr>
                <w:rFonts w:ascii="Cambria Math" w:eastAsia="Cambria Math" w:hAnsi="Cambria Math" w:cs="Cambria Math"/>
                <w:color w:val="000000"/>
                <w:sz w:val="24"/>
                <w:szCs w:val="24"/>
              </w:rPr>
              <m:t>9</m:t>
            </m:r>
          </m:sub>
        </m:sSub>
        <m:r>
          <w:rPr>
            <w:rFonts w:ascii="Cambria Math" w:eastAsia="Cambria Math" w:hAnsi="Cambria Math" w:cs="Cambria Math"/>
            <w:color w:val="000000"/>
            <w:sz w:val="24"/>
            <w:szCs w:val="24"/>
          </w:rPr>
          <m:t>,</m:t>
        </m:r>
        <m:sSub>
          <m:sSubPr>
            <m:ctrlPr>
              <w:rPr>
                <w:rFonts w:ascii="Cambria Math" w:eastAsia="Cambria Math" w:hAnsi="Cambria Math" w:cs="Cambria Math"/>
                <w:color w:val="000000"/>
                <w:sz w:val="24"/>
                <w:szCs w:val="24"/>
              </w:rPr>
            </m:ctrlPr>
          </m:sSubPr>
          <m:e>
            <m:r>
              <w:rPr>
                <w:rFonts w:ascii="Cambria Math" w:eastAsia="Cambria Math" w:hAnsi="Cambria Math" w:cs="Cambria Math"/>
                <w:color w:val="000000"/>
                <w:sz w:val="24"/>
                <w:szCs w:val="24"/>
              </w:rPr>
              <m:t>α</m:t>
            </m:r>
          </m:e>
          <m:sub>
            <m:r>
              <w:rPr>
                <w:rFonts w:ascii="Cambria Math" w:eastAsia="Cambria Math" w:hAnsi="Cambria Math" w:cs="Cambria Math"/>
                <w:color w:val="000000"/>
                <w:sz w:val="24"/>
                <w:szCs w:val="24"/>
              </w:rPr>
              <m:t>10</m:t>
            </m:r>
          </m:sub>
        </m:sSub>
        <m:r>
          <w:rPr>
            <w:rFonts w:ascii="Cambria Math" w:eastAsia="Cambria Math" w:hAnsi="Cambria Math" w:cs="Cambria Math"/>
            <w:color w:val="000000"/>
            <w:sz w:val="24"/>
            <w:szCs w:val="24"/>
          </w:rPr>
          <m:t>,</m:t>
        </m:r>
        <m:sSub>
          <m:sSubPr>
            <m:ctrlPr>
              <w:rPr>
                <w:rFonts w:ascii="Cambria Math" w:eastAsia="Cambria Math" w:hAnsi="Cambria Math" w:cs="Cambria Math"/>
                <w:color w:val="000000"/>
                <w:sz w:val="24"/>
                <w:szCs w:val="24"/>
              </w:rPr>
            </m:ctrlPr>
          </m:sSubPr>
          <m:e>
            <m:r>
              <w:rPr>
                <w:rFonts w:ascii="Cambria Math" w:eastAsia="Cambria Math" w:hAnsi="Cambria Math" w:cs="Cambria Math"/>
                <w:color w:val="000000"/>
                <w:sz w:val="24"/>
                <w:szCs w:val="24"/>
              </w:rPr>
              <m:t>α</m:t>
            </m:r>
          </m:e>
          <m:sub>
            <m:r>
              <w:rPr>
                <w:rFonts w:ascii="Cambria Math" w:eastAsia="Cambria Math" w:hAnsi="Cambria Math" w:cs="Cambria Math"/>
                <w:color w:val="000000"/>
                <w:sz w:val="24"/>
                <w:szCs w:val="24"/>
              </w:rPr>
              <m:t>11</m:t>
            </m:r>
          </m:sub>
        </m:sSub>
        <m:r>
          <w:rPr>
            <w:rFonts w:ascii="Cambria Math" w:eastAsia="Cambria Math" w:hAnsi="Cambria Math" w:cs="Cambria Math"/>
            <w:color w:val="000000"/>
            <w:sz w:val="24"/>
            <w:szCs w:val="24"/>
          </w:rPr>
          <m:t>,</m:t>
        </m:r>
        <m:sSub>
          <m:sSubPr>
            <m:ctrlPr>
              <w:rPr>
                <w:rFonts w:ascii="Cambria Math" w:eastAsia="Cambria Math" w:hAnsi="Cambria Math" w:cs="Cambria Math"/>
                <w:color w:val="000000"/>
                <w:sz w:val="24"/>
                <w:szCs w:val="24"/>
              </w:rPr>
            </m:ctrlPr>
          </m:sSubPr>
          <m:e>
            <m:r>
              <w:rPr>
                <w:rFonts w:ascii="Cambria Math" w:eastAsia="Cambria Math" w:hAnsi="Cambria Math" w:cs="Cambria Math"/>
                <w:color w:val="000000"/>
                <w:sz w:val="24"/>
                <w:szCs w:val="24"/>
              </w:rPr>
              <m:t>α</m:t>
            </m:r>
          </m:e>
          <m:sub>
            <m:r>
              <w:rPr>
                <w:rFonts w:ascii="Cambria Math" w:eastAsia="Cambria Math" w:hAnsi="Cambria Math" w:cs="Cambria Math"/>
                <w:color w:val="000000"/>
                <w:sz w:val="24"/>
                <w:szCs w:val="24"/>
              </w:rPr>
              <m:t>13</m:t>
            </m:r>
          </m:sub>
        </m:sSub>
        <m:r>
          <w:rPr>
            <w:rFonts w:ascii="Cambria Math" w:eastAsia="Cambria Math" w:hAnsi="Cambria Math" w:cs="Cambria Math"/>
            <w:color w:val="000000"/>
            <w:sz w:val="24"/>
            <w:szCs w:val="24"/>
          </w:rPr>
          <m:t>,</m:t>
        </m:r>
        <m:sSub>
          <m:sSubPr>
            <m:ctrlPr>
              <w:rPr>
                <w:rFonts w:ascii="Cambria Math" w:eastAsia="Cambria Math" w:hAnsi="Cambria Math" w:cs="Cambria Math"/>
                <w:color w:val="000000"/>
                <w:sz w:val="24"/>
                <w:szCs w:val="24"/>
              </w:rPr>
            </m:ctrlPr>
          </m:sSubPr>
          <m:e>
            <m:r>
              <w:rPr>
                <w:rFonts w:ascii="Cambria Math" w:eastAsia="Cambria Math" w:hAnsi="Cambria Math" w:cs="Cambria Math"/>
                <w:color w:val="000000"/>
                <w:sz w:val="24"/>
                <w:szCs w:val="24"/>
              </w:rPr>
              <m:t>α</m:t>
            </m:r>
          </m:e>
          <m:sub>
            <m:r>
              <w:rPr>
                <w:rFonts w:ascii="Cambria Math" w:eastAsia="Cambria Math" w:hAnsi="Cambria Math" w:cs="Cambria Math"/>
                <w:color w:val="000000"/>
                <w:sz w:val="24"/>
                <w:szCs w:val="24"/>
              </w:rPr>
              <m:t>14</m:t>
            </m:r>
          </m:sub>
        </m:sSub>
        <m:r>
          <w:rPr>
            <w:rFonts w:ascii="Cambria Math" w:eastAsia="Cambria Math" w:hAnsi="Cambria Math" w:cs="Cambria Math"/>
            <w:color w:val="000000"/>
            <w:sz w:val="24"/>
            <w:szCs w:val="24"/>
          </w:rPr>
          <m:t>,</m:t>
        </m:r>
        <m:sSub>
          <m:sSubPr>
            <m:ctrlPr>
              <w:rPr>
                <w:rFonts w:ascii="Cambria Math" w:eastAsia="Cambria Math" w:hAnsi="Cambria Math" w:cs="Cambria Math"/>
                <w:color w:val="000000"/>
                <w:sz w:val="24"/>
                <w:szCs w:val="24"/>
              </w:rPr>
            </m:ctrlPr>
          </m:sSubPr>
          <m:e>
            <m:r>
              <w:rPr>
                <w:rFonts w:ascii="Cambria Math" w:eastAsia="Cambria Math" w:hAnsi="Cambria Math" w:cs="Cambria Math"/>
                <w:color w:val="000000"/>
                <w:sz w:val="24"/>
                <w:szCs w:val="24"/>
              </w:rPr>
              <m:t>α</m:t>
            </m:r>
          </m:e>
          <m:sub>
            <m:r>
              <w:rPr>
                <w:rFonts w:ascii="Cambria Math" w:eastAsia="Cambria Math" w:hAnsi="Cambria Math" w:cs="Cambria Math"/>
                <w:color w:val="000000"/>
                <w:sz w:val="24"/>
                <w:szCs w:val="24"/>
              </w:rPr>
              <m:t>15</m:t>
            </m:r>
          </m:sub>
        </m:sSub>
        <m:r>
          <w:rPr>
            <w:rFonts w:ascii="Cambria Math" w:eastAsia="Cambria Math" w:hAnsi="Cambria Math" w:cs="Cambria Math"/>
            <w:color w:val="000000"/>
            <w:sz w:val="24"/>
            <w:szCs w:val="24"/>
          </w:rPr>
          <m:t>,</m:t>
        </m:r>
        <m:sSub>
          <m:sSubPr>
            <m:ctrlPr>
              <w:rPr>
                <w:rFonts w:ascii="Cambria Math" w:eastAsia="Cambria Math" w:hAnsi="Cambria Math" w:cs="Cambria Math"/>
                <w:color w:val="000000"/>
                <w:sz w:val="24"/>
                <w:szCs w:val="24"/>
              </w:rPr>
            </m:ctrlPr>
          </m:sSubPr>
          <m:e>
            <m:r>
              <w:rPr>
                <w:rFonts w:ascii="Cambria Math" w:eastAsia="Cambria Math" w:hAnsi="Cambria Math" w:cs="Cambria Math"/>
                <w:color w:val="000000"/>
                <w:sz w:val="24"/>
                <w:szCs w:val="24"/>
              </w:rPr>
              <m:t>α</m:t>
            </m:r>
          </m:e>
          <m:sub>
            <m:r>
              <w:rPr>
                <w:rFonts w:ascii="Cambria Math" w:eastAsia="Cambria Math" w:hAnsi="Cambria Math" w:cs="Cambria Math"/>
                <w:color w:val="000000"/>
                <w:sz w:val="24"/>
                <w:szCs w:val="24"/>
              </w:rPr>
              <m:t>17</m:t>
            </m:r>
          </m:sub>
        </m:sSub>
        <m:r>
          <w:rPr>
            <w:rFonts w:ascii="Cambria Math" w:eastAsia="Cambria Math" w:hAnsi="Cambria Math" w:cs="Cambria Math"/>
            <w:color w:val="000000"/>
            <w:sz w:val="24"/>
            <w:szCs w:val="24"/>
          </w:rPr>
          <m:t>,</m:t>
        </m:r>
        <m:sSub>
          <m:sSubPr>
            <m:ctrlPr>
              <w:rPr>
                <w:rFonts w:ascii="Cambria Math" w:eastAsia="Cambria Math" w:hAnsi="Cambria Math" w:cs="Cambria Math"/>
                <w:color w:val="000000"/>
                <w:sz w:val="24"/>
                <w:szCs w:val="24"/>
              </w:rPr>
            </m:ctrlPr>
          </m:sSubPr>
          <m:e>
            <m:r>
              <w:rPr>
                <w:rFonts w:ascii="Cambria Math" w:eastAsia="Cambria Math" w:hAnsi="Cambria Math" w:cs="Cambria Math"/>
                <w:color w:val="000000"/>
                <w:sz w:val="24"/>
                <w:szCs w:val="24"/>
              </w:rPr>
              <m:t>α</m:t>
            </m:r>
          </m:e>
          <m:sub>
            <m:r>
              <w:rPr>
                <w:rFonts w:ascii="Cambria Math" w:eastAsia="Cambria Math" w:hAnsi="Cambria Math" w:cs="Cambria Math"/>
                <w:color w:val="000000"/>
                <w:sz w:val="24"/>
                <w:szCs w:val="24"/>
              </w:rPr>
              <m:t>18</m:t>
            </m:r>
          </m:sub>
        </m:sSub>
        <m:r>
          <w:rPr>
            <w:rFonts w:ascii="Cambria Math" w:eastAsia="Cambria Math" w:hAnsi="Cambria Math" w:cs="Cambria Math"/>
            <w:color w:val="000000"/>
            <w:sz w:val="24"/>
            <w:szCs w:val="24"/>
          </w:rPr>
          <m:t>)</m:t>
        </m:r>
      </m:oMath>
      <w:r>
        <w:rPr>
          <w:rFonts w:ascii="Times New Roman" w:eastAsia="Times New Roman" w:hAnsi="Times New Roman" w:cs="Times New Roman"/>
          <w:color w:val="000000"/>
          <w:sz w:val="24"/>
          <w:szCs w:val="24"/>
        </w:rPr>
        <w:t xml:space="preserve"> can be used to calculate the value of outcome variable  </w:t>
      </w:r>
      <m:oMath>
        <m:r>
          <w:rPr>
            <w:rFonts w:ascii="Cambria Math" w:eastAsia="Cambria Math" w:hAnsi="Cambria Math" w:cs="Cambria Math"/>
            <w:color w:val="000000"/>
            <w:sz w:val="24"/>
            <w:szCs w:val="24"/>
          </w:rPr>
          <m:t>C</m:t>
        </m:r>
        <m:sSub>
          <m:sSubPr>
            <m:ctrlPr>
              <w:rPr>
                <w:rFonts w:ascii="Cambria Math" w:eastAsia="Cambria Math" w:hAnsi="Cambria Math" w:cs="Cambria Math"/>
                <w:color w:val="000000"/>
                <w:sz w:val="24"/>
                <w:szCs w:val="24"/>
              </w:rPr>
            </m:ctrlPr>
          </m:sSubPr>
          <m:e>
            <m:r>
              <w:rPr>
                <w:rFonts w:ascii="Cambria Math" w:eastAsia="Cambria Math" w:hAnsi="Cambria Math" w:cs="Cambria Math"/>
                <w:color w:val="000000"/>
                <w:sz w:val="24"/>
                <w:szCs w:val="24"/>
              </w:rPr>
              <m:t>[t]</m:t>
            </m:r>
          </m:e>
          <m:sub>
            <m:r>
              <w:rPr>
                <w:rFonts w:ascii="Cambria Math" w:eastAsia="Cambria Math" w:hAnsi="Cambria Math" w:cs="Cambria Math"/>
                <w:color w:val="000000"/>
                <w:sz w:val="24"/>
                <w:szCs w:val="24"/>
              </w:rPr>
              <m:t>n</m:t>
            </m:r>
          </m:sub>
        </m:sSub>
      </m:oMath>
      <w:r>
        <w:rPr>
          <w:rFonts w:ascii="Times New Roman" w:eastAsia="Times New Roman" w:hAnsi="Times New Roman" w:cs="Times New Roman"/>
          <w:color w:val="000000"/>
          <w:sz w:val="24"/>
          <w:szCs w:val="24"/>
        </w:rPr>
        <w:t xml:space="preserve"> at any month using the estimated values of intercept and slope. The variance terms explain the extent to which countries differ in intra-individual changes, and covariance terms are responsible for the inter-individual differences among countries. Variances differing from zero indicate that these countries differ in their initial levels and slopes of cases per million. For the predictors, it can be inferred that one unit change in BMI is associated with -0.0193 (</w:t>
      </w:r>
      <m:oMath>
        <m:sSub>
          <m:sSubPr>
            <m:ctrlPr>
              <w:rPr>
                <w:rFonts w:ascii="Cambria Math" w:eastAsia="Cambria Math" w:hAnsi="Cambria Math" w:cs="Cambria Math"/>
                <w:color w:val="000000"/>
                <w:sz w:val="24"/>
                <w:szCs w:val="24"/>
              </w:rPr>
            </m:ctrlPr>
          </m:sSubPr>
          <m:e>
            <m:r>
              <w:rPr>
                <w:rFonts w:ascii="Cambria Math" w:hAnsi="Cambria Math"/>
              </w:rPr>
              <m:t>γ</m:t>
            </m:r>
          </m:e>
          <m:sub>
            <m:r>
              <w:rPr>
                <w:rFonts w:ascii="Cambria Math" w:eastAsia="Cambria Math" w:hAnsi="Cambria Math" w:cs="Cambria Math"/>
                <w:color w:val="000000"/>
                <w:sz w:val="24"/>
                <w:szCs w:val="24"/>
              </w:rPr>
              <m:t>0</m:t>
            </m:r>
          </m:sub>
        </m:sSub>
      </m:oMath>
      <w:r>
        <w:rPr>
          <w:rFonts w:ascii="Times New Roman" w:eastAsia="Times New Roman" w:hAnsi="Times New Roman" w:cs="Times New Roman"/>
          <w:color w:val="000000"/>
          <w:sz w:val="24"/>
          <w:szCs w:val="24"/>
        </w:rPr>
        <w:t>) unit change in slope (</w:t>
      </w:r>
      <m:oMath>
        <m:sSub>
          <m:sSubPr>
            <m:ctrlPr>
              <w:rPr>
                <w:rFonts w:ascii="Cambria Math" w:eastAsia="Cambria Math" w:hAnsi="Cambria Math" w:cs="Cambria Math"/>
                <w:color w:val="000000"/>
                <w:sz w:val="24"/>
                <w:szCs w:val="24"/>
              </w:rPr>
            </m:ctrlPr>
          </m:sSubPr>
          <m:e>
            <m:r>
              <w:rPr>
                <w:rFonts w:ascii="Cambria Math" w:eastAsia="Cambria Math" w:hAnsi="Cambria Math" w:cs="Cambria Math"/>
                <w:color w:val="000000"/>
                <w:sz w:val="24"/>
                <w:szCs w:val="24"/>
              </w:rPr>
              <m:t>g</m:t>
            </m:r>
          </m:e>
          <m:sub>
            <m:r>
              <w:rPr>
                <w:rFonts w:ascii="Cambria Math" w:eastAsia="Cambria Math" w:hAnsi="Cambria Math" w:cs="Cambria Math"/>
                <w:color w:val="000000"/>
                <w:sz w:val="24"/>
                <w:szCs w:val="24"/>
              </w:rPr>
              <m:t>0n</m:t>
            </m:r>
          </m:sub>
        </m:sSub>
      </m:oMath>
      <w:r>
        <w:rPr>
          <w:rFonts w:ascii="Times New Roman" w:eastAsia="Times New Roman" w:hAnsi="Times New Roman" w:cs="Times New Roman"/>
          <w:color w:val="000000"/>
          <w:sz w:val="24"/>
          <w:szCs w:val="24"/>
        </w:rPr>
        <w:t>), 0.0002 (</w:t>
      </w:r>
      <m:oMath>
        <m:sSub>
          <m:sSubPr>
            <m:ctrlPr>
              <w:rPr>
                <w:rFonts w:ascii="Cambria Math" w:eastAsia="Cambria Math" w:hAnsi="Cambria Math" w:cs="Cambria Math"/>
                <w:color w:val="000000"/>
                <w:sz w:val="24"/>
                <w:szCs w:val="24"/>
              </w:rPr>
            </m:ctrlPr>
          </m:sSubPr>
          <m:e>
            <m:r>
              <w:rPr>
                <w:rFonts w:ascii="Cambria Math" w:hAnsi="Cambria Math"/>
              </w:rPr>
              <m:t>γ</m:t>
            </m:r>
          </m:e>
          <m:sub>
            <m:r>
              <w:rPr>
                <w:rFonts w:ascii="Cambria Math" w:eastAsia="Cambria Math" w:hAnsi="Cambria Math" w:cs="Cambria Math"/>
                <w:color w:val="000000"/>
                <w:sz w:val="24"/>
                <w:szCs w:val="24"/>
              </w:rPr>
              <m:t>1</m:t>
            </m:r>
          </m:sub>
        </m:sSub>
      </m:oMath>
      <w:r w:rsidR="00CB3D7E">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-0.3019 (</w:t>
      </w:r>
      <m:oMath>
        <m:sSub>
          <m:sSubPr>
            <m:ctrlPr>
              <w:rPr>
                <w:rFonts w:ascii="Cambria Math" w:eastAsia="Cambria Math" w:hAnsi="Cambria Math" w:cs="Cambria Math"/>
                <w:color w:val="000000"/>
                <w:sz w:val="24"/>
                <w:szCs w:val="24"/>
              </w:rPr>
            </m:ctrlPr>
          </m:sSubPr>
          <m:e>
            <m:r>
              <w:rPr>
                <w:rFonts w:ascii="Cambria Math" w:hAnsi="Cambria Math"/>
              </w:rPr>
              <m:t>γ</m:t>
            </m:r>
          </m:e>
          <m:sub>
            <m:r>
              <w:rPr>
                <w:rFonts w:ascii="Cambria Math" w:eastAsia="Cambria Math" w:hAnsi="Cambria Math" w:cs="Cambria Math"/>
                <w:color w:val="000000"/>
                <w:sz w:val="24"/>
                <w:szCs w:val="24"/>
              </w:rPr>
              <m:t>2</m:t>
            </m:r>
          </m:sub>
        </m:sSub>
      </m:oMath>
      <w:r>
        <w:rPr>
          <w:rFonts w:ascii="Times New Roman" w:eastAsia="Times New Roman" w:hAnsi="Times New Roman" w:cs="Times New Roman"/>
          <w:color w:val="000000"/>
          <w:sz w:val="24"/>
          <w:szCs w:val="24"/>
        </w:rPr>
        <w:t xml:space="preserve">) </w:t>
      </w:r>
      <w:r w:rsidR="00CB3D7E">
        <w:rPr>
          <w:rFonts w:ascii="Times New Roman" w:eastAsia="Times New Roman" w:hAnsi="Times New Roman" w:cs="Times New Roman"/>
          <w:color w:val="000000"/>
          <w:sz w:val="24"/>
          <w:szCs w:val="24"/>
        </w:rPr>
        <w:t xml:space="preserve">and </w:t>
      </w:r>
      <w:r w:rsidR="00CB3D7E">
        <w:rPr>
          <w:rFonts w:ascii="Segoe UI" w:hAnsi="Segoe UI" w:cs="Segoe UI"/>
          <w:color w:val="000000"/>
          <w:sz w:val="21"/>
          <w:szCs w:val="21"/>
          <w:lang w:val="en-US" w:bidi="hi-IN"/>
        </w:rPr>
        <w:t>and 0.5621</w:t>
      </w:r>
      <w:r w:rsidR="00CB3D7E">
        <w:rPr>
          <w:rFonts w:ascii="Times New Roman" w:eastAsia="Times New Roman" w:hAnsi="Times New Roman" w:cs="Times New Roman"/>
          <w:color w:val="000000"/>
          <w:sz w:val="24"/>
          <w:szCs w:val="24"/>
        </w:rPr>
        <w:t>(</w:t>
      </w:r>
      <m:oMath>
        <m:sSub>
          <m:sSubPr>
            <m:ctrlPr>
              <w:rPr>
                <w:rFonts w:ascii="Cambria Math" w:eastAsia="Cambria Math" w:hAnsi="Cambria Math" w:cs="Cambria Math"/>
                <w:color w:val="000000"/>
                <w:sz w:val="24"/>
                <w:szCs w:val="24"/>
              </w:rPr>
            </m:ctrlPr>
          </m:sSubPr>
          <m:e>
            <m:r>
              <w:rPr>
                <w:rFonts w:ascii="Cambria Math" w:hAnsi="Cambria Math"/>
              </w:rPr>
              <m:t>γ</m:t>
            </m:r>
          </m:e>
          <m:sub>
            <m:r>
              <w:rPr>
                <w:rFonts w:ascii="Cambria Math" w:eastAsia="Cambria Math" w:hAnsi="Cambria Math" w:cs="Cambria Math"/>
                <w:color w:val="000000"/>
                <w:sz w:val="24"/>
                <w:szCs w:val="24"/>
              </w:rPr>
              <m:t>3</m:t>
            </m:r>
          </m:sub>
        </m:sSub>
      </m:oMath>
      <w:r w:rsidR="00CB3D7E">
        <w:rPr>
          <w:rFonts w:ascii="Times New Roman" w:eastAsia="Times New Roman" w:hAnsi="Times New Roman" w:cs="Times New Roman"/>
          <w:color w:val="000000"/>
          <w:sz w:val="24"/>
          <w:szCs w:val="24"/>
        </w:rPr>
        <w:t>)</w:t>
      </w:r>
      <w:r w:rsidR="00CB3D7E">
        <w:rPr>
          <w:rFonts w:ascii="Segoe UI" w:hAnsi="Segoe UI" w:cs="Segoe UI"/>
          <w:color w:val="000000"/>
          <w:sz w:val="21"/>
          <w:szCs w:val="21"/>
          <w:lang w:val="en-US" w:bidi="hi-IN"/>
        </w:rPr>
        <w:t xml:space="preserve"> </w:t>
      </w:r>
      <w:r>
        <w:rPr>
          <w:rFonts w:ascii="Times New Roman" w:eastAsia="Times New Roman" w:hAnsi="Times New Roman" w:cs="Times New Roman"/>
          <w:color w:val="000000"/>
          <w:sz w:val="24"/>
          <w:szCs w:val="24"/>
        </w:rPr>
        <w:t>unit changes in intercepts (</w:t>
      </w:r>
      <m:oMath>
        <m:sSub>
          <m:sSubPr>
            <m:ctrlPr>
              <w:rPr>
                <w:rFonts w:ascii="Cambria Math" w:eastAsia="Cambria Math" w:hAnsi="Cambria Math" w:cs="Cambria Math"/>
                <w:color w:val="000000"/>
                <w:sz w:val="24"/>
                <w:szCs w:val="24"/>
              </w:rPr>
            </m:ctrlPr>
          </m:sSubPr>
          <m:e>
            <m:r>
              <w:rPr>
                <w:rFonts w:ascii="Cambria Math" w:eastAsia="Cambria Math" w:hAnsi="Cambria Math" w:cs="Cambria Math"/>
                <w:color w:val="000000"/>
                <w:sz w:val="24"/>
                <w:szCs w:val="24"/>
              </w:rPr>
              <m:t>g</m:t>
            </m:r>
          </m:e>
          <m:sub>
            <m:r>
              <w:rPr>
                <w:rFonts w:ascii="Cambria Math" w:eastAsia="Cambria Math" w:hAnsi="Cambria Math" w:cs="Cambria Math"/>
                <w:color w:val="000000"/>
                <w:sz w:val="24"/>
                <w:szCs w:val="24"/>
              </w:rPr>
              <m:t>1n</m:t>
            </m:r>
          </m:sub>
        </m:sSub>
      </m:oMath>
      <w:r>
        <w:rPr>
          <w:rFonts w:ascii="Times New Roman" w:eastAsia="Times New Roman" w:hAnsi="Times New Roman" w:cs="Times New Roman"/>
          <w:color w:val="000000"/>
          <w:sz w:val="24"/>
          <w:szCs w:val="24"/>
        </w:rPr>
        <w:t xml:space="preserve">, </w:t>
      </w:r>
      <m:oMath>
        <m:sSub>
          <m:sSubPr>
            <m:ctrlPr>
              <w:rPr>
                <w:rFonts w:ascii="Cambria Math" w:eastAsia="Cambria Math" w:hAnsi="Cambria Math" w:cs="Cambria Math"/>
                <w:color w:val="000000"/>
                <w:sz w:val="24"/>
                <w:szCs w:val="24"/>
              </w:rPr>
            </m:ctrlPr>
          </m:sSubPr>
          <m:e>
            <m:r>
              <w:rPr>
                <w:rFonts w:ascii="Cambria Math" w:eastAsia="Cambria Math" w:hAnsi="Cambria Math" w:cs="Cambria Math"/>
                <w:color w:val="000000"/>
                <w:sz w:val="24"/>
                <w:szCs w:val="24"/>
              </w:rPr>
              <m:t>g</m:t>
            </m:r>
          </m:e>
          <m:sub>
            <m:r>
              <w:rPr>
                <w:rFonts w:ascii="Cambria Math" w:eastAsia="Cambria Math" w:hAnsi="Cambria Math" w:cs="Cambria Math"/>
                <w:color w:val="000000"/>
                <w:sz w:val="24"/>
                <w:szCs w:val="24"/>
              </w:rPr>
              <m:t>2n</m:t>
            </m:r>
          </m:sub>
        </m:sSub>
      </m:oMath>
      <w:r>
        <w:rPr>
          <w:rFonts w:ascii="Times New Roman" w:eastAsia="Times New Roman" w:hAnsi="Times New Roman" w:cs="Times New Roman"/>
          <w:color w:val="000000"/>
          <w:sz w:val="24"/>
          <w:szCs w:val="24"/>
        </w:rPr>
        <w:t xml:space="preserve"> </w:t>
      </w:r>
      <w:proofErr w:type="gramStart"/>
      <w:r>
        <w:rPr>
          <w:rFonts w:ascii="Times New Roman" w:eastAsia="Times New Roman" w:hAnsi="Times New Roman" w:cs="Times New Roman"/>
          <w:color w:val="000000"/>
          <w:sz w:val="24"/>
          <w:szCs w:val="24"/>
        </w:rPr>
        <w:t xml:space="preserve">and </w:t>
      </w:r>
      <w:proofErr w:type="gramEnd"/>
      <m:oMath>
        <m:sSub>
          <m:sSubPr>
            <m:ctrlPr>
              <w:rPr>
                <w:rFonts w:ascii="Cambria Math" w:eastAsia="Cambria Math" w:hAnsi="Cambria Math" w:cs="Cambria Math"/>
                <w:color w:val="000000"/>
                <w:sz w:val="24"/>
                <w:szCs w:val="24"/>
              </w:rPr>
            </m:ctrlPr>
          </m:sSubPr>
          <m:e>
            <m:r>
              <w:rPr>
                <w:rFonts w:ascii="Cambria Math" w:eastAsia="Cambria Math" w:hAnsi="Cambria Math" w:cs="Cambria Math"/>
                <w:color w:val="000000"/>
                <w:sz w:val="24"/>
                <w:szCs w:val="24"/>
              </w:rPr>
              <m:t>g</m:t>
            </m:r>
          </m:e>
          <m:sub>
            <m:r>
              <w:rPr>
                <w:rFonts w:ascii="Cambria Math" w:eastAsia="Cambria Math" w:hAnsi="Cambria Math" w:cs="Cambria Math"/>
                <w:color w:val="000000"/>
                <w:sz w:val="24"/>
                <w:szCs w:val="24"/>
              </w:rPr>
              <m:t>3n</m:t>
            </m:r>
          </m:sub>
        </m:sSub>
      </m:oMath>
      <w:r>
        <w:rPr>
          <w:rFonts w:ascii="Times New Roman" w:eastAsia="Times New Roman" w:hAnsi="Times New Roman" w:cs="Times New Roman"/>
          <w:color w:val="000000"/>
          <w:sz w:val="24"/>
          <w:szCs w:val="24"/>
        </w:rPr>
        <w:t>). Similarly, one unit change in CH is associated with 0.5393 (</w:t>
      </w:r>
      <m:oMath>
        <m:sSub>
          <m:sSubPr>
            <m:ctrlPr>
              <w:rPr>
                <w:rFonts w:ascii="Cambria Math" w:eastAsia="Cambria Math" w:hAnsi="Cambria Math" w:cs="Cambria Math"/>
                <w:color w:val="000000"/>
                <w:sz w:val="24"/>
                <w:szCs w:val="24"/>
                <w:vertAlign w:val="subscript"/>
              </w:rPr>
            </m:ctrlPr>
          </m:sSubPr>
          <m:e>
            <m:r>
              <w:rPr>
                <w:rFonts w:ascii="Cambria Math" w:hAnsi="Cambria Math"/>
              </w:rPr>
              <m:t>η</m:t>
            </m:r>
          </m:e>
          <m:sub>
            <m:r>
              <w:rPr>
                <w:rFonts w:ascii="Cambria Math" w:eastAsia="Cambria Math" w:hAnsi="Cambria Math" w:cs="Cambria Math"/>
                <w:color w:val="000000"/>
                <w:sz w:val="24"/>
                <w:szCs w:val="24"/>
                <w:vertAlign w:val="subscript"/>
              </w:rPr>
              <m:t>0</m:t>
            </m:r>
          </m:sub>
        </m:sSub>
      </m:oMath>
      <w:r>
        <w:rPr>
          <w:rFonts w:ascii="Times New Roman" w:eastAsia="Times New Roman" w:hAnsi="Times New Roman" w:cs="Times New Roman"/>
          <w:color w:val="000000"/>
          <w:sz w:val="24"/>
          <w:szCs w:val="24"/>
          <w:vertAlign w:val="subscript"/>
        </w:rPr>
        <w:t>)</w:t>
      </w:r>
      <w:r>
        <w:rPr>
          <w:rFonts w:ascii="Times New Roman" w:eastAsia="Times New Roman" w:hAnsi="Times New Roman" w:cs="Times New Roman"/>
          <w:color w:val="000000"/>
          <w:sz w:val="24"/>
          <w:szCs w:val="24"/>
        </w:rPr>
        <w:t xml:space="preserve"> unit change in slope (</w:t>
      </w:r>
      <m:oMath>
        <m:sSub>
          <m:sSubPr>
            <m:ctrlPr>
              <w:rPr>
                <w:rFonts w:ascii="Cambria Math" w:eastAsia="Cambria Math" w:hAnsi="Cambria Math" w:cs="Cambria Math"/>
                <w:color w:val="000000"/>
                <w:sz w:val="24"/>
                <w:szCs w:val="24"/>
              </w:rPr>
            </m:ctrlPr>
          </m:sSubPr>
          <m:e>
            <m:r>
              <w:rPr>
                <w:rFonts w:ascii="Cambria Math" w:eastAsia="Cambria Math" w:hAnsi="Cambria Math" w:cs="Cambria Math"/>
                <w:color w:val="000000"/>
                <w:sz w:val="24"/>
                <w:szCs w:val="24"/>
              </w:rPr>
              <m:t>g</m:t>
            </m:r>
          </m:e>
          <m:sub>
            <m:r>
              <w:rPr>
                <w:rFonts w:ascii="Cambria Math" w:eastAsia="Cambria Math" w:hAnsi="Cambria Math" w:cs="Cambria Math"/>
                <w:color w:val="000000"/>
                <w:sz w:val="24"/>
                <w:szCs w:val="24"/>
              </w:rPr>
              <m:t>0n</m:t>
            </m:r>
          </m:sub>
        </m:sSub>
      </m:oMath>
      <w:r>
        <w:rPr>
          <w:rFonts w:ascii="Times New Roman" w:eastAsia="Times New Roman" w:hAnsi="Times New Roman" w:cs="Times New Roman"/>
          <w:color w:val="000000"/>
          <w:sz w:val="24"/>
          <w:szCs w:val="24"/>
        </w:rPr>
        <w:t>), -0.0010 (</w:t>
      </w:r>
      <m:oMath>
        <m:sSub>
          <m:sSubPr>
            <m:ctrlPr>
              <w:rPr>
                <w:rFonts w:ascii="Cambria Math" w:eastAsia="Cambria Math" w:hAnsi="Cambria Math" w:cs="Cambria Math"/>
                <w:color w:val="000000"/>
                <w:sz w:val="24"/>
                <w:szCs w:val="24"/>
                <w:vertAlign w:val="subscript"/>
              </w:rPr>
            </m:ctrlPr>
          </m:sSubPr>
          <m:e>
            <m:r>
              <w:rPr>
                <w:rFonts w:ascii="Cambria Math" w:hAnsi="Cambria Math"/>
              </w:rPr>
              <m:t>η</m:t>
            </m:r>
          </m:e>
          <m:sub>
            <m:r>
              <w:rPr>
                <w:rFonts w:ascii="Cambria Math" w:eastAsia="Cambria Math" w:hAnsi="Cambria Math" w:cs="Cambria Math"/>
                <w:color w:val="000000"/>
                <w:sz w:val="24"/>
                <w:szCs w:val="24"/>
                <w:vertAlign w:val="subscript"/>
              </w:rPr>
              <m:t>1</m:t>
            </m:r>
          </m:sub>
        </m:sSub>
      </m:oMath>
      <w:r>
        <w:rPr>
          <w:rFonts w:ascii="Times New Roman" w:eastAsia="Times New Roman" w:hAnsi="Times New Roman" w:cs="Times New Roman"/>
          <w:color w:val="000000"/>
          <w:sz w:val="24"/>
          <w:szCs w:val="24"/>
          <w:vertAlign w:val="subscript"/>
        </w:rPr>
        <w:t>)</w:t>
      </w:r>
      <w:r>
        <w:rPr>
          <w:rFonts w:ascii="Times New Roman" w:eastAsia="Times New Roman" w:hAnsi="Times New Roman" w:cs="Times New Roman"/>
          <w:color w:val="000000"/>
          <w:sz w:val="24"/>
          <w:szCs w:val="24"/>
        </w:rPr>
        <w:t>, 1.0465 (</w:t>
      </w:r>
      <m:oMath>
        <m:sSub>
          <m:sSubPr>
            <m:ctrlPr>
              <w:rPr>
                <w:rFonts w:ascii="Cambria Math" w:eastAsia="Cambria Math" w:hAnsi="Cambria Math" w:cs="Cambria Math"/>
                <w:color w:val="000000"/>
                <w:sz w:val="24"/>
                <w:szCs w:val="24"/>
                <w:vertAlign w:val="subscript"/>
              </w:rPr>
            </m:ctrlPr>
          </m:sSubPr>
          <m:e>
            <m:r>
              <w:rPr>
                <w:rFonts w:ascii="Cambria Math" w:hAnsi="Cambria Math"/>
              </w:rPr>
              <m:t>η</m:t>
            </m:r>
          </m:e>
          <m:sub>
            <m:r>
              <w:rPr>
                <w:rFonts w:ascii="Cambria Math" w:eastAsia="Cambria Math" w:hAnsi="Cambria Math" w:cs="Cambria Math"/>
                <w:color w:val="000000"/>
                <w:sz w:val="24"/>
                <w:szCs w:val="24"/>
                <w:vertAlign w:val="subscript"/>
              </w:rPr>
              <m:t>2</m:t>
            </m:r>
          </m:sub>
        </m:sSub>
      </m:oMath>
      <w:r>
        <w:rPr>
          <w:rFonts w:ascii="Times New Roman" w:eastAsia="Times New Roman" w:hAnsi="Times New Roman" w:cs="Times New Roman"/>
          <w:color w:val="000000"/>
          <w:sz w:val="24"/>
          <w:szCs w:val="24"/>
          <w:vertAlign w:val="subscript"/>
        </w:rPr>
        <w:t>)</w:t>
      </w:r>
      <w:r>
        <w:rPr>
          <w:rFonts w:ascii="Times New Roman" w:eastAsia="Times New Roman" w:hAnsi="Times New Roman" w:cs="Times New Roman"/>
          <w:color w:val="000000"/>
          <w:sz w:val="24"/>
          <w:szCs w:val="24"/>
        </w:rPr>
        <w:t xml:space="preserve"> and -1.1209 (</w:t>
      </w:r>
      <m:oMath>
        <m:sSub>
          <m:sSubPr>
            <m:ctrlPr>
              <w:rPr>
                <w:rFonts w:ascii="Cambria Math" w:eastAsia="Cambria Math" w:hAnsi="Cambria Math" w:cs="Cambria Math"/>
                <w:color w:val="000000"/>
                <w:sz w:val="24"/>
                <w:szCs w:val="24"/>
                <w:vertAlign w:val="subscript"/>
              </w:rPr>
            </m:ctrlPr>
          </m:sSubPr>
          <m:e>
            <m:r>
              <w:rPr>
                <w:rFonts w:ascii="Cambria Math" w:hAnsi="Cambria Math"/>
              </w:rPr>
              <m:t>η</m:t>
            </m:r>
          </m:e>
          <m:sub>
            <m:r>
              <w:rPr>
                <w:rFonts w:ascii="Cambria Math" w:eastAsia="Cambria Math" w:hAnsi="Cambria Math" w:cs="Cambria Math"/>
                <w:color w:val="000000"/>
                <w:sz w:val="24"/>
                <w:szCs w:val="24"/>
                <w:vertAlign w:val="subscript"/>
              </w:rPr>
              <m:t>3</m:t>
            </m:r>
          </m:sub>
        </m:sSub>
      </m:oMath>
      <w:r>
        <w:rPr>
          <w:rFonts w:ascii="Times New Roman" w:eastAsia="Times New Roman" w:hAnsi="Times New Roman" w:cs="Times New Roman"/>
          <w:color w:val="000000"/>
          <w:sz w:val="24"/>
          <w:szCs w:val="24"/>
          <w:vertAlign w:val="subscript"/>
        </w:rPr>
        <w:t xml:space="preserve">) </w:t>
      </w:r>
      <w:r>
        <w:rPr>
          <w:rFonts w:ascii="Times New Roman" w:eastAsia="Times New Roman" w:hAnsi="Times New Roman" w:cs="Times New Roman"/>
          <w:color w:val="000000"/>
          <w:sz w:val="24"/>
          <w:szCs w:val="24"/>
        </w:rPr>
        <w:t>unit changes in slopes (</w:t>
      </w:r>
      <m:oMath>
        <m:sSub>
          <m:sSubPr>
            <m:ctrlPr>
              <w:rPr>
                <w:rFonts w:ascii="Cambria Math" w:eastAsia="Cambria Math" w:hAnsi="Cambria Math" w:cs="Cambria Math"/>
                <w:color w:val="000000"/>
                <w:sz w:val="24"/>
                <w:szCs w:val="24"/>
              </w:rPr>
            </m:ctrlPr>
          </m:sSubPr>
          <m:e>
            <m:r>
              <w:rPr>
                <w:rFonts w:ascii="Cambria Math" w:eastAsia="Cambria Math" w:hAnsi="Cambria Math" w:cs="Cambria Math"/>
                <w:color w:val="000000"/>
                <w:sz w:val="24"/>
                <w:szCs w:val="24"/>
              </w:rPr>
              <m:t>g</m:t>
            </m:r>
          </m:e>
          <m:sub>
            <m:r>
              <w:rPr>
                <w:rFonts w:ascii="Cambria Math" w:eastAsia="Cambria Math" w:hAnsi="Cambria Math" w:cs="Cambria Math"/>
                <w:color w:val="000000"/>
                <w:sz w:val="24"/>
                <w:szCs w:val="24"/>
              </w:rPr>
              <m:t>1n</m:t>
            </m:r>
          </m:sub>
        </m:sSub>
      </m:oMath>
      <w:r>
        <w:rPr>
          <w:rFonts w:ascii="Times New Roman" w:eastAsia="Times New Roman" w:hAnsi="Times New Roman" w:cs="Times New Roman"/>
          <w:color w:val="000000"/>
          <w:sz w:val="24"/>
          <w:szCs w:val="24"/>
        </w:rPr>
        <w:t xml:space="preserve">, </w:t>
      </w:r>
      <m:oMath>
        <m:sSub>
          <m:sSubPr>
            <m:ctrlPr>
              <w:rPr>
                <w:rFonts w:ascii="Cambria Math" w:eastAsia="Cambria Math" w:hAnsi="Cambria Math" w:cs="Cambria Math"/>
                <w:color w:val="000000"/>
                <w:sz w:val="24"/>
                <w:szCs w:val="24"/>
              </w:rPr>
            </m:ctrlPr>
          </m:sSubPr>
          <m:e>
            <m:r>
              <w:rPr>
                <w:rFonts w:ascii="Cambria Math" w:eastAsia="Cambria Math" w:hAnsi="Cambria Math" w:cs="Cambria Math"/>
                <w:color w:val="000000"/>
                <w:sz w:val="24"/>
                <w:szCs w:val="24"/>
              </w:rPr>
              <m:t>g</m:t>
            </m:r>
          </m:e>
          <m:sub>
            <m:r>
              <w:rPr>
                <w:rFonts w:ascii="Cambria Math" w:eastAsia="Cambria Math" w:hAnsi="Cambria Math" w:cs="Cambria Math"/>
                <w:color w:val="000000"/>
                <w:sz w:val="24"/>
                <w:szCs w:val="24"/>
              </w:rPr>
              <m:t>2n</m:t>
            </m:r>
          </m:sub>
        </m:sSub>
      </m:oMath>
      <w:r>
        <w:rPr>
          <w:rFonts w:ascii="Times New Roman" w:eastAsia="Times New Roman" w:hAnsi="Times New Roman" w:cs="Times New Roman"/>
          <w:color w:val="000000"/>
          <w:sz w:val="24"/>
          <w:szCs w:val="24"/>
        </w:rPr>
        <w:t xml:space="preserve"> </w:t>
      </w:r>
      <w:proofErr w:type="gramStart"/>
      <w:r>
        <w:rPr>
          <w:rFonts w:ascii="Times New Roman" w:eastAsia="Times New Roman" w:hAnsi="Times New Roman" w:cs="Times New Roman"/>
          <w:color w:val="000000"/>
          <w:sz w:val="24"/>
          <w:szCs w:val="24"/>
        </w:rPr>
        <w:t xml:space="preserve">and </w:t>
      </w:r>
      <w:proofErr w:type="gramEnd"/>
      <m:oMath>
        <m:sSub>
          <m:sSubPr>
            <m:ctrlPr>
              <w:rPr>
                <w:rFonts w:ascii="Cambria Math" w:eastAsia="Cambria Math" w:hAnsi="Cambria Math" w:cs="Cambria Math"/>
                <w:color w:val="000000"/>
                <w:sz w:val="24"/>
                <w:szCs w:val="24"/>
              </w:rPr>
            </m:ctrlPr>
          </m:sSubPr>
          <m:e>
            <m:r>
              <w:rPr>
                <w:rFonts w:ascii="Cambria Math" w:eastAsia="Cambria Math" w:hAnsi="Cambria Math" w:cs="Cambria Math"/>
                <w:color w:val="000000"/>
                <w:sz w:val="24"/>
                <w:szCs w:val="24"/>
              </w:rPr>
              <m:t>g</m:t>
            </m:r>
          </m:e>
          <m:sub>
            <m:r>
              <w:rPr>
                <w:rFonts w:ascii="Cambria Math" w:eastAsia="Cambria Math" w:hAnsi="Cambria Math" w:cs="Cambria Math"/>
                <w:color w:val="000000"/>
                <w:sz w:val="24"/>
                <w:szCs w:val="24"/>
              </w:rPr>
              <m:t>3n</m:t>
            </m:r>
          </m:sub>
        </m:sSub>
      </m:oMath>
      <w:r>
        <w:rPr>
          <w:rFonts w:ascii="Times New Roman" w:eastAsia="Times New Roman" w:hAnsi="Times New Roman" w:cs="Times New Roman"/>
          <w:color w:val="000000"/>
          <w:sz w:val="24"/>
          <w:szCs w:val="24"/>
        </w:rPr>
        <w:t>). For TVC, one unit change in temperature in March is associated with -0.0816 (</w:t>
      </w:r>
      <m:oMath>
        <m:sSub>
          <m:sSubPr>
            <m:ctrlPr>
              <w:rPr>
                <w:rFonts w:ascii="Cambria Math" w:eastAsia="Cambria Math" w:hAnsi="Cambria Math" w:cs="Cambria Math"/>
                <w:color w:val="000000"/>
                <w:sz w:val="24"/>
                <w:szCs w:val="24"/>
              </w:rPr>
            </m:ctrlPr>
          </m:sSubPr>
          <m:e>
            <m:r>
              <w:rPr>
                <w:rFonts w:ascii="Cambria Math" w:hAnsi="Cambria Math"/>
              </w:rPr>
              <m:t>τ</m:t>
            </m:r>
          </m:e>
          <m:sub>
            <m:r>
              <w:rPr>
                <w:rFonts w:ascii="Cambria Math" w:eastAsia="Cambria Math" w:hAnsi="Cambria Math" w:cs="Cambria Math"/>
                <w:color w:val="000000"/>
                <w:sz w:val="24"/>
                <w:szCs w:val="24"/>
              </w:rPr>
              <m:t>3</m:t>
            </m:r>
          </m:sub>
        </m:sSub>
      </m:oMath>
      <w:r>
        <w:rPr>
          <w:rFonts w:ascii="Times New Roman" w:eastAsia="Times New Roman" w:hAnsi="Times New Roman" w:cs="Times New Roman"/>
          <w:color w:val="000000"/>
          <w:sz w:val="24"/>
          <w:szCs w:val="24"/>
        </w:rPr>
        <w:t xml:space="preserve">) unit change </w:t>
      </w:r>
      <w:proofErr w:type="gramStart"/>
      <w:r>
        <w:rPr>
          <w:rFonts w:ascii="Times New Roman" w:eastAsia="Times New Roman" w:hAnsi="Times New Roman" w:cs="Times New Roman"/>
          <w:color w:val="000000"/>
          <w:sz w:val="24"/>
          <w:szCs w:val="24"/>
        </w:rPr>
        <w:t xml:space="preserve">in </w:t>
      </w:r>
      <w:proofErr w:type="gramEnd"/>
      <m:oMath>
        <m:r>
          <w:rPr>
            <w:rFonts w:ascii="Cambria Math" w:eastAsia="Cambria Math" w:hAnsi="Cambria Math" w:cs="Cambria Math"/>
            <w:color w:val="000000"/>
            <w:sz w:val="24"/>
            <w:szCs w:val="24"/>
          </w:rPr>
          <m:t>C</m:t>
        </m:r>
        <m:sSub>
          <m:sSubPr>
            <m:ctrlPr>
              <w:rPr>
                <w:rFonts w:ascii="Cambria Math" w:eastAsia="Cambria Math" w:hAnsi="Cambria Math" w:cs="Cambria Math"/>
                <w:color w:val="000000"/>
                <w:sz w:val="24"/>
                <w:szCs w:val="24"/>
              </w:rPr>
            </m:ctrlPr>
          </m:sSubPr>
          <m:e>
            <m:r>
              <w:rPr>
                <w:rFonts w:ascii="Cambria Math" w:eastAsia="Cambria Math" w:hAnsi="Cambria Math" w:cs="Cambria Math"/>
                <w:color w:val="000000"/>
                <w:sz w:val="24"/>
                <w:szCs w:val="24"/>
              </w:rPr>
              <m:t>[t]</m:t>
            </m:r>
          </m:e>
          <m:sub>
            <m:r>
              <w:rPr>
                <w:rFonts w:ascii="Cambria Math" w:eastAsia="Cambria Math" w:hAnsi="Cambria Math" w:cs="Cambria Math"/>
                <w:color w:val="000000"/>
                <w:sz w:val="24"/>
                <w:szCs w:val="24"/>
              </w:rPr>
              <m:t>n</m:t>
            </m:r>
          </m:sub>
        </m:sSub>
      </m:oMath>
      <w:r>
        <w:rPr>
          <w:rFonts w:ascii="Times New Roman" w:eastAsia="Times New Roman" w:hAnsi="Times New Roman" w:cs="Times New Roman"/>
          <w:color w:val="000000"/>
          <w:sz w:val="24"/>
          <w:szCs w:val="24"/>
        </w:rPr>
        <w:t xml:space="preserve">. Other </w:t>
      </w:r>
      <w:proofErr w:type="gramStart"/>
      <w:r>
        <w:rPr>
          <w:rFonts w:ascii="Times New Roman" w:eastAsia="Times New Roman" w:hAnsi="Times New Roman" w:cs="Times New Roman"/>
          <w:color w:val="000000"/>
          <w:sz w:val="24"/>
          <w:szCs w:val="24"/>
        </w:rPr>
        <w:t xml:space="preserve">coefficients </w:t>
      </w:r>
      <w:proofErr w:type="gramEnd"/>
      <m:oMath>
        <m:sSub>
          <m:sSubPr>
            <m:ctrlPr>
              <w:rPr>
                <w:rFonts w:ascii="Cambria Math" w:eastAsia="Cambria Math" w:hAnsi="Cambria Math" w:cs="Cambria Math"/>
                <w:color w:val="000000"/>
                <w:sz w:val="24"/>
                <w:szCs w:val="24"/>
              </w:rPr>
            </m:ctrlPr>
          </m:sSubPr>
          <m:e>
            <m:r>
              <w:rPr>
                <w:rFonts w:ascii="Cambria Math" w:hAnsi="Cambria Math"/>
              </w:rPr>
              <m:t>τ</m:t>
            </m:r>
          </m:e>
          <m:sub>
            <m:r>
              <w:rPr>
                <w:rFonts w:ascii="Cambria Math" w:eastAsia="Cambria Math" w:hAnsi="Cambria Math" w:cs="Cambria Math"/>
                <w:color w:val="000000"/>
                <w:sz w:val="24"/>
                <w:szCs w:val="24"/>
              </w:rPr>
              <m:t>4</m:t>
            </m:r>
          </m:sub>
        </m:sSub>
      </m:oMath>
      <w:r>
        <w:rPr>
          <w:rFonts w:ascii="Times New Roman" w:eastAsia="Times New Roman" w:hAnsi="Times New Roman" w:cs="Times New Roman"/>
          <w:color w:val="000000"/>
          <w:sz w:val="24"/>
          <w:szCs w:val="24"/>
        </w:rPr>
        <w:t xml:space="preserve">, </w:t>
      </w:r>
      <m:oMath>
        <m:sSub>
          <m:sSubPr>
            <m:ctrlPr>
              <w:rPr>
                <w:rFonts w:ascii="Cambria Math" w:eastAsia="Cambria Math" w:hAnsi="Cambria Math" w:cs="Cambria Math"/>
                <w:color w:val="000000"/>
                <w:sz w:val="24"/>
                <w:szCs w:val="24"/>
              </w:rPr>
            </m:ctrlPr>
          </m:sSubPr>
          <m:e>
            <m:r>
              <w:rPr>
                <w:rFonts w:ascii="Cambria Math" w:hAnsi="Cambria Math"/>
              </w:rPr>
              <m:t>τ</m:t>
            </m:r>
          </m:e>
          <m:sub>
            <m:r>
              <w:rPr>
                <w:rFonts w:ascii="Cambria Math" w:eastAsia="Cambria Math" w:hAnsi="Cambria Math" w:cs="Cambria Math"/>
                <w:color w:val="000000"/>
                <w:sz w:val="24"/>
                <w:szCs w:val="24"/>
              </w:rPr>
              <m:t>5</m:t>
            </m:r>
          </m:sub>
        </m:sSub>
      </m:oMath>
      <w:r>
        <w:rPr>
          <w:rFonts w:ascii="Times New Roman" w:eastAsia="Times New Roman" w:hAnsi="Times New Roman" w:cs="Times New Roman"/>
          <w:color w:val="000000"/>
          <w:sz w:val="24"/>
          <w:szCs w:val="24"/>
        </w:rPr>
        <w:t>, … ,</w:t>
      </w:r>
      <m:oMath>
        <m:sSub>
          <m:sSubPr>
            <m:ctrlPr>
              <w:rPr>
                <w:rFonts w:ascii="Cambria Math" w:eastAsia="Cambria Math" w:hAnsi="Cambria Math" w:cs="Cambria Math"/>
                <w:color w:val="000000"/>
                <w:sz w:val="24"/>
                <w:szCs w:val="24"/>
              </w:rPr>
            </m:ctrlPr>
          </m:sSubPr>
          <m:e>
            <m:r>
              <w:rPr>
                <w:rFonts w:ascii="Cambria Math" w:hAnsi="Cambria Math"/>
              </w:rPr>
              <m:t>τ</m:t>
            </m:r>
          </m:e>
          <m:sub>
            <m:r>
              <w:rPr>
                <w:rFonts w:ascii="Cambria Math" w:eastAsia="Cambria Math" w:hAnsi="Cambria Math" w:cs="Cambria Math"/>
                <w:color w:val="000000"/>
                <w:sz w:val="24"/>
                <w:szCs w:val="24"/>
              </w:rPr>
              <m:t>19</m:t>
            </m:r>
          </m:sub>
        </m:sSub>
      </m:oMath>
      <w:r>
        <w:rPr>
          <w:rFonts w:ascii="Times New Roman" w:eastAsia="Times New Roman" w:hAnsi="Times New Roman" w:cs="Times New Roman"/>
          <w:color w:val="000000"/>
          <w:sz w:val="24"/>
          <w:szCs w:val="24"/>
        </w:rPr>
        <w:t xml:space="preserve"> can be interpreted </w:t>
      </w:r>
      <w:r>
        <w:rPr>
          <w:rFonts w:ascii="Times New Roman" w:eastAsia="Times New Roman" w:hAnsi="Times New Roman" w:cs="Times New Roman"/>
          <w:color w:val="000000"/>
          <w:sz w:val="24"/>
          <w:szCs w:val="24"/>
        </w:rPr>
        <w:lastRenderedPageBreak/>
        <w:t xml:space="preserve">similarly. Here, it can be observed that TICs are responsible for the changes in intercepts and slopes. They have an indirect effect on </w:t>
      </w:r>
      <m:oMath>
        <m:r>
          <w:rPr>
            <w:rFonts w:ascii="Cambria Math" w:eastAsia="Cambria Math" w:hAnsi="Cambria Math" w:cs="Cambria Math"/>
            <w:color w:val="000000"/>
            <w:sz w:val="24"/>
            <w:szCs w:val="24"/>
          </w:rPr>
          <m:t>C</m:t>
        </m:r>
        <m:sSub>
          <m:sSubPr>
            <m:ctrlPr>
              <w:rPr>
                <w:rFonts w:ascii="Cambria Math" w:eastAsia="Cambria Math" w:hAnsi="Cambria Math" w:cs="Cambria Math"/>
                <w:color w:val="000000"/>
                <w:sz w:val="24"/>
                <w:szCs w:val="24"/>
              </w:rPr>
            </m:ctrlPr>
          </m:sSubPr>
          <m:e>
            <m:r>
              <w:rPr>
                <w:rFonts w:ascii="Cambria Math" w:eastAsia="Cambria Math" w:hAnsi="Cambria Math" w:cs="Cambria Math"/>
                <w:color w:val="000000"/>
                <w:sz w:val="24"/>
                <w:szCs w:val="24"/>
              </w:rPr>
              <m:t>[t]</m:t>
            </m:r>
          </m:e>
          <m:sub>
            <m:r>
              <w:rPr>
                <w:rFonts w:ascii="Cambria Math" w:eastAsia="Cambria Math" w:hAnsi="Cambria Math" w:cs="Cambria Math"/>
                <w:color w:val="000000"/>
                <w:sz w:val="24"/>
                <w:szCs w:val="24"/>
              </w:rPr>
              <m:t>n</m:t>
            </m:r>
          </m:sub>
        </m:sSub>
      </m:oMath>
      <w:r>
        <w:rPr>
          <w:rFonts w:ascii="Times New Roman" w:eastAsia="Times New Roman" w:hAnsi="Times New Roman" w:cs="Times New Roman"/>
          <w:color w:val="000000"/>
          <w:sz w:val="24"/>
          <w:szCs w:val="24"/>
        </w:rPr>
        <w:t xml:space="preserve"> mediated by latent </w:t>
      </w:r>
      <w:proofErr w:type="gramStart"/>
      <w:r>
        <w:rPr>
          <w:rFonts w:ascii="Times New Roman" w:eastAsia="Times New Roman" w:hAnsi="Times New Roman" w:cs="Times New Roman"/>
          <w:color w:val="000000"/>
          <w:sz w:val="24"/>
          <w:szCs w:val="24"/>
        </w:rPr>
        <w:t xml:space="preserve">variables </w:t>
      </w:r>
      <w:proofErr w:type="gramEnd"/>
      <m:oMath>
        <m:sSub>
          <m:sSubPr>
            <m:ctrlPr>
              <w:rPr>
                <w:rFonts w:ascii="Cambria Math" w:eastAsia="Cambria Math" w:hAnsi="Cambria Math" w:cs="Cambria Math"/>
                <w:color w:val="000000"/>
                <w:sz w:val="24"/>
                <w:szCs w:val="24"/>
              </w:rPr>
            </m:ctrlPr>
          </m:sSubPr>
          <m:e>
            <m:r>
              <w:rPr>
                <w:rFonts w:ascii="Cambria Math" w:eastAsia="Cambria Math" w:hAnsi="Cambria Math" w:cs="Cambria Math"/>
                <w:color w:val="000000"/>
                <w:sz w:val="24"/>
                <w:szCs w:val="24"/>
              </w:rPr>
              <m:t>g</m:t>
            </m:r>
          </m:e>
          <m:sub>
            <m:r>
              <w:rPr>
                <w:rFonts w:ascii="Cambria Math" w:eastAsia="Cambria Math" w:hAnsi="Cambria Math" w:cs="Cambria Math"/>
                <w:color w:val="000000"/>
                <w:sz w:val="24"/>
                <w:szCs w:val="24"/>
              </w:rPr>
              <m:t>0n</m:t>
            </m:r>
          </m:sub>
        </m:sSub>
      </m:oMath>
      <w:r>
        <w:rPr>
          <w:rFonts w:ascii="Times New Roman" w:eastAsia="Times New Roman" w:hAnsi="Times New Roman" w:cs="Times New Roman"/>
          <w:color w:val="000000"/>
          <w:sz w:val="24"/>
          <w:szCs w:val="24"/>
        </w:rPr>
        <w:t xml:space="preserve">, </w:t>
      </w:r>
      <m:oMath>
        <m:sSub>
          <m:sSubPr>
            <m:ctrlPr>
              <w:rPr>
                <w:rFonts w:ascii="Cambria Math" w:eastAsia="Cambria Math" w:hAnsi="Cambria Math" w:cs="Cambria Math"/>
                <w:color w:val="000000"/>
                <w:sz w:val="24"/>
                <w:szCs w:val="24"/>
              </w:rPr>
            </m:ctrlPr>
          </m:sSubPr>
          <m:e>
            <m:r>
              <w:rPr>
                <w:rFonts w:ascii="Cambria Math" w:eastAsia="Cambria Math" w:hAnsi="Cambria Math" w:cs="Cambria Math"/>
                <w:color w:val="000000"/>
                <w:sz w:val="24"/>
                <w:szCs w:val="24"/>
              </w:rPr>
              <m:t>g</m:t>
            </m:r>
          </m:e>
          <m:sub>
            <m:r>
              <w:rPr>
                <w:rFonts w:ascii="Cambria Math" w:eastAsia="Cambria Math" w:hAnsi="Cambria Math" w:cs="Cambria Math"/>
                <w:color w:val="000000"/>
                <w:sz w:val="24"/>
                <w:szCs w:val="24"/>
              </w:rPr>
              <m:t>1n</m:t>
            </m:r>
          </m:sub>
        </m:sSub>
      </m:oMath>
      <w:r>
        <w:rPr>
          <w:rFonts w:ascii="Times New Roman" w:eastAsia="Times New Roman" w:hAnsi="Times New Roman" w:cs="Times New Roman"/>
          <w:color w:val="000000"/>
          <w:sz w:val="24"/>
          <w:szCs w:val="24"/>
        </w:rPr>
        <w:t xml:space="preserve">, </w:t>
      </w:r>
      <m:oMath>
        <m:sSub>
          <m:sSubPr>
            <m:ctrlPr>
              <w:rPr>
                <w:rFonts w:ascii="Cambria Math" w:eastAsia="Cambria Math" w:hAnsi="Cambria Math" w:cs="Cambria Math"/>
                <w:color w:val="000000"/>
                <w:sz w:val="24"/>
                <w:szCs w:val="24"/>
              </w:rPr>
            </m:ctrlPr>
          </m:sSubPr>
          <m:e>
            <m:r>
              <w:rPr>
                <w:rFonts w:ascii="Cambria Math" w:eastAsia="Cambria Math" w:hAnsi="Cambria Math" w:cs="Cambria Math"/>
                <w:color w:val="000000"/>
                <w:sz w:val="24"/>
                <w:szCs w:val="24"/>
              </w:rPr>
              <m:t>g</m:t>
            </m:r>
          </m:e>
          <m:sub>
            <m:r>
              <w:rPr>
                <w:rFonts w:ascii="Cambria Math" w:eastAsia="Cambria Math" w:hAnsi="Cambria Math" w:cs="Cambria Math"/>
                <w:color w:val="000000"/>
                <w:sz w:val="24"/>
                <w:szCs w:val="24"/>
              </w:rPr>
              <m:t>2n</m:t>
            </m:r>
          </m:sub>
        </m:sSub>
      </m:oMath>
      <w:r>
        <w:rPr>
          <w:rFonts w:ascii="Times New Roman" w:eastAsia="Times New Roman" w:hAnsi="Times New Roman" w:cs="Times New Roman"/>
          <w:color w:val="000000"/>
          <w:sz w:val="24"/>
          <w:szCs w:val="24"/>
        </w:rPr>
        <w:t xml:space="preserve"> and </w:t>
      </w:r>
      <m:oMath>
        <m:sSub>
          <m:sSubPr>
            <m:ctrlPr>
              <w:rPr>
                <w:rFonts w:ascii="Cambria Math" w:eastAsia="Cambria Math" w:hAnsi="Cambria Math" w:cs="Cambria Math"/>
                <w:color w:val="000000"/>
                <w:sz w:val="24"/>
                <w:szCs w:val="24"/>
              </w:rPr>
            </m:ctrlPr>
          </m:sSubPr>
          <m:e>
            <m:r>
              <w:rPr>
                <w:rFonts w:ascii="Cambria Math" w:eastAsia="Cambria Math" w:hAnsi="Cambria Math" w:cs="Cambria Math"/>
                <w:color w:val="000000"/>
                <w:sz w:val="24"/>
                <w:szCs w:val="24"/>
              </w:rPr>
              <m:t>g</m:t>
            </m:r>
          </m:e>
          <m:sub>
            <m:r>
              <w:rPr>
                <w:rFonts w:ascii="Cambria Math" w:eastAsia="Cambria Math" w:hAnsi="Cambria Math" w:cs="Cambria Math"/>
                <w:color w:val="000000"/>
                <w:sz w:val="24"/>
                <w:szCs w:val="24"/>
              </w:rPr>
              <m:t>3n</m:t>
            </m:r>
          </m:sub>
        </m:sSub>
      </m:oMath>
      <w:r>
        <w:rPr>
          <w:rFonts w:ascii="Times New Roman" w:eastAsia="Times New Roman" w:hAnsi="Times New Roman" w:cs="Times New Roman"/>
          <w:color w:val="000000"/>
          <w:sz w:val="24"/>
          <w:szCs w:val="24"/>
        </w:rPr>
        <w:t xml:space="preserve">, while TVCs have direct impact on outcome variable </w:t>
      </w:r>
      <m:oMath>
        <m:r>
          <w:rPr>
            <w:rFonts w:ascii="Cambria Math" w:eastAsia="Cambria Math" w:hAnsi="Cambria Math" w:cs="Cambria Math"/>
            <w:color w:val="000000"/>
            <w:sz w:val="24"/>
            <w:szCs w:val="24"/>
          </w:rPr>
          <m:t>C</m:t>
        </m:r>
        <m:sSub>
          <m:sSubPr>
            <m:ctrlPr>
              <w:rPr>
                <w:rFonts w:ascii="Cambria Math" w:eastAsia="Cambria Math" w:hAnsi="Cambria Math" w:cs="Cambria Math"/>
                <w:color w:val="000000"/>
                <w:sz w:val="24"/>
                <w:szCs w:val="24"/>
              </w:rPr>
            </m:ctrlPr>
          </m:sSubPr>
          <m:e>
            <m:r>
              <w:rPr>
                <w:rFonts w:ascii="Cambria Math" w:eastAsia="Cambria Math" w:hAnsi="Cambria Math" w:cs="Cambria Math"/>
                <w:color w:val="000000"/>
                <w:sz w:val="24"/>
                <w:szCs w:val="24"/>
              </w:rPr>
              <m:t>[t]</m:t>
            </m:r>
          </m:e>
          <m:sub>
            <m:r>
              <w:rPr>
                <w:rFonts w:ascii="Cambria Math" w:eastAsia="Cambria Math" w:hAnsi="Cambria Math" w:cs="Cambria Math"/>
                <w:color w:val="000000"/>
                <w:sz w:val="24"/>
                <w:szCs w:val="24"/>
              </w:rPr>
              <m:t>n</m:t>
            </m:r>
          </m:sub>
        </m:sSub>
      </m:oMath>
      <w:r>
        <w:rPr>
          <w:rFonts w:ascii="Times New Roman" w:eastAsia="Times New Roman" w:hAnsi="Times New Roman" w:cs="Times New Roman"/>
          <w:color w:val="000000"/>
          <w:sz w:val="24"/>
          <w:szCs w:val="24"/>
        </w:rPr>
        <w:t>. A structure plot has also been constructed for the outcome variable, cases per million, alongside the other predictors (</w:t>
      </w:r>
      <w:r>
        <w:rPr>
          <w:rFonts w:ascii="Times New Roman" w:eastAsia="Times New Roman" w:hAnsi="Times New Roman" w:cs="Times New Roman"/>
          <w:b/>
          <w:color w:val="000000"/>
          <w:sz w:val="24"/>
          <w:szCs w:val="24"/>
        </w:rPr>
        <w:t>Fig.4</w:t>
      </w:r>
      <w:r>
        <w:rPr>
          <w:rFonts w:ascii="Times New Roman" w:eastAsia="Times New Roman" w:hAnsi="Times New Roman" w:cs="Times New Roman"/>
          <w:color w:val="000000"/>
          <w:sz w:val="24"/>
          <w:szCs w:val="24"/>
        </w:rPr>
        <w:t xml:space="preserve">). In the structure plot, </w:t>
      </w:r>
      <w:proofErr w:type="gramStart"/>
      <w:r>
        <w:rPr>
          <w:rFonts w:ascii="Times New Roman" w:eastAsia="Times New Roman" w:hAnsi="Times New Roman" w:cs="Times New Roman"/>
          <w:color w:val="000000"/>
          <w:sz w:val="24"/>
          <w:szCs w:val="24"/>
        </w:rPr>
        <w:t>C[</w:t>
      </w:r>
      <w:proofErr w:type="gramEnd"/>
      <w:r>
        <w:rPr>
          <w:rFonts w:ascii="Times New Roman" w:eastAsia="Times New Roman" w:hAnsi="Times New Roman" w:cs="Times New Roman"/>
          <w:color w:val="000000"/>
          <w:sz w:val="24"/>
          <w:szCs w:val="24"/>
        </w:rPr>
        <w:t xml:space="preserve">3], C[2], …, C[17] represent the outcome variables while T[3], T[2], …, T[17] represent the MAET. The latent </w:t>
      </w:r>
      <w:proofErr w:type="gramStart"/>
      <w:r>
        <w:rPr>
          <w:rFonts w:ascii="Times New Roman" w:eastAsia="Times New Roman" w:hAnsi="Times New Roman" w:cs="Times New Roman"/>
          <w:color w:val="000000"/>
          <w:sz w:val="24"/>
          <w:szCs w:val="24"/>
        </w:rPr>
        <w:t xml:space="preserve">variables </w:t>
      </w:r>
      <w:proofErr w:type="gramEnd"/>
      <m:oMath>
        <m:sSub>
          <m:sSubPr>
            <m:ctrlPr>
              <w:rPr>
                <w:rFonts w:ascii="Cambria Math" w:eastAsia="Cambria Math" w:hAnsi="Cambria Math" w:cs="Cambria Math"/>
                <w:color w:val="000000"/>
                <w:sz w:val="24"/>
                <w:szCs w:val="24"/>
              </w:rPr>
            </m:ctrlPr>
          </m:sSubPr>
          <m:e>
            <m:r>
              <w:rPr>
                <w:rFonts w:ascii="Cambria Math" w:eastAsia="Cambria Math" w:hAnsi="Cambria Math" w:cs="Cambria Math"/>
                <w:color w:val="000000"/>
                <w:sz w:val="24"/>
                <w:szCs w:val="24"/>
              </w:rPr>
              <m:t>g</m:t>
            </m:r>
          </m:e>
          <m:sub>
            <m:r>
              <w:rPr>
                <w:rFonts w:ascii="Cambria Math" w:eastAsia="Cambria Math" w:hAnsi="Cambria Math" w:cs="Cambria Math"/>
                <w:color w:val="000000"/>
                <w:sz w:val="24"/>
                <w:szCs w:val="24"/>
              </w:rPr>
              <m:t>1</m:t>
            </m:r>
          </m:sub>
        </m:sSub>
      </m:oMath>
      <w:r>
        <w:rPr>
          <w:rFonts w:ascii="Times New Roman" w:eastAsia="Times New Roman" w:hAnsi="Times New Roman" w:cs="Times New Roman"/>
          <w:color w:val="000000"/>
          <w:sz w:val="24"/>
          <w:szCs w:val="24"/>
        </w:rPr>
        <w:t xml:space="preserve">, </w:t>
      </w:r>
      <m:oMath>
        <m:sSub>
          <m:sSubPr>
            <m:ctrlPr>
              <w:rPr>
                <w:rFonts w:ascii="Cambria Math" w:eastAsia="Cambria Math" w:hAnsi="Cambria Math" w:cs="Cambria Math"/>
                <w:color w:val="000000"/>
                <w:sz w:val="24"/>
                <w:szCs w:val="24"/>
              </w:rPr>
            </m:ctrlPr>
          </m:sSubPr>
          <m:e>
            <m:r>
              <w:rPr>
                <w:rFonts w:ascii="Cambria Math" w:eastAsia="Cambria Math" w:hAnsi="Cambria Math" w:cs="Cambria Math"/>
                <w:color w:val="000000"/>
                <w:sz w:val="24"/>
                <w:szCs w:val="24"/>
              </w:rPr>
              <m:t>g</m:t>
            </m:r>
          </m:e>
          <m:sub>
            <m:r>
              <w:rPr>
                <w:rFonts w:ascii="Cambria Math" w:eastAsia="Cambria Math" w:hAnsi="Cambria Math" w:cs="Cambria Math"/>
                <w:color w:val="000000"/>
                <w:sz w:val="24"/>
                <w:szCs w:val="24"/>
              </w:rPr>
              <m:t>2</m:t>
            </m:r>
          </m:sub>
        </m:sSub>
      </m:oMath>
      <w:r>
        <w:rPr>
          <w:rFonts w:ascii="Times New Roman" w:eastAsia="Times New Roman" w:hAnsi="Times New Roman" w:cs="Times New Roman"/>
          <w:color w:val="000000"/>
          <w:sz w:val="24"/>
          <w:szCs w:val="24"/>
        </w:rPr>
        <w:t xml:space="preserve">, and </w:t>
      </w:r>
      <m:oMath>
        <m:sSub>
          <m:sSubPr>
            <m:ctrlPr>
              <w:rPr>
                <w:rFonts w:ascii="Cambria Math" w:eastAsia="Cambria Math" w:hAnsi="Cambria Math" w:cs="Cambria Math"/>
                <w:color w:val="000000"/>
                <w:sz w:val="24"/>
                <w:szCs w:val="24"/>
              </w:rPr>
            </m:ctrlPr>
          </m:sSubPr>
          <m:e>
            <m:r>
              <w:rPr>
                <w:rFonts w:ascii="Cambria Math" w:eastAsia="Cambria Math" w:hAnsi="Cambria Math" w:cs="Cambria Math"/>
                <w:color w:val="000000"/>
                <w:sz w:val="24"/>
                <w:szCs w:val="24"/>
              </w:rPr>
              <m:t>g</m:t>
            </m:r>
          </m:e>
          <m:sub>
            <m:r>
              <w:rPr>
                <w:rFonts w:ascii="Cambria Math" w:eastAsia="Cambria Math" w:hAnsi="Cambria Math" w:cs="Cambria Math"/>
                <w:color w:val="000000"/>
                <w:sz w:val="24"/>
                <w:szCs w:val="24"/>
              </w:rPr>
              <m:t>3</m:t>
            </m:r>
          </m:sub>
        </m:sSub>
      </m:oMath>
      <w:r>
        <w:rPr>
          <w:rFonts w:ascii="Times New Roman" w:eastAsia="Times New Roman" w:hAnsi="Times New Roman" w:cs="Times New Roman"/>
          <w:color w:val="000000"/>
          <w:sz w:val="24"/>
          <w:szCs w:val="24"/>
        </w:rPr>
        <w:t xml:space="preserve"> represent the change in the outcome variable in the second, third, and fourth phases respectively. The structure plot depicts the association of temperature with the corresponding month’s outcome variable with coefficients (</w:t>
      </w:r>
      <m:oMath>
        <m:sSub>
          <m:sSubPr>
            <m:ctrlPr>
              <w:rPr>
                <w:rFonts w:ascii="Cambria Math" w:eastAsia="Cambria Math" w:hAnsi="Cambria Math" w:cs="Cambria Math"/>
                <w:color w:val="000000"/>
                <w:sz w:val="24"/>
                <w:szCs w:val="24"/>
              </w:rPr>
            </m:ctrlPr>
          </m:sSubPr>
          <m:e>
            <m:r>
              <w:rPr>
                <w:rFonts w:ascii="Cambria Math" w:hAnsi="Cambria Math"/>
              </w:rPr>
              <m:t>τ</m:t>
            </m:r>
          </m:e>
          <m:sub>
            <m:r>
              <w:rPr>
                <w:rFonts w:ascii="Cambria Math" w:eastAsia="Cambria Math" w:hAnsi="Cambria Math" w:cs="Cambria Math"/>
                <w:color w:val="000000"/>
                <w:sz w:val="24"/>
                <w:szCs w:val="24"/>
              </w:rPr>
              <m:t>t</m:t>
            </m:r>
          </m:sub>
        </m:sSub>
      </m:oMath>
      <w:r>
        <w:rPr>
          <w:rFonts w:ascii="Times New Roman" w:eastAsia="Times New Roman" w:hAnsi="Times New Roman" w:cs="Times New Roman"/>
          <w:color w:val="000000"/>
          <w:sz w:val="24"/>
          <w:szCs w:val="24"/>
        </w:rPr>
        <w:t>). Furthermore, the coefficients of BMI (</w:t>
      </w:r>
      <m:oMath>
        <m:sSub>
          <m:sSubPr>
            <m:ctrlPr>
              <w:rPr>
                <w:rFonts w:ascii="Cambria Math" w:eastAsia="Cambria Math" w:hAnsi="Cambria Math" w:cs="Cambria Math"/>
                <w:color w:val="000000"/>
                <w:sz w:val="24"/>
                <w:szCs w:val="24"/>
              </w:rPr>
            </m:ctrlPr>
          </m:sSubPr>
          <m:e>
            <m:r>
              <w:rPr>
                <w:rFonts w:ascii="Cambria Math" w:hAnsi="Cambria Math"/>
              </w:rPr>
              <m:t>γ</m:t>
            </m:r>
          </m:e>
          <m:sub>
            <m:r>
              <w:rPr>
                <w:rFonts w:ascii="Cambria Math" w:eastAsia="Cambria Math" w:hAnsi="Cambria Math" w:cs="Cambria Math"/>
                <w:color w:val="000000"/>
                <w:sz w:val="24"/>
                <w:szCs w:val="24"/>
              </w:rPr>
              <m:t>t</m:t>
            </m:r>
          </m:sub>
        </m:sSub>
      </m:oMath>
      <w:r>
        <w:rPr>
          <w:rFonts w:ascii="Times New Roman" w:eastAsia="Times New Roman" w:hAnsi="Times New Roman" w:cs="Times New Roman"/>
          <w:color w:val="000000"/>
          <w:sz w:val="24"/>
          <w:szCs w:val="24"/>
        </w:rPr>
        <w:t>) and cholesterol (</w:t>
      </w:r>
      <m:oMath>
        <m:sSub>
          <m:sSubPr>
            <m:ctrlPr>
              <w:rPr>
                <w:rFonts w:ascii="Cambria Math" w:eastAsia="Cambria Math" w:hAnsi="Cambria Math" w:cs="Cambria Math"/>
                <w:color w:val="000000"/>
                <w:sz w:val="24"/>
                <w:szCs w:val="24"/>
                <w:vertAlign w:val="subscript"/>
              </w:rPr>
            </m:ctrlPr>
          </m:sSubPr>
          <m:e>
            <m:r>
              <w:rPr>
                <w:rFonts w:ascii="Cambria Math" w:hAnsi="Cambria Math"/>
              </w:rPr>
              <m:t>η</m:t>
            </m:r>
          </m:e>
          <m:sub>
            <m:r>
              <w:rPr>
                <w:rFonts w:ascii="Cambria Math" w:eastAsia="Cambria Math" w:hAnsi="Cambria Math" w:cs="Cambria Math"/>
                <w:color w:val="000000"/>
                <w:sz w:val="24"/>
                <w:szCs w:val="24"/>
                <w:vertAlign w:val="subscript"/>
              </w:rPr>
              <m:t>t</m:t>
            </m:r>
          </m:sub>
        </m:sSub>
      </m:oMath>
      <w:proofErr w:type="gramStart"/>
      <w:r>
        <w:rPr>
          <w:rFonts w:ascii="Times New Roman" w:eastAsia="Times New Roman" w:hAnsi="Times New Roman" w:cs="Times New Roman"/>
          <w:color w:val="000000"/>
          <w:sz w:val="24"/>
          <w:szCs w:val="24"/>
          <w:vertAlign w:val="subscript"/>
        </w:rPr>
        <w:t xml:space="preserve">)  </w:t>
      </w:r>
      <w:r>
        <w:rPr>
          <w:rFonts w:ascii="Times New Roman" w:eastAsia="Times New Roman" w:hAnsi="Times New Roman" w:cs="Times New Roman"/>
          <w:color w:val="000000"/>
          <w:sz w:val="24"/>
          <w:szCs w:val="24"/>
        </w:rPr>
        <w:t>illustrate</w:t>
      </w:r>
      <w:proofErr w:type="gramEnd"/>
      <w:r>
        <w:rPr>
          <w:rFonts w:ascii="Times New Roman" w:eastAsia="Times New Roman" w:hAnsi="Times New Roman" w:cs="Times New Roman"/>
          <w:color w:val="000000"/>
          <w:sz w:val="24"/>
          <w:szCs w:val="24"/>
        </w:rPr>
        <w:t xml:space="preserve"> an indirect effect on the outcome variable through latent variables </w:t>
      </w:r>
      <m:oMath>
        <m:sSub>
          <m:sSubPr>
            <m:ctrlPr>
              <w:rPr>
                <w:rFonts w:ascii="Cambria Math" w:eastAsia="Cambria Math" w:hAnsi="Cambria Math" w:cs="Cambria Math"/>
                <w:color w:val="000000"/>
                <w:sz w:val="24"/>
                <w:szCs w:val="24"/>
              </w:rPr>
            </m:ctrlPr>
          </m:sSubPr>
          <m:e>
            <m:r>
              <w:rPr>
                <w:rFonts w:ascii="Cambria Math" w:eastAsia="Cambria Math" w:hAnsi="Cambria Math" w:cs="Cambria Math"/>
                <w:color w:val="000000"/>
                <w:sz w:val="24"/>
                <w:szCs w:val="24"/>
              </w:rPr>
              <m:t>g</m:t>
            </m:r>
          </m:e>
          <m:sub>
            <m:r>
              <w:rPr>
                <w:rFonts w:ascii="Cambria Math" w:eastAsia="Cambria Math" w:hAnsi="Cambria Math" w:cs="Cambria Math"/>
                <w:color w:val="000000"/>
                <w:sz w:val="24"/>
                <w:szCs w:val="24"/>
              </w:rPr>
              <m:t>0n</m:t>
            </m:r>
          </m:sub>
        </m:sSub>
      </m:oMath>
      <w:r>
        <w:rPr>
          <w:rFonts w:ascii="Times New Roman" w:eastAsia="Times New Roman" w:hAnsi="Times New Roman" w:cs="Times New Roman"/>
          <w:color w:val="000000"/>
          <w:sz w:val="24"/>
          <w:szCs w:val="24"/>
        </w:rPr>
        <w:t xml:space="preserve">, </w:t>
      </w:r>
      <m:oMath>
        <m:sSub>
          <m:sSubPr>
            <m:ctrlPr>
              <w:rPr>
                <w:rFonts w:ascii="Cambria Math" w:eastAsia="Cambria Math" w:hAnsi="Cambria Math" w:cs="Cambria Math"/>
                <w:color w:val="000000"/>
                <w:sz w:val="24"/>
                <w:szCs w:val="24"/>
              </w:rPr>
            </m:ctrlPr>
          </m:sSubPr>
          <m:e>
            <m:r>
              <w:rPr>
                <w:rFonts w:ascii="Cambria Math" w:eastAsia="Cambria Math" w:hAnsi="Cambria Math" w:cs="Cambria Math"/>
                <w:color w:val="000000"/>
                <w:sz w:val="24"/>
                <w:szCs w:val="24"/>
              </w:rPr>
              <m:t>g</m:t>
            </m:r>
          </m:e>
          <m:sub>
            <m:r>
              <w:rPr>
                <w:rFonts w:ascii="Cambria Math" w:eastAsia="Cambria Math" w:hAnsi="Cambria Math" w:cs="Cambria Math"/>
                <w:color w:val="000000"/>
                <w:sz w:val="24"/>
                <w:szCs w:val="24"/>
              </w:rPr>
              <m:t>1n</m:t>
            </m:r>
          </m:sub>
        </m:sSub>
      </m:oMath>
      <w:r>
        <w:rPr>
          <w:rFonts w:ascii="Times New Roman" w:eastAsia="Times New Roman" w:hAnsi="Times New Roman" w:cs="Times New Roman"/>
          <w:color w:val="000000"/>
          <w:sz w:val="24"/>
          <w:szCs w:val="24"/>
        </w:rPr>
        <w:t xml:space="preserve">, </w:t>
      </w:r>
      <m:oMath>
        <m:sSub>
          <m:sSubPr>
            <m:ctrlPr>
              <w:rPr>
                <w:rFonts w:ascii="Cambria Math" w:eastAsia="Cambria Math" w:hAnsi="Cambria Math" w:cs="Cambria Math"/>
                <w:color w:val="000000"/>
                <w:sz w:val="24"/>
                <w:szCs w:val="24"/>
              </w:rPr>
            </m:ctrlPr>
          </m:sSubPr>
          <m:e>
            <m:r>
              <w:rPr>
                <w:rFonts w:ascii="Cambria Math" w:eastAsia="Cambria Math" w:hAnsi="Cambria Math" w:cs="Cambria Math"/>
                <w:color w:val="000000"/>
                <w:sz w:val="24"/>
                <w:szCs w:val="24"/>
              </w:rPr>
              <m:t>g</m:t>
            </m:r>
          </m:e>
          <m:sub>
            <m:r>
              <w:rPr>
                <w:rFonts w:ascii="Cambria Math" w:eastAsia="Cambria Math" w:hAnsi="Cambria Math" w:cs="Cambria Math"/>
                <w:color w:val="000000"/>
                <w:sz w:val="24"/>
                <w:szCs w:val="24"/>
              </w:rPr>
              <m:t>2n</m:t>
            </m:r>
          </m:sub>
        </m:sSub>
      </m:oMath>
      <w:r>
        <w:rPr>
          <w:rFonts w:ascii="Times New Roman" w:eastAsia="Times New Roman" w:hAnsi="Times New Roman" w:cs="Times New Roman"/>
          <w:color w:val="000000"/>
          <w:sz w:val="24"/>
          <w:szCs w:val="24"/>
        </w:rPr>
        <w:t xml:space="preserve"> and </w:t>
      </w:r>
      <m:oMath>
        <m:sSub>
          <m:sSubPr>
            <m:ctrlPr>
              <w:rPr>
                <w:rFonts w:ascii="Cambria Math" w:eastAsia="Cambria Math" w:hAnsi="Cambria Math" w:cs="Cambria Math"/>
                <w:color w:val="000000"/>
                <w:sz w:val="24"/>
                <w:szCs w:val="24"/>
              </w:rPr>
            </m:ctrlPr>
          </m:sSubPr>
          <m:e>
            <m:r>
              <w:rPr>
                <w:rFonts w:ascii="Cambria Math" w:eastAsia="Cambria Math" w:hAnsi="Cambria Math" w:cs="Cambria Math"/>
                <w:color w:val="000000"/>
                <w:sz w:val="24"/>
                <w:szCs w:val="24"/>
              </w:rPr>
              <m:t>g</m:t>
            </m:r>
          </m:e>
          <m:sub>
            <m:r>
              <w:rPr>
                <w:rFonts w:ascii="Cambria Math" w:eastAsia="Cambria Math" w:hAnsi="Cambria Math" w:cs="Cambria Math"/>
                <w:color w:val="000000"/>
                <w:sz w:val="24"/>
                <w:szCs w:val="24"/>
              </w:rPr>
              <m:t>3n</m:t>
            </m:r>
          </m:sub>
        </m:sSub>
      </m:oMath>
      <w:r>
        <w:rPr>
          <w:rFonts w:ascii="Times New Roman" w:eastAsia="Times New Roman" w:hAnsi="Times New Roman" w:cs="Times New Roman"/>
          <w:color w:val="000000"/>
          <w:sz w:val="24"/>
          <w:szCs w:val="24"/>
        </w:rPr>
        <w:t>. The dotted lines in the plot show the fixed parameters, while the bold line corresponds to the estimated coefficients from the model.</w:t>
      </w:r>
    </w:p>
    <w:p w14:paraId="00000021" w14:textId="77777777" w:rsidR="0036428B" w:rsidRDefault="00831D93">
      <w:pPr>
        <w:pBdr>
          <w:top w:val="nil"/>
          <w:left w:val="nil"/>
          <w:bottom w:val="nil"/>
          <w:right w:val="nil"/>
          <w:between w:val="nil"/>
        </w:pBdr>
        <w:spacing w:before="280" w:after="280" w:line="360" w:lineRule="auto"/>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Discussion</w:t>
      </w:r>
    </w:p>
    <w:p w14:paraId="00000022" w14:textId="0E155434" w:rsidR="0036428B" w:rsidRDefault="00831D93">
      <w:pPr>
        <w:tabs>
          <w:tab w:val="left" w:pos="5568"/>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novel coronavirus has spread to pandemic proportions, posing a major threat to the human population with an infection rate that has been found to increase exponentially. This outbreak of COVID-19 has led to millions of deaths worldwide. With the lockdown lifted in many parts of the world, infection rates have been found to increase rapidly. In fact, virus infectivity has rapidly peaked as recently as December 2021. There are multiple environmental and biological factors that could contribute to the rapid spread of disease, such as environmental temperature and metabolic parameters. Studies have reported an association between the infection and transmission of viruses with air temperature and humidity. This has been shown, for example, for the influenza virus </w:t>
      </w:r>
      <w:r>
        <w:rPr>
          <w:rFonts w:ascii="Times New Roman" w:eastAsia="Times New Roman" w:hAnsi="Times New Roman" w:cs="Times New Roman"/>
          <w:sz w:val="24"/>
          <w:szCs w:val="24"/>
          <w:vertAlign w:val="superscript"/>
        </w:rPr>
        <w:t>15</w:t>
      </w:r>
      <w:r>
        <w:rPr>
          <w:rFonts w:ascii="Times New Roman" w:eastAsia="Times New Roman" w:hAnsi="Times New Roman" w:cs="Times New Roman"/>
          <w:sz w:val="24"/>
          <w:szCs w:val="24"/>
        </w:rPr>
        <w:t>. Reports in the literature suggest that temperature might be an important factor accounting for the transmission of other coronaviruses, like SARS-CoV</w:t>
      </w:r>
      <w:r>
        <w:rPr>
          <w:rFonts w:ascii="Times New Roman" w:eastAsia="Times New Roman" w:hAnsi="Times New Roman" w:cs="Times New Roman"/>
          <w:sz w:val="24"/>
          <w:szCs w:val="24"/>
          <w:vertAlign w:val="superscript"/>
        </w:rPr>
        <w:t>16</w:t>
      </w:r>
      <w:r>
        <w:rPr>
          <w:rFonts w:ascii="Times New Roman" w:eastAsia="Times New Roman" w:hAnsi="Times New Roman" w:cs="Times New Roman"/>
          <w:sz w:val="24"/>
          <w:szCs w:val="24"/>
        </w:rPr>
        <w:t xml:space="preserve"> and MERS-CoV</w:t>
      </w:r>
      <w:r>
        <w:rPr>
          <w:rFonts w:ascii="Times New Roman" w:eastAsia="Times New Roman" w:hAnsi="Times New Roman" w:cs="Times New Roman"/>
          <w:sz w:val="24"/>
          <w:szCs w:val="24"/>
          <w:vertAlign w:val="superscript"/>
        </w:rPr>
        <w:t>17</w:t>
      </w:r>
      <w:r w:rsidR="00F0535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because of (i) increased virus half-life at lower temperatures, (ii) greater stability in nasal passages when the epithelial surface is cold, and (iii) greater stability in lower humidity as compared to intermediate humidity</w:t>
      </w:r>
      <w:r>
        <w:rPr>
          <w:rFonts w:ascii="Times New Roman" w:eastAsia="Times New Roman" w:hAnsi="Times New Roman" w:cs="Times New Roman"/>
          <w:sz w:val="24"/>
          <w:szCs w:val="24"/>
          <w:vertAlign w:val="superscript"/>
        </w:rPr>
        <w:t>15-17</w:t>
      </w:r>
      <w:r>
        <w:rPr>
          <w:rFonts w:ascii="Times New Roman" w:eastAsia="Times New Roman" w:hAnsi="Times New Roman" w:cs="Times New Roman"/>
          <w:sz w:val="24"/>
          <w:szCs w:val="24"/>
        </w:rPr>
        <w:t>. Considering these facts, we conducted a study to establish a link between environmental temperature and COVID-19 cases. We observed that countries with more COVID-19 cases were mostly located north of the latitude of Wuhan, China where the pandemic started in December, 2019. Thus, we performed a detailed country-wise statistical analysis which established a significant negative correlation b</w:t>
      </w:r>
      <w:r w:rsidR="00B54256">
        <w:rPr>
          <w:rFonts w:ascii="Times New Roman" w:eastAsia="Times New Roman" w:hAnsi="Times New Roman" w:cs="Times New Roman"/>
          <w:sz w:val="24"/>
          <w:szCs w:val="24"/>
        </w:rPr>
        <w:t xml:space="preserve">etween COVID-19 cases and MAET </w:t>
      </w:r>
      <w:r>
        <w:rPr>
          <w:rFonts w:ascii="Times New Roman" w:eastAsia="Times New Roman" w:hAnsi="Times New Roman" w:cs="Times New Roman"/>
          <w:sz w:val="24"/>
          <w:szCs w:val="24"/>
        </w:rPr>
        <w:t>of a country</w:t>
      </w:r>
      <w:r>
        <w:rPr>
          <w:rFonts w:ascii="Times New Roman" w:eastAsia="Times New Roman" w:hAnsi="Times New Roman" w:cs="Times New Roman"/>
          <w:sz w:val="24"/>
          <w:szCs w:val="24"/>
          <w:vertAlign w:val="superscript"/>
        </w:rPr>
        <w:t>5</w:t>
      </w:r>
      <w:r>
        <w:rPr>
          <w:rFonts w:ascii="Times New Roman" w:eastAsia="Times New Roman" w:hAnsi="Times New Roman" w:cs="Times New Roman"/>
          <w:sz w:val="24"/>
          <w:szCs w:val="24"/>
        </w:rPr>
        <w:t xml:space="preserve">. However, this initial finding was limited to the COVID-19 data from March and April, 2020.   While there are a few studies whose findings are broadly </w:t>
      </w:r>
      <w:r>
        <w:rPr>
          <w:rFonts w:ascii="Times New Roman" w:eastAsia="Times New Roman" w:hAnsi="Times New Roman" w:cs="Times New Roman"/>
          <w:sz w:val="24"/>
          <w:szCs w:val="24"/>
        </w:rPr>
        <w:lastRenderedPageBreak/>
        <w:t>congruous with our own regarding temperature and SARS-CoV-2 caseload</w:t>
      </w:r>
      <w:r>
        <w:rPr>
          <w:rFonts w:ascii="Times New Roman" w:eastAsia="Times New Roman" w:hAnsi="Times New Roman" w:cs="Times New Roman"/>
          <w:sz w:val="24"/>
          <w:szCs w:val="24"/>
          <w:vertAlign w:val="superscript"/>
        </w:rPr>
        <w:t>18</w:t>
      </w:r>
      <w:r>
        <w:rPr>
          <w:rFonts w:ascii="Times New Roman" w:eastAsia="Times New Roman" w:hAnsi="Times New Roman" w:cs="Times New Roman"/>
          <w:sz w:val="24"/>
          <w:szCs w:val="24"/>
        </w:rPr>
        <w:t>, others have found no correlation between temperature and infection rate</w:t>
      </w:r>
      <w:r>
        <w:rPr>
          <w:rFonts w:ascii="Times New Roman" w:eastAsia="Times New Roman" w:hAnsi="Times New Roman" w:cs="Times New Roman"/>
          <w:sz w:val="24"/>
          <w:szCs w:val="24"/>
          <w:vertAlign w:val="superscript"/>
        </w:rPr>
        <w:t>13</w:t>
      </w:r>
      <w:r>
        <w:rPr>
          <w:rFonts w:ascii="Times New Roman" w:eastAsia="Times New Roman" w:hAnsi="Times New Roman" w:cs="Times New Roman"/>
          <w:sz w:val="24"/>
          <w:szCs w:val="24"/>
        </w:rPr>
        <w:t>. In this study, we have validated the rela</w:t>
      </w:r>
      <w:r w:rsidR="00CB3D7E">
        <w:rPr>
          <w:rFonts w:ascii="Times New Roman" w:eastAsia="Times New Roman" w:hAnsi="Times New Roman" w:cs="Times New Roman"/>
          <w:sz w:val="24"/>
          <w:szCs w:val="24"/>
        </w:rPr>
        <w:t>tionship between MAET and COVID</w:t>
      </w:r>
      <w:r>
        <w:rPr>
          <w:rFonts w:ascii="Times New Roman" w:eastAsia="Times New Roman" w:hAnsi="Times New Roman" w:cs="Times New Roman"/>
          <w:sz w:val="24"/>
          <w:szCs w:val="24"/>
        </w:rPr>
        <w:t>-19 cases per million from March, 2020 to July, 2021 of a country. Univariate analysis by both Pearson and Spearman’s methods indicated a negative correlation between temperature and COVID-19 cases (</w:t>
      </w:r>
      <w:r>
        <w:rPr>
          <w:rFonts w:ascii="Times New Roman" w:eastAsia="Times New Roman" w:hAnsi="Times New Roman" w:cs="Times New Roman"/>
          <w:b/>
          <w:sz w:val="24"/>
          <w:szCs w:val="24"/>
        </w:rPr>
        <w:t>Table 1</w:t>
      </w:r>
      <w:r>
        <w:rPr>
          <w:rFonts w:ascii="Times New Roman" w:eastAsia="Times New Roman" w:hAnsi="Times New Roman" w:cs="Times New Roman"/>
          <w:sz w:val="24"/>
          <w:szCs w:val="24"/>
        </w:rPr>
        <w:t>). The statistical analysis also identified a stronger negative correlation for the winter months (November to March) signifying that the warmer months faced fewer SARS-CoV-2 infections compared to the colder months. The box plot (</w:t>
      </w:r>
      <w:r>
        <w:rPr>
          <w:rFonts w:ascii="Times New Roman" w:eastAsia="Times New Roman" w:hAnsi="Times New Roman" w:cs="Times New Roman"/>
          <w:b/>
          <w:sz w:val="24"/>
          <w:szCs w:val="24"/>
        </w:rPr>
        <w:t>Fig.2</w:t>
      </w:r>
      <w:r>
        <w:rPr>
          <w:rFonts w:ascii="Times New Roman" w:eastAsia="Times New Roman" w:hAnsi="Times New Roman" w:cs="Times New Roman"/>
          <w:sz w:val="24"/>
          <w:szCs w:val="24"/>
        </w:rPr>
        <w:t>) and the simple trajectory curves (</w:t>
      </w:r>
      <w:r>
        <w:rPr>
          <w:rFonts w:ascii="Times New Roman" w:eastAsia="Times New Roman" w:hAnsi="Times New Roman" w:cs="Times New Roman"/>
          <w:b/>
          <w:sz w:val="24"/>
          <w:szCs w:val="24"/>
        </w:rPr>
        <w:t>Fig.3</w:t>
      </w:r>
      <w:r>
        <w:rPr>
          <w:rFonts w:ascii="Times New Roman" w:eastAsia="Times New Roman" w:hAnsi="Times New Roman" w:cs="Times New Roman"/>
          <w:sz w:val="24"/>
          <w:szCs w:val="24"/>
        </w:rPr>
        <w:t>) also demonstrated a high prevalence of COVID-19 infection in the later months of the year as compared to the initial months. To further reconfirm that lower temperatures influence infection rate, we inspected the geographical locations of the countries with moa greater number of infections and observed that most of these countries were located above 23.5</w:t>
      </w:r>
      <w:r>
        <w:rPr>
          <w:rFonts w:ascii="Times New Roman" w:eastAsia="Times New Roman" w:hAnsi="Times New Roman" w:cs="Times New Roman"/>
          <w:sz w:val="24"/>
          <w:szCs w:val="24"/>
          <w:vertAlign w:val="superscript"/>
        </w:rPr>
        <w:t>o</w:t>
      </w:r>
      <w:r>
        <w:rPr>
          <w:rFonts w:ascii="Times New Roman" w:eastAsia="Times New Roman" w:hAnsi="Times New Roman" w:cs="Times New Roman"/>
          <w:sz w:val="24"/>
          <w:szCs w:val="24"/>
        </w:rPr>
        <w:t>N latitude and/or towards the poles, further suggesting that cold temperatures may affect the SARS-CoV-2 transmission (</w:t>
      </w:r>
      <w:r>
        <w:rPr>
          <w:rFonts w:ascii="Times New Roman" w:eastAsia="Times New Roman" w:hAnsi="Times New Roman" w:cs="Times New Roman"/>
          <w:b/>
          <w:sz w:val="24"/>
          <w:szCs w:val="24"/>
        </w:rPr>
        <w:t>Fig.1A</w:t>
      </w:r>
      <w:r>
        <w:rPr>
          <w:rFonts w:ascii="Times New Roman" w:eastAsia="Times New Roman" w:hAnsi="Times New Roman" w:cs="Times New Roman"/>
          <w:sz w:val="24"/>
          <w:szCs w:val="24"/>
        </w:rPr>
        <w:t xml:space="preserve">). </w:t>
      </w:r>
    </w:p>
    <w:p w14:paraId="00000023" w14:textId="634C0C8E" w:rsidR="0036428B" w:rsidRDefault="00831D93">
      <w:pPr>
        <w:tabs>
          <w:tab w:val="left" w:pos="5568"/>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Nevertheless, we did not limit our study exclusively to environmental temperature since there may be multiple reasons for this increase in the novel coronavirus infections. More severe viral infection is observed in those patients who are already suffering from the other pre-existing health complications</w:t>
      </w:r>
      <w:r>
        <w:rPr>
          <w:rFonts w:ascii="Times New Roman" w:eastAsia="Times New Roman" w:hAnsi="Times New Roman" w:cs="Times New Roman"/>
          <w:sz w:val="24"/>
          <w:szCs w:val="24"/>
          <w:vertAlign w:val="superscript"/>
        </w:rPr>
        <w:t>19</w:t>
      </w:r>
      <w:r>
        <w:rPr>
          <w:rFonts w:ascii="Times New Roman" w:eastAsia="Times New Roman" w:hAnsi="Times New Roman" w:cs="Times New Roman"/>
          <w:sz w:val="24"/>
          <w:szCs w:val="24"/>
        </w:rPr>
        <w:t>. Therefore, we refined our research by considering additional metabolic parameters like high-cholesterol, BMI, and obesity, in conjunction with the environmental temperature of a country, in influencing the SARS-CoV-2 caseload. The role of cholesterol in virulence of other respiratory viruses, like influenza, has been well established in several studies. For instance, cholesterol, which maintains membrane structure, is critical for viral stability and virulence</w:t>
      </w:r>
      <w:r>
        <w:rPr>
          <w:rFonts w:ascii="Times New Roman" w:eastAsia="Times New Roman" w:hAnsi="Times New Roman" w:cs="Times New Roman"/>
          <w:sz w:val="24"/>
          <w:szCs w:val="24"/>
          <w:vertAlign w:val="superscript"/>
        </w:rPr>
        <w:t>20</w:t>
      </w:r>
      <w:r>
        <w:rPr>
          <w:rFonts w:ascii="Times New Roman" w:eastAsia="Times New Roman" w:hAnsi="Times New Roman" w:cs="Times New Roman"/>
          <w:sz w:val="24"/>
          <w:szCs w:val="24"/>
        </w:rPr>
        <w:t>. Studies have documented that patients with prior high cholesterol levels are more prone to viral infectivity, eventually leading to severe disease outcomes</w:t>
      </w:r>
      <w:r>
        <w:rPr>
          <w:rFonts w:ascii="Times New Roman" w:eastAsia="Times New Roman" w:hAnsi="Times New Roman" w:cs="Times New Roman"/>
          <w:sz w:val="24"/>
          <w:szCs w:val="24"/>
          <w:vertAlign w:val="superscript"/>
        </w:rPr>
        <w:t>21</w:t>
      </w:r>
      <w:r>
        <w:rPr>
          <w:rFonts w:ascii="Times New Roman" w:eastAsia="Times New Roman" w:hAnsi="Times New Roman" w:cs="Times New Roman"/>
          <w:sz w:val="24"/>
          <w:szCs w:val="24"/>
        </w:rPr>
        <w:t>. Cholesterol-enriched lipid rafts might accommodate the aggregation of ACE2 receptors on the cell membrane, thus enhancing the binding of the S-protein of SARS-CoV-2 to the host cell surface</w:t>
      </w:r>
      <w:r>
        <w:rPr>
          <w:rFonts w:ascii="Times New Roman" w:eastAsia="Times New Roman" w:hAnsi="Times New Roman" w:cs="Times New Roman"/>
          <w:sz w:val="24"/>
          <w:szCs w:val="24"/>
          <w:vertAlign w:val="superscript"/>
        </w:rPr>
        <w:t>22</w:t>
      </w:r>
      <w:r>
        <w:rPr>
          <w:rFonts w:ascii="Times New Roman" w:eastAsia="Times New Roman" w:hAnsi="Times New Roman" w:cs="Times New Roman"/>
          <w:sz w:val="24"/>
          <w:szCs w:val="24"/>
        </w:rPr>
        <w:t xml:space="preserve">. Another study has shown that individuals with an </w:t>
      </w:r>
      <w:proofErr w:type="spellStart"/>
      <w:r>
        <w:rPr>
          <w:rFonts w:ascii="Times New Roman" w:eastAsia="Times New Roman" w:hAnsi="Times New Roman" w:cs="Times New Roman"/>
          <w:sz w:val="24"/>
          <w:szCs w:val="24"/>
        </w:rPr>
        <w:t>apolipoprotein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apo</w:t>
      </w:r>
      <w:proofErr w:type="spellEnd"/>
      <w:r>
        <w:rPr>
          <w:rFonts w:ascii="Times New Roman" w:eastAsia="Times New Roman" w:hAnsi="Times New Roman" w:cs="Times New Roman"/>
          <w:sz w:val="24"/>
          <w:szCs w:val="24"/>
        </w:rPr>
        <w:t xml:space="preserve">) E4 genotype have an increased risk of severe COVID‐19 infection. Though increased cholesterol levels promote ACE2 and </w:t>
      </w:r>
      <w:proofErr w:type="spellStart"/>
      <w:r>
        <w:rPr>
          <w:rFonts w:ascii="Times New Roman" w:eastAsia="Times New Roman" w:hAnsi="Times New Roman" w:cs="Times New Roman"/>
          <w:sz w:val="24"/>
          <w:szCs w:val="24"/>
        </w:rPr>
        <w:t>furin</w:t>
      </w:r>
      <w:proofErr w:type="spellEnd"/>
      <w:r>
        <w:rPr>
          <w:rFonts w:ascii="Times New Roman" w:eastAsia="Times New Roman" w:hAnsi="Times New Roman" w:cs="Times New Roman"/>
          <w:sz w:val="24"/>
          <w:szCs w:val="24"/>
        </w:rPr>
        <w:t xml:space="preserve"> trafficking inside host cells</w:t>
      </w:r>
      <w:r>
        <w:rPr>
          <w:rFonts w:ascii="Times New Roman" w:eastAsia="Times New Roman" w:hAnsi="Times New Roman" w:cs="Times New Roman"/>
          <w:sz w:val="24"/>
          <w:szCs w:val="24"/>
          <w:vertAlign w:val="superscript"/>
        </w:rPr>
        <w:t>21</w:t>
      </w:r>
      <w:r>
        <w:rPr>
          <w:rFonts w:ascii="Times New Roman" w:eastAsia="Times New Roman" w:hAnsi="Times New Roman" w:cs="Times New Roman"/>
          <w:sz w:val="24"/>
          <w:szCs w:val="24"/>
        </w:rPr>
        <w:t>, cholesterol plasma levels are found to be decreased in patients post-infection. In brief, high cholesterol present in host cell membrane, virus particles, and human blood may augment the virus entry processing in the host cells</w:t>
      </w:r>
      <w:r>
        <w:rPr>
          <w:rFonts w:ascii="Times New Roman" w:eastAsia="Times New Roman" w:hAnsi="Times New Roman" w:cs="Times New Roman"/>
          <w:sz w:val="24"/>
          <w:szCs w:val="24"/>
          <w:vertAlign w:val="superscript"/>
        </w:rPr>
        <w:t>21</w:t>
      </w:r>
      <w:proofErr w:type="gramStart"/>
      <w:r>
        <w:rPr>
          <w:rFonts w:ascii="Times New Roman" w:eastAsia="Times New Roman" w:hAnsi="Times New Roman" w:cs="Times New Roman"/>
          <w:sz w:val="24"/>
          <w:szCs w:val="24"/>
          <w:vertAlign w:val="superscript"/>
        </w:rPr>
        <w:t>,23</w:t>
      </w:r>
      <w:proofErr w:type="gramEnd"/>
      <w:r>
        <w:rPr>
          <w:rFonts w:ascii="Times New Roman" w:eastAsia="Times New Roman" w:hAnsi="Times New Roman" w:cs="Times New Roman"/>
          <w:sz w:val="24"/>
          <w:szCs w:val="24"/>
        </w:rPr>
        <w:t>. Our data depicted that geographic locations above 23.5</w:t>
      </w:r>
      <w:r>
        <w:rPr>
          <w:rFonts w:ascii="Times New Roman" w:eastAsia="Times New Roman" w:hAnsi="Times New Roman" w:cs="Times New Roman"/>
          <w:sz w:val="24"/>
          <w:szCs w:val="24"/>
          <w:vertAlign w:val="superscript"/>
        </w:rPr>
        <w:t>o</w:t>
      </w:r>
      <w:r>
        <w:rPr>
          <w:rFonts w:ascii="Times New Roman" w:eastAsia="Times New Roman" w:hAnsi="Times New Roman" w:cs="Times New Roman"/>
          <w:sz w:val="24"/>
          <w:szCs w:val="24"/>
        </w:rPr>
        <w:t xml:space="preserve">N latitude and towards the poles had a higher prevalence of high average total cholesterol levels, often overlapping the areas with the </w:t>
      </w:r>
      <w:r>
        <w:rPr>
          <w:rFonts w:ascii="Times New Roman" w:eastAsia="Times New Roman" w:hAnsi="Times New Roman" w:cs="Times New Roman"/>
          <w:sz w:val="24"/>
          <w:szCs w:val="24"/>
        </w:rPr>
        <w:lastRenderedPageBreak/>
        <w:t>highest COVID-19 cases (</w:t>
      </w:r>
      <w:r>
        <w:rPr>
          <w:rFonts w:ascii="Times New Roman" w:eastAsia="Times New Roman" w:hAnsi="Times New Roman" w:cs="Times New Roman"/>
          <w:b/>
          <w:sz w:val="24"/>
          <w:szCs w:val="24"/>
        </w:rPr>
        <w:t>Fig.1B</w:t>
      </w:r>
      <w:r>
        <w:rPr>
          <w:rFonts w:ascii="Times New Roman" w:eastAsia="Times New Roman" w:hAnsi="Times New Roman" w:cs="Times New Roman"/>
          <w:sz w:val="24"/>
          <w:szCs w:val="24"/>
        </w:rPr>
        <w:t>). Furthermore, the univariate analysis also showed a significant positive correlation between average total cholesterol and COVID-19 total cases per million (</w:t>
      </w:r>
      <w:r>
        <w:rPr>
          <w:rFonts w:ascii="Times New Roman" w:eastAsia="Times New Roman" w:hAnsi="Times New Roman" w:cs="Times New Roman"/>
          <w:b/>
          <w:sz w:val="24"/>
          <w:szCs w:val="24"/>
        </w:rPr>
        <w:t>Table 1</w:t>
      </w:r>
      <w:r>
        <w:rPr>
          <w:rFonts w:ascii="Times New Roman" w:eastAsia="Times New Roman" w:hAnsi="Times New Roman" w:cs="Times New Roman"/>
          <w:sz w:val="24"/>
          <w:szCs w:val="24"/>
        </w:rPr>
        <w:t>), thereby suggesting that higher cholesterol levels may enhance the infection rate of SARS-CoV-2.</w:t>
      </w:r>
    </w:p>
    <w:p w14:paraId="00000024" w14:textId="77777777" w:rsidR="0036428B" w:rsidRDefault="00831D93">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Obesity is a critical health condition which is a consequence of modern sedentary lifestyle. In addition to its other health implications, there is an association between obesity and critical viral infections</w:t>
      </w:r>
      <w:r>
        <w:rPr>
          <w:rFonts w:ascii="Times New Roman" w:eastAsia="Times New Roman" w:hAnsi="Times New Roman" w:cs="Times New Roman"/>
          <w:sz w:val="24"/>
          <w:szCs w:val="24"/>
          <w:vertAlign w:val="superscript"/>
        </w:rPr>
        <w:t>24</w:t>
      </w:r>
      <w:r>
        <w:rPr>
          <w:rFonts w:ascii="Times New Roman" w:eastAsia="Times New Roman" w:hAnsi="Times New Roman" w:cs="Times New Roman"/>
          <w:sz w:val="24"/>
          <w:szCs w:val="24"/>
        </w:rPr>
        <w:t>. Reports have shown that obesity can contribute to the progression of viral infections such as in the case of Hepatitis C infection</w:t>
      </w:r>
      <w:r>
        <w:rPr>
          <w:rFonts w:ascii="Times New Roman" w:eastAsia="Times New Roman" w:hAnsi="Times New Roman" w:cs="Times New Roman"/>
          <w:sz w:val="24"/>
          <w:szCs w:val="24"/>
          <w:vertAlign w:val="superscript"/>
        </w:rPr>
        <w:t>25</w:t>
      </w:r>
      <w:r>
        <w:rPr>
          <w:rFonts w:ascii="Times New Roman" w:eastAsia="Times New Roman" w:hAnsi="Times New Roman" w:cs="Times New Roman"/>
          <w:sz w:val="24"/>
          <w:szCs w:val="24"/>
        </w:rPr>
        <w:t>. Several studies have reported that overweight patients need respiratory support and have increased admission to intensive care units (ICUs) compared to patients with normal weight, even at a younger age</w:t>
      </w:r>
      <w:r>
        <w:rPr>
          <w:rFonts w:ascii="Times New Roman" w:eastAsia="Times New Roman" w:hAnsi="Times New Roman" w:cs="Times New Roman"/>
          <w:sz w:val="24"/>
          <w:szCs w:val="24"/>
          <w:vertAlign w:val="superscript"/>
        </w:rPr>
        <w:t>26</w:t>
      </w:r>
      <w:sdt>
        <w:sdtPr>
          <w:tag w:val="goog_rdk_0"/>
          <w:id w:val="-2089138126"/>
        </w:sdtPr>
        <w:sdtEndPr/>
        <w:sdtContent>
          <w:r>
            <w:rPr>
              <w:rFonts w:ascii="Gungsuh" w:eastAsia="Gungsuh" w:hAnsi="Gungsuh" w:cs="Gungsuh"/>
              <w:sz w:val="24"/>
              <w:szCs w:val="24"/>
            </w:rPr>
            <w:t>. A cohort study showed that obesity is an important factor in disease severity of SARS‐CoV‐2, having the highest impact on patients with a BMI ≥ 35</w:t>
          </w:r>
        </w:sdtContent>
      </w:sdt>
      <w:r>
        <w:rPr>
          <w:rFonts w:ascii="Times New Roman" w:eastAsia="Times New Roman" w:hAnsi="Times New Roman" w:cs="Times New Roman"/>
          <w:sz w:val="24"/>
          <w:szCs w:val="24"/>
          <w:vertAlign w:val="superscript"/>
        </w:rPr>
        <w:t>27</w:t>
      </w:r>
      <w:r>
        <w:rPr>
          <w:rFonts w:ascii="Times New Roman" w:eastAsia="Times New Roman" w:hAnsi="Times New Roman" w:cs="Times New Roman"/>
          <w:sz w:val="24"/>
          <w:szCs w:val="24"/>
        </w:rPr>
        <w:t xml:space="preserve">. Moreover, </w:t>
      </w:r>
      <w:r>
        <w:rPr>
          <w:rFonts w:ascii="Times New Roman" w:eastAsia="Times New Roman" w:hAnsi="Times New Roman" w:cs="Times New Roman"/>
          <w:i/>
          <w:sz w:val="24"/>
          <w:szCs w:val="24"/>
        </w:rPr>
        <w:t>in vitro</w:t>
      </w:r>
      <w:r>
        <w:rPr>
          <w:rFonts w:ascii="Times New Roman" w:eastAsia="Times New Roman" w:hAnsi="Times New Roman" w:cs="Times New Roman"/>
          <w:sz w:val="24"/>
          <w:szCs w:val="24"/>
        </w:rPr>
        <w:t xml:space="preserve"> experiments have shown that ACE2 and TMPRSS2, two essential entry components for SARS-CoV-2 infection, are highly </w:t>
      </w:r>
      <w:proofErr w:type="spellStart"/>
      <w:r>
        <w:rPr>
          <w:rFonts w:ascii="Times New Roman" w:eastAsia="Times New Roman" w:hAnsi="Times New Roman" w:cs="Times New Roman"/>
          <w:sz w:val="24"/>
          <w:szCs w:val="24"/>
        </w:rPr>
        <w:t>upregulated</w:t>
      </w:r>
      <w:proofErr w:type="spellEnd"/>
      <w:r>
        <w:rPr>
          <w:rFonts w:ascii="Times New Roman" w:eastAsia="Times New Roman" w:hAnsi="Times New Roman" w:cs="Times New Roman"/>
          <w:sz w:val="24"/>
          <w:szCs w:val="24"/>
        </w:rPr>
        <w:t xml:space="preserve"> in the lung epithelial cells of obese patients</w:t>
      </w:r>
      <w:r>
        <w:rPr>
          <w:rFonts w:ascii="Times New Roman" w:eastAsia="Times New Roman" w:hAnsi="Times New Roman" w:cs="Times New Roman"/>
          <w:sz w:val="24"/>
          <w:szCs w:val="24"/>
          <w:vertAlign w:val="superscript"/>
        </w:rPr>
        <w:t>28</w:t>
      </w:r>
      <w:r>
        <w:rPr>
          <w:rFonts w:ascii="Times New Roman" w:eastAsia="Times New Roman" w:hAnsi="Times New Roman" w:cs="Times New Roman"/>
          <w:sz w:val="24"/>
          <w:szCs w:val="24"/>
        </w:rPr>
        <w:t>. Therefore, we explored the relationship between BMI and obesity and COVID-19 caseload. Upon identifying the geographical locations of countries with a higher prevalence of BMI and obesity, significant overlap was observed with those with high numbers of COVID-19 cases (</w:t>
      </w:r>
      <w:r>
        <w:rPr>
          <w:rFonts w:ascii="Times New Roman" w:eastAsia="Times New Roman" w:hAnsi="Times New Roman" w:cs="Times New Roman"/>
          <w:b/>
          <w:sz w:val="24"/>
          <w:szCs w:val="24"/>
        </w:rPr>
        <w:t>Fig. 1C-D</w:t>
      </w:r>
      <w:r>
        <w:rPr>
          <w:rFonts w:ascii="Times New Roman" w:eastAsia="Times New Roman" w:hAnsi="Times New Roman" w:cs="Times New Roman"/>
          <w:sz w:val="24"/>
          <w:szCs w:val="24"/>
        </w:rPr>
        <w:t>), just as with cholesterol levels. Additionally, statistical analysis identified a positive correlation between the BMI with the total COVID-19 cases per million (</w:t>
      </w:r>
      <w:r>
        <w:rPr>
          <w:rFonts w:ascii="Times New Roman" w:eastAsia="Times New Roman" w:hAnsi="Times New Roman" w:cs="Times New Roman"/>
          <w:b/>
          <w:sz w:val="24"/>
          <w:szCs w:val="24"/>
        </w:rPr>
        <w:t>Table 1</w:t>
      </w:r>
      <w:r>
        <w:rPr>
          <w:rFonts w:ascii="Times New Roman" w:eastAsia="Times New Roman" w:hAnsi="Times New Roman" w:cs="Times New Roman"/>
          <w:sz w:val="24"/>
          <w:szCs w:val="24"/>
        </w:rPr>
        <w:t xml:space="preserve">). </w:t>
      </w:r>
    </w:p>
    <w:p w14:paraId="00000025" w14:textId="77777777" w:rsidR="0036428B" w:rsidRDefault="00831D93">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Based on these preliminary findings from the univariate analysis data, we conclude that these metabolic parameters i.e., average total cholesterol and BMI, influence the infectivity of the SARS-CoV-2 virus. To authenticate these findings, different statistical approaches were used,</w:t>
      </w:r>
      <w:r>
        <w:t xml:space="preserve"> </w:t>
      </w:r>
      <w:r>
        <w:rPr>
          <w:rFonts w:ascii="Times New Roman" w:eastAsia="Times New Roman" w:hAnsi="Times New Roman" w:cs="Times New Roman"/>
          <w:sz w:val="24"/>
          <w:szCs w:val="24"/>
        </w:rPr>
        <w:t>and we attempted to model the COVID-19 cases/million trajectory using a latent growth curve model in the presence of time-variant and invariant factors. Multiphase GCM was used to investigate the role of metabolic parameters on the escalation of COVID-19 cases. We evaluated different covariates such as temperature, average total cholesterol, and BMI and tried to fit it in the multiphase models individually with the COVID-19 cases per million and examined the AIC, BIC and TLI values (</w:t>
      </w:r>
      <w:r>
        <w:rPr>
          <w:rFonts w:ascii="Times New Roman" w:eastAsia="Times New Roman" w:hAnsi="Times New Roman" w:cs="Times New Roman"/>
          <w:b/>
          <w:sz w:val="24"/>
          <w:szCs w:val="24"/>
        </w:rPr>
        <w:t>Table 2</w:t>
      </w:r>
      <w:r>
        <w:rPr>
          <w:rFonts w:ascii="Times New Roman" w:eastAsia="Times New Roman" w:hAnsi="Times New Roman" w:cs="Times New Roman"/>
          <w:sz w:val="24"/>
          <w:szCs w:val="24"/>
        </w:rPr>
        <w:t>). The model having the lowest AIC and BIC values and greater TLC values was considered to be the best fit model fulfilling all the statistical criteria, and based on this, the models were ranked accordingly. Moreover, when these metabolic parameters were evaluated with environmental temperature, it was found to have a greater impact on the infection rate. In order to determine the combinatorial effect of all these factors i.e., environmental temperature, average total cholesterol, and BMI with the COVID-</w:t>
      </w:r>
      <w:r>
        <w:rPr>
          <w:rFonts w:ascii="Times New Roman" w:eastAsia="Times New Roman" w:hAnsi="Times New Roman" w:cs="Times New Roman"/>
          <w:sz w:val="24"/>
          <w:szCs w:val="24"/>
        </w:rPr>
        <w:lastRenderedPageBreak/>
        <w:t>19 cases per million, we incorporated these parameters all together in the multiphase model and determined the AIC, BIC, and TLI values; it was observed that t</w:t>
      </w:r>
      <w:r>
        <w:rPr>
          <w:rFonts w:ascii="Times New Roman" w:eastAsia="Times New Roman" w:hAnsi="Times New Roman" w:cs="Times New Roman"/>
        </w:rPr>
        <w:t xml:space="preserve">he </w:t>
      </w:r>
      <w:r>
        <w:rPr>
          <w:rFonts w:ascii="Times New Roman" w:eastAsia="Times New Roman" w:hAnsi="Times New Roman" w:cs="Times New Roman"/>
          <w:sz w:val="24"/>
          <w:szCs w:val="24"/>
        </w:rPr>
        <w:t xml:space="preserve">AIC and BIC values are lowest and TLI is highest for this model in comparison to the other competing models. Therefore, it could be concluded that Model-8 outperformed the other models. The estimates used were obtained from this model. The structure plot for the data including all countries is shown in </w:t>
      </w:r>
      <w:r>
        <w:rPr>
          <w:rFonts w:ascii="Times New Roman" w:eastAsia="Times New Roman" w:hAnsi="Times New Roman" w:cs="Times New Roman"/>
          <w:b/>
          <w:sz w:val="24"/>
          <w:szCs w:val="24"/>
        </w:rPr>
        <w:t>Fig.4</w:t>
      </w:r>
      <w:r>
        <w:rPr>
          <w:rFonts w:ascii="Times New Roman" w:eastAsia="Times New Roman" w:hAnsi="Times New Roman" w:cs="Times New Roman"/>
          <w:sz w:val="24"/>
          <w:szCs w:val="24"/>
        </w:rPr>
        <w:t>. Altogether, these findings indicate that patients with higher cholesterol, BMI, and obesity may be more prone to infection, particularly in the winter months. Thus, obese individuals with high average total cholesterol may be at additional risk for getting SARS-CoV-2 infection if they are further exposed to cold environment. This is the first attempt to model COVID-19 cases/million trajectory using the latent growth curve model in presence of time-variant and invariant factors.</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In fact, such a growth curve modeling approach could be utilized to track and predict the spread SARS-COV-2 infection over the time in presence of the considered factors. This can be helpful to design the policies against the COVID-19.</w:t>
      </w:r>
    </w:p>
    <w:p w14:paraId="00000026" w14:textId="77777777" w:rsidR="0036428B" w:rsidRDefault="00831D93">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Although our study indicates a negative correlation between temperature and the number of COVID-19 cases, the ability of this virus to infect might also depend on age, sex, and ethnicity, the prevalence of different diseases in the population, different social distancing practices, and uses of various preventive medicines. Also, our findings are based on the effect of atmospheric temperature on COVID-19 cases; how indoor temperature might affect infection rate is yet to be considered. Our study has considered a rather holistic approach to understanding the role of temperature in infection rates of the virus and takes into account the fluctuations observed in a single country. Moreover, with the emergence of SARS-CoV-2 mutant strains, it is somewhat difficult at this stage to speculate the role of temperature, obesity, and cholesterol on the infection rates of these mutant strains. Although prior SARS-CoV-2 infection protects most individuals from reinfection for at least five months</w:t>
      </w:r>
      <w:r>
        <w:rPr>
          <w:rFonts w:ascii="Times New Roman" w:eastAsia="Times New Roman" w:hAnsi="Times New Roman" w:cs="Times New Roman"/>
          <w:sz w:val="24"/>
          <w:szCs w:val="24"/>
          <w:vertAlign w:val="superscript"/>
        </w:rPr>
        <w:t>29</w:t>
      </w:r>
      <w:r>
        <w:rPr>
          <w:rFonts w:ascii="Times New Roman" w:eastAsia="Times New Roman" w:hAnsi="Times New Roman" w:cs="Times New Roman"/>
          <w:sz w:val="24"/>
          <w:szCs w:val="24"/>
        </w:rPr>
        <w:t>, the first case of COVID-19 reinfection after recovery has been identified in a female from Japan</w:t>
      </w:r>
      <w:r>
        <w:rPr>
          <w:rFonts w:ascii="Times New Roman" w:eastAsia="Times New Roman" w:hAnsi="Times New Roman" w:cs="Times New Roman"/>
          <w:sz w:val="24"/>
          <w:szCs w:val="24"/>
          <w:vertAlign w:val="superscript"/>
        </w:rPr>
        <w:t>30</w:t>
      </w:r>
      <w:r>
        <w:rPr>
          <w:rFonts w:ascii="Times New Roman" w:eastAsia="Times New Roman" w:hAnsi="Times New Roman" w:cs="Times New Roman"/>
          <w:sz w:val="24"/>
          <w:szCs w:val="24"/>
        </w:rPr>
        <w:t>, after which reinfection became a true threat. A recent study has shown that people above 65 years of age have relatively low protection against reinfection by COVID-19</w:t>
      </w:r>
      <w:r>
        <w:rPr>
          <w:rFonts w:ascii="Times New Roman" w:eastAsia="Times New Roman" w:hAnsi="Times New Roman" w:cs="Times New Roman"/>
          <w:sz w:val="24"/>
          <w:szCs w:val="24"/>
          <w:vertAlign w:val="superscript"/>
        </w:rPr>
        <w:t>31</w:t>
      </w:r>
      <w:r>
        <w:rPr>
          <w:rFonts w:ascii="Times New Roman" w:eastAsia="Times New Roman" w:hAnsi="Times New Roman" w:cs="Times New Roman"/>
          <w:sz w:val="24"/>
          <w:szCs w:val="24"/>
        </w:rPr>
        <w:t>. Moreover, recent studies documented that obesity and hyperlipidaemia are associated with lower antibody titre</w:t>
      </w:r>
      <w:r>
        <w:rPr>
          <w:rFonts w:ascii="Times New Roman" w:eastAsia="Times New Roman" w:hAnsi="Times New Roman" w:cs="Times New Roman"/>
          <w:sz w:val="24"/>
          <w:szCs w:val="24"/>
          <w:vertAlign w:val="superscript"/>
        </w:rPr>
        <w:t>32</w:t>
      </w:r>
      <w:proofErr w:type="gramStart"/>
      <w:r>
        <w:rPr>
          <w:rFonts w:ascii="Times New Roman" w:eastAsia="Times New Roman" w:hAnsi="Times New Roman" w:cs="Times New Roman"/>
          <w:sz w:val="24"/>
          <w:szCs w:val="24"/>
          <w:vertAlign w:val="superscript"/>
        </w:rPr>
        <w:t>,33</w:t>
      </w:r>
      <w:proofErr w:type="gramEnd"/>
      <w:r>
        <w:rPr>
          <w:rFonts w:ascii="Times New Roman" w:eastAsia="Times New Roman" w:hAnsi="Times New Roman" w:cs="Times New Roman"/>
          <w:sz w:val="24"/>
          <w:szCs w:val="24"/>
        </w:rPr>
        <w:t xml:space="preserve">. All these findings suggest that various metabolic factors not only enhance the infectivity rate, but also provoke reinfection. However, how metabolic parameters like obesity and cholesterol levels affect the incidence of reinfection still remains unclear. Having said so, the pattern of infection by the virus may differ in the near future due to our growing knowledge of treatment and a much-improved understanding of the SARS-CoV-2 virus infectivity and its associated complications. </w:t>
      </w:r>
    </w:p>
    <w:p w14:paraId="00000027" w14:textId="1E297993" w:rsidR="0036428B" w:rsidRDefault="00831D93">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Furthermore, this study suggests that individuals with metabolic disorders such as high-cholesterol and obesity could be more susceptible to SARS-CoV-2 infection in the winter months, especially while living in a colder environment. ACE-2 expression in host cells and average total cholesterol levels may be increased in response to exposure to a cold environment and in the winter months</w:t>
      </w:r>
      <w:r>
        <w:rPr>
          <w:rFonts w:ascii="Times New Roman" w:eastAsia="Times New Roman" w:hAnsi="Times New Roman" w:cs="Times New Roman"/>
          <w:sz w:val="24"/>
          <w:szCs w:val="24"/>
          <w:vertAlign w:val="superscript"/>
        </w:rPr>
        <w:t>9</w:t>
      </w:r>
      <w:proofErr w:type="gramStart"/>
      <w:r>
        <w:rPr>
          <w:rFonts w:ascii="Times New Roman" w:eastAsia="Times New Roman" w:hAnsi="Times New Roman" w:cs="Times New Roman"/>
          <w:sz w:val="24"/>
          <w:szCs w:val="24"/>
          <w:vertAlign w:val="superscript"/>
        </w:rPr>
        <w:t>,34,35</w:t>
      </w:r>
      <w:proofErr w:type="gramEnd"/>
      <w:r>
        <w:rPr>
          <w:rFonts w:ascii="Times New Roman" w:eastAsia="Times New Roman" w:hAnsi="Times New Roman" w:cs="Times New Roman"/>
          <w:sz w:val="24"/>
          <w:szCs w:val="24"/>
        </w:rPr>
        <w:t>. Elevated ACE-2 levels were observed in multiple metabolic disease conditions such as obesity, diabetes, and higher LDL cholesterol</w:t>
      </w:r>
      <w:r>
        <w:rPr>
          <w:rFonts w:ascii="Times New Roman" w:eastAsia="Times New Roman" w:hAnsi="Times New Roman" w:cs="Times New Roman"/>
          <w:sz w:val="24"/>
          <w:szCs w:val="24"/>
          <w:vertAlign w:val="superscript"/>
        </w:rPr>
        <w:t>36</w:t>
      </w:r>
      <w:r>
        <w:rPr>
          <w:rFonts w:ascii="Times New Roman" w:eastAsia="Times New Roman" w:hAnsi="Times New Roman" w:cs="Times New Roman"/>
          <w:sz w:val="24"/>
          <w:szCs w:val="24"/>
        </w:rPr>
        <w:t>.  Additionally, obesity may not only increase ACE-2 and TRMPSS2, but also cellular cholesterol levels by increasing SREBP1</w:t>
      </w:r>
      <w:r>
        <w:rPr>
          <w:rFonts w:ascii="Times New Roman" w:eastAsia="Times New Roman" w:hAnsi="Times New Roman" w:cs="Times New Roman"/>
          <w:sz w:val="24"/>
          <w:szCs w:val="24"/>
          <w:vertAlign w:val="superscript"/>
        </w:rPr>
        <w:t>37</w:t>
      </w:r>
      <w:proofErr w:type="gramStart"/>
      <w:r>
        <w:rPr>
          <w:rFonts w:ascii="Times New Roman" w:eastAsia="Times New Roman" w:hAnsi="Times New Roman" w:cs="Times New Roman"/>
          <w:sz w:val="24"/>
          <w:szCs w:val="24"/>
          <w:vertAlign w:val="superscript"/>
        </w:rPr>
        <w:t>,38</w:t>
      </w:r>
      <w:proofErr w:type="gramEnd"/>
      <w:r>
        <w:rPr>
          <w:rFonts w:ascii="Times New Roman" w:eastAsia="Times New Roman" w:hAnsi="Times New Roman" w:cs="Times New Roman"/>
          <w:sz w:val="24"/>
          <w:szCs w:val="24"/>
        </w:rPr>
        <w:t>. Interestingly, a role for low temperature has been suggested in stabilizing the RBD-ACE2 interface and triggering “open” conformations of the COVID-19 spike protein, thus enhancing viral infectivity at cold temperatures</w:t>
      </w:r>
      <w:r>
        <w:rPr>
          <w:rFonts w:ascii="Times New Roman" w:eastAsia="Times New Roman" w:hAnsi="Times New Roman" w:cs="Times New Roman"/>
          <w:sz w:val="24"/>
          <w:szCs w:val="24"/>
          <w:vertAlign w:val="superscript"/>
        </w:rPr>
        <w:t>39</w:t>
      </w:r>
      <w:r>
        <w:rPr>
          <w:rFonts w:ascii="Times New Roman" w:eastAsia="Times New Roman" w:hAnsi="Times New Roman" w:cs="Times New Roman"/>
          <w:sz w:val="24"/>
          <w:szCs w:val="24"/>
        </w:rPr>
        <w:t>. Several studies have also reported multiple roles for cholesterol in enhancing the susceptibility to SARS-CoV-2 infection. Cholesterol-rich microdomains can provide an effective platform for interaction between ACE2 and Spike S-protein</w:t>
      </w:r>
      <w:r>
        <w:rPr>
          <w:rFonts w:ascii="Times New Roman" w:eastAsia="Times New Roman" w:hAnsi="Times New Roman" w:cs="Times New Roman"/>
          <w:sz w:val="24"/>
          <w:szCs w:val="24"/>
          <w:vertAlign w:val="superscript"/>
        </w:rPr>
        <w:t>7</w:t>
      </w:r>
      <w:r>
        <w:rPr>
          <w:rFonts w:ascii="Times New Roman" w:eastAsia="Times New Roman" w:hAnsi="Times New Roman" w:cs="Times New Roman"/>
          <w:sz w:val="24"/>
          <w:szCs w:val="24"/>
        </w:rPr>
        <w:t xml:space="preserve">. Tang </w:t>
      </w:r>
      <w:proofErr w:type="gramStart"/>
      <w:r>
        <w:rPr>
          <w:rFonts w:ascii="Times New Roman" w:eastAsia="Times New Roman" w:hAnsi="Times New Roman" w:cs="Times New Roman"/>
          <w:i/>
          <w:sz w:val="24"/>
          <w:szCs w:val="24"/>
        </w:rPr>
        <w:t>et</w:t>
      </w:r>
      <w:proofErr w:type="gramEnd"/>
      <w:r>
        <w:rPr>
          <w:rFonts w:ascii="Times New Roman" w:eastAsia="Times New Roman" w:hAnsi="Times New Roman" w:cs="Times New Roman"/>
          <w:i/>
          <w:sz w:val="24"/>
          <w:szCs w:val="24"/>
        </w:rPr>
        <w:t xml:space="preserve">. </w:t>
      </w:r>
      <w:proofErr w:type="gramStart"/>
      <w:r>
        <w:rPr>
          <w:rFonts w:ascii="Times New Roman" w:eastAsia="Times New Roman" w:hAnsi="Times New Roman" w:cs="Times New Roman"/>
          <w:i/>
          <w:sz w:val="24"/>
          <w:szCs w:val="24"/>
        </w:rPr>
        <w:t>al</w:t>
      </w:r>
      <w:proofErr w:type="gramEnd"/>
      <w:r>
        <w:rPr>
          <w:rFonts w:ascii="Times New Roman" w:eastAsia="Times New Roman" w:hAnsi="Times New Roman" w:cs="Times New Roman"/>
          <w:sz w:val="24"/>
          <w:szCs w:val="24"/>
        </w:rPr>
        <w:t xml:space="preserve"> reported the role of cholesterol in increasing the density of ACE2 receptors on host cell membranes</w:t>
      </w:r>
      <w:r w:rsidR="0095152B">
        <w:rPr>
          <w:rFonts w:ascii="Times New Roman" w:eastAsia="Times New Roman" w:hAnsi="Times New Roman" w:cs="Times New Roman"/>
          <w:sz w:val="24"/>
          <w:szCs w:val="24"/>
          <w:vertAlign w:val="superscript"/>
        </w:rPr>
        <w:t>23</w:t>
      </w:r>
      <w:r>
        <w:rPr>
          <w:rFonts w:ascii="Times New Roman" w:eastAsia="Times New Roman" w:hAnsi="Times New Roman" w:cs="Times New Roman"/>
          <w:sz w:val="24"/>
          <w:szCs w:val="24"/>
        </w:rPr>
        <w:t>. Reports using super-resolution imaging have also observed increased SARS-CoV-2 entry in cells with high blood serum cholesterol levels</w:t>
      </w:r>
      <w:r>
        <w:rPr>
          <w:rFonts w:ascii="Times New Roman" w:eastAsia="Times New Roman" w:hAnsi="Times New Roman" w:cs="Times New Roman"/>
          <w:sz w:val="24"/>
          <w:szCs w:val="24"/>
          <w:vertAlign w:val="superscript"/>
        </w:rPr>
        <w:t>41</w:t>
      </w:r>
      <w:r>
        <w:rPr>
          <w:rFonts w:ascii="Times New Roman" w:eastAsia="Times New Roman" w:hAnsi="Times New Roman" w:cs="Times New Roman"/>
          <w:sz w:val="24"/>
          <w:szCs w:val="24"/>
        </w:rPr>
        <w:t>. Furthermore, studies have shown that obesity is a critical factor in COVID-19 severity. Increased ACE-2 expression in lung tissue is seen in patients that are obese, implicating excess adipose tissue in enhancing the spread of the virus</w:t>
      </w:r>
      <w:r>
        <w:rPr>
          <w:rFonts w:ascii="Times New Roman" w:eastAsia="Times New Roman" w:hAnsi="Times New Roman" w:cs="Times New Roman"/>
          <w:sz w:val="24"/>
          <w:szCs w:val="24"/>
          <w:vertAlign w:val="superscript"/>
        </w:rPr>
        <w:t>42</w:t>
      </w:r>
      <w:r>
        <w:rPr>
          <w:rFonts w:ascii="Times New Roman" w:eastAsia="Times New Roman" w:hAnsi="Times New Roman" w:cs="Times New Roman"/>
          <w:sz w:val="24"/>
          <w:szCs w:val="24"/>
        </w:rPr>
        <w:t xml:space="preserve">. Thus, a colder environment and obesity both increase ACE-2 and host membrane cholesterol, which favour viral entry processing resulting in increase of virus infectivity. </w:t>
      </w:r>
    </w:p>
    <w:p w14:paraId="00000028" w14:textId="77777777" w:rsidR="0036428B" w:rsidRDefault="00831D93">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However, other intrinsic factors like hypertension, cardiovascular diseases, renal diseases, and cancer, as well as extrinsic factors like relative humidity and indoor temperature, have not been included in these analyses. Specifically, indoor temperature may contribute to virus infectivity. Actually, cold temperatures and low relative humidity (RH) adversely increase the half-lives of the virus</w:t>
      </w:r>
      <w:r>
        <w:rPr>
          <w:rFonts w:ascii="Times New Roman" w:eastAsia="Times New Roman" w:hAnsi="Times New Roman" w:cs="Times New Roman"/>
          <w:sz w:val="24"/>
          <w:szCs w:val="24"/>
          <w:vertAlign w:val="superscript"/>
        </w:rPr>
        <w:t>15</w:t>
      </w:r>
      <w:r>
        <w:rPr>
          <w:rFonts w:ascii="Times New Roman" w:eastAsia="Times New Roman" w:hAnsi="Times New Roman" w:cs="Times New Roman"/>
          <w:sz w:val="24"/>
          <w:szCs w:val="24"/>
        </w:rPr>
        <w:t>. Aerosolized SARS-CoV-2 has the potential to stay infectious for about 16 hours at optimum indoor meteorological conditions</w:t>
      </w:r>
      <w:r>
        <w:rPr>
          <w:rFonts w:ascii="Times New Roman" w:eastAsia="Times New Roman" w:hAnsi="Times New Roman" w:cs="Times New Roman"/>
          <w:sz w:val="24"/>
          <w:szCs w:val="24"/>
          <w:vertAlign w:val="superscript"/>
        </w:rPr>
        <w:t>43</w:t>
      </w:r>
      <w:r>
        <w:rPr>
          <w:rFonts w:ascii="Times New Roman" w:eastAsia="Times New Roman" w:hAnsi="Times New Roman" w:cs="Times New Roman"/>
          <w:sz w:val="24"/>
          <w:szCs w:val="24"/>
        </w:rPr>
        <w:t>. Indoor locations have a relative humidity &lt;40% which indicates higher chances of airborne SARS-CoV-2 transmission. Moreover, SARS-CoV-2 infection occurs in cool, dry, air-conditioned indoor environments</w:t>
      </w:r>
      <w:r>
        <w:rPr>
          <w:rFonts w:ascii="Times New Roman" w:eastAsia="Times New Roman" w:hAnsi="Times New Roman" w:cs="Times New Roman"/>
          <w:sz w:val="24"/>
          <w:szCs w:val="24"/>
          <w:vertAlign w:val="superscript"/>
        </w:rPr>
        <w:t>44</w:t>
      </w:r>
      <w:proofErr w:type="gramStart"/>
      <w:r>
        <w:rPr>
          <w:rFonts w:ascii="Times New Roman" w:eastAsia="Times New Roman" w:hAnsi="Times New Roman" w:cs="Times New Roman"/>
          <w:sz w:val="24"/>
          <w:szCs w:val="24"/>
          <w:vertAlign w:val="superscript"/>
        </w:rPr>
        <w:t>,45</w:t>
      </w:r>
      <w:proofErr w:type="gramEnd"/>
      <w:r>
        <w:rPr>
          <w:rFonts w:ascii="Times New Roman" w:eastAsia="Times New Roman" w:hAnsi="Times New Roman" w:cs="Times New Roman"/>
          <w:sz w:val="24"/>
          <w:szCs w:val="24"/>
        </w:rPr>
        <w:t xml:space="preserve"> and during cold weather, people mostly stay indoors, which further potentiates transmission</w:t>
      </w:r>
      <w:r>
        <w:rPr>
          <w:rFonts w:ascii="Times New Roman" w:eastAsia="Times New Roman" w:hAnsi="Times New Roman" w:cs="Times New Roman"/>
          <w:sz w:val="24"/>
          <w:szCs w:val="24"/>
          <w:vertAlign w:val="superscript"/>
        </w:rPr>
        <w:t>46</w:t>
      </w:r>
      <w:r>
        <w:rPr>
          <w:rFonts w:ascii="Times New Roman" w:eastAsia="Times New Roman" w:hAnsi="Times New Roman" w:cs="Times New Roman"/>
          <w:sz w:val="24"/>
          <w:szCs w:val="24"/>
        </w:rPr>
        <w:t>. Presently, the USA is setting up policies which suggest maintaining indoor temperatures between 20-24°C and RH around 20-60%</w:t>
      </w:r>
      <w:r>
        <w:rPr>
          <w:rFonts w:ascii="Times New Roman" w:eastAsia="Times New Roman" w:hAnsi="Times New Roman" w:cs="Times New Roman"/>
          <w:sz w:val="24"/>
          <w:szCs w:val="24"/>
          <w:vertAlign w:val="superscript"/>
        </w:rPr>
        <w:t>47</w:t>
      </w:r>
      <w:r>
        <w:rPr>
          <w:rFonts w:ascii="Times New Roman" w:eastAsia="Times New Roman" w:hAnsi="Times New Roman" w:cs="Times New Roman"/>
          <w:sz w:val="24"/>
          <w:szCs w:val="24"/>
        </w:rPr>
        <w:t>. Thus, dry weather generated to maintain indoor temperature (20</w:t>
      </w:r>
      <w:r>
        <w:rPr>
          <w:rFonts w:ascii="Times New Roman" w:eastAsia="Times New Roman" w:hAnsi="Times New Roman" w:cs="Times New Roman"/>
          <w:sz w:val="24"/>
          <w:szCs w:val="24"/>
          <w:vertAlign w:val="superscript"/>
        </w:rPr>
        <w:t>0</w:t>
      </w:r>
      <w:r>
        <w:rPr>
          <w:rFonts w:ascii="Times New Roman" w:eastAsia="Times New Roman" w:hAnsi="Times New Roman" w:cs="Times New Roman"/>
          <w:sz w:val="24"/>
          <w:szCs w:val="24"/>
        </w:rPr>
        <w:t>C) in winter months may further potentiate virus infectivity since the virus may persist for longer times in a relatively lower humid atmosphere</w:t>
      </w:r>
      <w:r>
        <w:rPr>
          <w:rFonts w:ascii="Times New Roman" w:eastAsia="Times New Roman" w:hAnsi="Times New Roman" w:cs="Times New Roman"/>
          <w:sz w:val="24"/>
          <w:szCs w:val="24"/>
          <w:vertAlign w:val="superscript"/>
        </w:rPr>
        <w:t>48</w:t>
      </w:r>
      <w:r>
        <w:rPr>
          <w:rFonts w:ascii="Times New Roman" w:eastAsia="Times New Roman" w:hAnsi="Times New Roman" w:cs="Times New Roman"/>
          <w:sz w:val="24"/>
          <w:szCs w:val="24"/>
        </w:rPr>
        <w:t xml:space="preserve">. </w:t>
      </w:r>
    </w:p>
    <w:p w14:paraId="00000029" w14:textId="77777777" w:rsidR="0036428B" w:rsidRDefault="00831D93">
      <w:pPr>
        <w:spacing w:line="360" w:lineRule="auto"/>
        <w:jc w:val="both"/>
        <w:rPr>
          <w:rFonts w:ascii="Times New Roman" w:eastAsia="Times New Roman" w:hAnsi="Times New Roman" w:cs="Times New Roman"/>
          <w:color w:val="0000FF"/>
          <w:sz w:val="24"/>
          <w:szCs w:val="24"/>
          <w:highlight w:val="white"/>
        </w:rPr>
      </w:pPr>
      <w:r>
        <w:rPr>
          <w:rFonts w:ascii="Times New Roman" w:eastAsia="Times New Roman" w:hAnsi="Times New Roman" w:cs="Times New Roman"/>
          <w:color w:val="0000FF"/>
          <w:sz w:val="24"/>
          <w:szCs w:val="24"/>
          <w:highlight w:val="white"/>
        </w:rPr>
        <w:lastRenderedPageBreak/>
        <w:t>In brief as a conclusive remark, such multiphase growth curve models may be used to depict the contribution of various covariates with COVID-19 cases. Moreover, the individuals with metabolic disorders such as high cholesterol and obesity may have additional risk for this virus infectivity especially in winter months or while living in colder environments. Thus, this study further recommends that a nationwide policy is to be framed in order to combat COVID-19 pandemic and its clinical outcomes for taking care of vulnerable individuals with such metabolic diseases of a cold country.   However, further study is required to know whether the infectivity rate of mutant variants of SARS-CoV-2 depends on these factors. </w:t>
      </w:r>
    </w:p>
    <w:p w14:paraId="0000002A" w14:textId="77777777" w:rsidR="0036428B" w:rsidRDefault="00831D93">
      <w:pPr>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Methods</w:t>
      </w:r>
    </w:p>
    <w:p w14:paraId="0000002B" w14:textId="77777777" w:rsidR="0036428B" w:rsidRDefault="00831D93">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 Collection</w:t>
      </w:r>
    </w:p>
    <w:p w14:paraId="0000002C" w14:textId="41C287CA" w:rsidR="0036428B" w:rsidRDefault="00831D93">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COVID-19 case data was collected for every month from March, 2020 to July, 2021 from2021 from our</w:t>
      </w:r>
      <w:r w:rsidR="00647EEE">
        <w:rPr>
          <w:rFonts w:ascii="Times New Roman" w:eastAsia="Times New Roman" w:hAnsi="Times New Roman" w:cs="Times New Roman"/>
          <w:sz w:val="24"/>
          <w:szCs w:val="24"/>
        </w:rPr>
        <w:t>worldindata.org/coronavirus</w:t>
      </w:r>
      <w:r>
        <w:rPr>
          <w:rFonts w:ascii="Times New Roman" w:eastAsia="Times New Roman" w:hAnsi="Times New Roman" w:cs="Times New Roman"/>
          <w:i/>
          <w:sz w:val="24"/>
          <w:szCs w:val="24"/>
          <w:vertAlign w:val="superscript"/>
        </w:rPr>
        <w:t>49</w:t>
      </w:r>
      <w:r>
        <w:rPr>
          <w:rFonts w:ascii="Times New Roman" w:eastAsia="Times New Roman" w:hAnsi="Times New Roman" w:cs="Times New Roman"/>
          <w:sz w:val="24"/>
          <w:szCs w:val="24"/>
        </w:rPr>
        <w:t xml:space="preserve">. We considered the total cases per million as the variable of interest for the COVID-19 case dataset for each month. The environmental temperature data for different countries was collected from </w:t>
      </w:r>
      <w:r>
        <w:rPr>
          <w:rFonts w:ascii="Times New Roman" w:eastAsia="Times New Roman" w:hAnsi="Times New Roman" w:cs="Times New Roman"/>
          <w:i/>
          <w:sz w:val="24"/>
          <w:szCs w:val="24"/>
        </w:rPr>
        <w:t>climatestotravel.com</w:t>
      </w:r>
      <w:r>
        <w:rPr>
          <w:rFonts w:ascii="Times New Roman" w:eastAsia="Times New Roman" w:hAnsi="Times New Roman" w:cs="Times New Roman"/>
          <w:sz w:val="24"/>
          <w:szCs w:val="24"/>
        </w:rPr>
        <w:t>, as described in our recent publication</w:t>
      </w:r>
      <w:r>
        <w:rPr>
          <w:rFonts w:ascii="Times New Roman" w:eastAsia="Times New Roman" w:hAnsi="Times New Roman" w:cs="Times New Roman"/>
          <w:sz w:val="24"/>
          <w:szCs w:val="24"/>
          <w:vertAlign w:val="superscript"/>
        </w:rPr>
        <w:t>5</w:t>
      </w:r>
      <w:r>
        <w:rPr>
          <w:rFonts w:ascii="Times New Roman" w:eastAsia="Times New Roman" w:hAnsi="Times New Roman" w:cs="Times New Roman"/>
          <w:sz w:val="24"/>
          <w:szCs w:val="24"/>
        </w:rPr>
        <w:t xml:space="preserve">. The latest data for cholesterol and obesity were acquired from the </w:t>
      </w:r>
      <w:r>
        <w:rPr>
          <w:rFonts w:ascii="Times New Roman" w:eastAsia="Times New Roman" w:hAnsi="Times New Roman" w:cs="Times New Roman"/>
          <w:i/>
          <w:sz w:val="24"/>
          <w:szCs w:val="24"/>
        </w:rPr>
        <w:t xml:space="preserve">WHO </w:t>
      </w:r>
      <w:r>
        <w:rPr>
          <w:rFonts w:ascii="Times New Roman" w:eastAsia="Times New Roman" w:hAnsi="Times New Roman" w:cs="Times New Roman"/>
          <w:sz w:val="24"/>
          <w:szCs w:val="24"/>
        </w:rPr>
        <w:t xml:space="preserve">website and BMI from </w:t>
      </w:r>
      <w:r>
        <w:rPr>
          <w:rFonts w:ascii="Times New Roman" w:eastAsia="Times New Roman" w:hAnsi="Times New Roman" w:cs="Times New Roman"/>
          <w:i/>
          <w:sz w:val="24"/>
          <w:szCs w:val="24"/>
        </w:rPr>
        <w:t>ghdx.healthdata.org</w:t>
      </w:r>
      <w:r>
        <w:rPr>
          <w:rFonts w:ascii="Times New Roman" w:eastAsia="Times New Roman" w:hAnsi="Times New Roman" w:cs="Times New Roman"/>
          <w:sz w:val="24"/>
          <w:szCs w:val="24"/>
        </w:rPr>
        <w:t xml:space="preserve">. These datasets are publically available.  All data collection was performed in accordance with the relevant guidelines and regulations.  </w:t>
      </w:r>
    </w:p>
    <w:p w14:paraId="0000002D" w14:textId="77777777" w:rsidR="0036428B" w:rsidRDefault="00831D93">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Geographical distribution of countries</w:t>
      </w:r>
    </w:p>
    <w:p w14:paraId="0000002E" w14:textId="77777777" w:rsidR="0036428B" w:rsidRDefault="00831D93">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FF"/>
          <w:sz w:val="24"/>
          <w:szCs w:val="24"/>
        </w:rPr>
        <w:t xml:space="preserve">The geographic location of different countries has been marked in the world map with the help of world map marker (worldmapmaker.com), explained previously </w:t>
      </w:r>
      <w:r>
        <w:rPr>
          <w:rFonts w:ascii="Times New Roman" w:eastAsia="Times New Roman" w:hAnsi="Times New Roman" w:cs="Times New Roman"/>
          <w:color w:val="0000FF"/>
          <w:sz w:val="24"/>
          <w:szCs w:val="24"/>
          <w:vertAlign w:val="superscript"/>
        </w:rPr>
        <w:t>9</w:t>
      </w:r>
      <w:r>
        <w:rPr>
          <w:rFonts w:ascii="Times New Roman" w:eastAsia="Times New Roman" w:hAnsi="Times New Roman" w:cs="Times New Roman"/>
          <w:color w:val="0000FF"/>
          <w:sz w:val="24"/>
          <w:szCs w:val="24"/>
        </w:rPr>
        <w:t>. This online server is freely available</w:t>
      </w:r>
      <w:r>
        <w:rPr>
          <w:rFonts w:ascii="Times New Roman" w:eastAsia="Times New Roman" w:hAnsi="Times New Roman" w:cs="Times New Roman"/>
          <w:sz w:val="24"/>
          <w:szCs w:val="24"/>
        </w:rPr>
        <w:t>. The top 75 countries for SARS-CoV-2 infections have been marked in the world map. The top 75 countries for highest average total cholesterol, BMI, and obesity levels in their population have also been marked on the world map.</w:t>
      </w:r>
    </w:p>
    <w:p w14:paraId="0000002F" w14:textId="77777777" w:rsidR="0036428B" w:rsidRDefault="00831D93">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Univariate Analysis</w:t>
      </w:r>
    </w:p>
    <w:p w14:paraId="00000030" w14:textId="77777777" w:rsidR="0036428B" w:rsidRDefault="00831D93">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Univariate analysis was performed using the Spearman and Pearson methods to determine whether to accept the null hypothesis between the two variables, as described previously</w:t>
      </w:r>
      <w:r>
        <w:rPr>
          <w:rFonts w:ascii="Times New Roman" w:eastAsia="Times New Roman" w:hAnsi="Times New Roman" w:cs="Times New Roman"/>
          <w:sz w:val="24"/>
          <w:szCs w:val="24"/>
          <w:vertAlign w:val="superscript"/>
        </w:rPr>
        <w:t>5</w:t>
      </w:r>
      <w:proofErr w:type="gramStart"/>
      <w:r>
        <w:rPr>
          <w:rFonts w:ascii="Times New Roman" w:eastAsia="Times New Roman" w:hAnsi="Times New Roman" w:cs="Times New Roman"/>
          <w:sz w:val="24"/>
          <w:szCs w:val="24"/>
          <w:vertAlign w:val="superscript"/>
        </w:rPr>
        <w:t>,9,50</w:t>
      </w:r>
      <w:proofErr w:type="gramEnd"/>
      <w:r>
        <w:rPr>
          <w:rFonts w:ascii="Times New Roman" w:eastAsia="Times New Roman" w:hAnsi="Times New Roman" w:cs="Times New Roman"/>
          <w:sz w:val="24"/>
          <w:szCs w:val="24"/>
          <w:vertAlign w:val="superscript"/>
        </w:rPr>
        <w:t>-52</w:t>
      </w:r>
      <w:r>
        <w:rPr>
          <w:rFonts w:ascii="Times New Roman" w:eastAsia="Times New Roman" w:hAnsi="Times New Roman" w:cs="Times New Roman"/>
          <w:sz w:val="24"/>
          <w:szCs w:val="24"/>
        </w:rPr>
        <w:t xml:space="preserve">. Statistical analysis was considered to be significant </w:t>
      </w:r>
      <w:proofErr w:type="gramStart"/>
      <w:r>
        <w:rPr>
          <w:rFonts w:ascii="Times New Roman" w:eastAsia="Times New Roman" w:hAnsi="Times New Roman" w:cs="Times New Roman"/>
          <w:sz w:val="24"/>
          <w:szCs w:val="24"/>
        </w:rPr>
        <w:t xml:space="preserve">for </w:t>
      </w:r>
      <w:proofErr w:type="gramEnd"/>
      <m:oMath>
        <m:r>
          <w:rPr>
            <w:rFonts w:ascii="Cambria Math" w:eastAsia="Cambria Math" w:hAnsi="Cambria Math" w:cs="Cambria Math"/>
            <w:sz w:val="24"/>
            <w:szCs w:val="24"/>
          </w:rPr>
          <m:t>p&lt;0.05</m:t>
        </m:r>
      </m:oMath>
      <w:r>
        <w:rPr>
          <w:rFonts w:ascii="Times New Roman" w:eastAsia="Times New Roman" w:hAnsi="Times New Roman" w:cs="Times New Roman"/>
          <w:sz w:val="24"/>
          <w:szCs w:val="24"/>
        </w:rPr>
        <w:t xml:space="preserve">. Univariate analysis was performed using the software </w:t>
      </w:r>
      <w:proofErr w:type="spellStart"/>
      <w:r>
        <w:rPr>
          <w:rFonts w:ascii="Times New Roman" w:eastAsia="Times New Roman" w:hAnsi="Times New Roman" w:cs="Times New Roman"/>
          <w:sz w:val="24"/>
          <w:szCs w:val="24"/>
        </w:rPr>
        <w:t>GraphPad</w:t>
      </w:r>
      <w:proofErr w:type="spellEnd"/>
      <w:r>
        <w:rPr>
          <w:rFonts w:ascii="Times New Roman" w:eastAsia="Times New Roman" w:hAnsi="Times New Roman" w:cs="Times New Roman"/>
          <w:sz w:val="24"/>
          <w:szCs w:val="24"/>
        </w:rPr>
        <w:t xml:space="preserve"> Prism 6.0.</w:t>
      </w:r>
    </w:p>
    <w:p w14:paraId="00000031" w14:textId="77777777" w:rsidR="0036428B" w:rsidRDefault="00831D93">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Statistical Models</w:t>
      </w:r>
    </w:p>
    <w:p w14:paraId="00000032" w14:textId="5EBCD16C" w:rsidR="0036428B" w:rsidRDefault="00831D93">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For this work, we applied the multiphase latent </w:t>
      </w:r>
      <w:r w:rsidR="00267AAF">
        <w:rPr>
          <w:rFonts w:ascii="Times New Roman" w:eastAsia="Times New Roman" w:hAnsi="Times New Roman" w:cs="Times New Roman"/>
          <w:sz w:val="24"/>
          <w:szCs w:val="24"/>
        </w:rPr>
        <w:t>GCM</w:t>
      </w:r>
      <w:r>
        <w:rPr>
          <w:rFonts w:ascii="Times New Roman" w:eastAsia="Times New Roman" w:hAnsi="Times New Roman" w:cs="Times New Roman"/>
          <w:sz w:val="24"/>
          <w:szCs w:val="24"/>
        </w:rPr>
        <w:t xml:space="preserve"> to study the variable of interest (cases per million) over the defined time period by incorporating time invariant covariates (TICs) and time varying covariates (TVCs). Here, total cases per million over the months was taken as variable of interest while average total cholesterol and BMI were considered as TICs and temperature as TVC. Further, TICs and TVC were examined to see whether the changes in cases per million over months may be explained by the presence of these predictors. R software was used for this analysis. For the modelling purposes, “</w:t>
      </w:r>
      <w:proofErr w:type="spellStart"/>
      <w:r>
        <w:rPr>
          <w:rFonts w:ascii="Times New Roman" w:eastAsia="Times New Roman" w:hAnsi="Times New Roman" w:cs="Times New Roman"/>
          <w:sz w:val="24"/>
          <w:szCs w:val="24"/>
        </w:rPr>
        <w:t>lavaan</w:t>
      </w:r>
      <w:proofErr w:type="spellEnd"/>
      <w:r>
        <w:rPr>
          <w:rFonts w:ascii="Times New Roman" w:eastAsia="Times New Roman" w:hAnsi="Times New Roman" w:cs="Times New Roman"/>
          <w:sz w:val="24"/>
          <w:szCs w:val="24"/>
        </w:rPr>
        <w:t xml:space="preserve">” package in the CRAN directory was utilized. </w:t>
      </w:r>
    </w:p>
    <w:p w14:paraId="00000033" w14:textId="77777777" w:rsidR="0036428B" w:rsidRDefault="00831D93">
      <w:pPr>
        <w:pBdr>
          <w:top w:val="nil"/>
          <w:left w:val="nil"/>
          <w:bottom w:val="nil"/>
          <w:right w:val="nil"/>
          <w:between w:val="nil"/>
        </w:pBdr>
        <w:spacing w:before="280" w:after="28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In model fitting, a latent GCM approach was used for COVID-19 cases per million in </w:t>
      </w:r>
      <w:r>
        <w:rPr>
          <w:rFonts w:ascii="Times New Roman" w:eastAsia="Times New Roman" w:hAnsi="Times New Roman" w:cs="Times New Roman"/>
          <w:sz w:val="24"/>
          <w:szCs w:val="24"/>
        </w:rPr>
        <w:t>the presence</w:t>
      </w:r>
      <w:r>
        <w:rPr>
          <w:rFonts w:ascii="Times New Roman" w:eastAsia="Times New Roman" w:hAnsi="Times New Roman" w:cs="Times New Roman"/>
          <w:color w:val="000000"/>
          <w:sz w:val="24"/>
          <w:szCs w:val="24"/>
        </w:rPr>
        <w:t xml:space="preserve"> of different associated covariates: temperature, cholesterol and BMI. The latent GCM captures the growth trajectory of the variable of interest over the defined time period. TICs and TVCs were considered to see whether the changes in cases per million over months may be explained by the presence of these predictors. Here, cholesterol and BMI were treated as TICs, and temperature as TVC. The general structure for the GCM in presence of TIC and TVC can be given as below:</w:t>
      </w:r>
    </w:p>
    <w:p w14:paraId="00000034" w14:textId="77777777" w:rsidR="0036428B" w:rsidRDefault="00831D93">
      <w:pPr>
        <w:spacing w:line="360" w:lineRule="auto"/>
        <w:jc w:val="center"/>
        <w:rPr>
          <w:rFonts w:ascii="Times New Roman" w:eastAsia="Times New Roman" w:hAnsi="Times New Roman" w:cs="Times New Roman"/>
          <w:sz w:val="24"/>
          <w:szCs w:val="24"/>
        </w:rPr>
      </w:pPr>
      <m:oMath>
        <m:r>
          <w:rPr>
            <w:rFonts w:ascii="Cambria Math" w:eastAsia="Cambria Math" w:hAnsi="Cambria Math" w:cs="Cambria Math"/>
            <w:sz w:val="24"/>
            <w:szCs w:val="24"/>
          </w:rPr>
          <m:t>C</m:t>
        </m:r>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[t]</m:t>
            </m:r>
          </m:e>
          <m:sub>
            <m:r>
              <w:rPr>
                <w:rFonts w:ascii="Cambria Math" w:eastAsia="Cambria Math" w:hAnsi="Cambria Math" w:cs="Cambria Math"/>
                <w:sz w:val="24"/>
                <w:szCs w:val="24"/>
              </w:rPr>
              <m:t>n</m:t>
            </m:r>
          </m:sub>
        </m:sSub>
        <m:r>
          <w:rPr>
            <w:rFonts w:ascii="Cambria Math" w:eastAsia="Cambria Math" w:hAnsi="Cambria Math" w:cs="Cambria Math"/>
            <w:sz w:val="24"/>
            <w:szCs w:val="24"/>
          </w:rPr>
          <m:t>=</m:t>
        </m:r>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A</m:t>
            </m:r>
          </m:e>
          <m:sub>
            <m:r>
              <w:rPr>
                <w:rFonts w:ascii="Cambria Math" w:eastAsia="Cambria Math" w:hAnsi="Cambria Math" w:cs="Cambria Math"/>
                <w:sz w:val="24"/>
                <w:szCs w:val="24"/>
              </w:rPr>
              <m:t>0</m:t>
            </m:r>
          </m:sub>
        </m:sSub>
        <m:d>
          <m:dPr>
            <m:begChr m:val="["/>
            <m:endChr m:val="]"/>
            <m:ctrlPr>
              <w:rPr>
                <w:rFonts w:ascii="Cambria Math" w:eastAsia="Cambria Math" w:hAnsi="Cambria Math" w:cs="Cambria Math"/>
                <w:sz w:val="24"/>
                <w:szCs w:val="24"/>
              </w:rPr>
            </m:ctrlPr>
          </m:dPr>
          <m:e>
            <m:r>
              <w:rPr>
                <w:rFonts w:ascii="Cambria Math" w:eastAsia="Cambria Math" w:hAnsi="Cambria Math" w:cs="Cambria Math"/>
                <w:sz w:val="24"/>
                <w:szCs w:val="24"/>
              </w:rPr>
              <m:t>t</m:t>
            </m:r>
          </m:e>
        </m:d>
        <m:r>
          <w:rPr>
            <w:rFonts w:ascii="Cambria Math" w:eastAsia="Cambria Math" w:hAnsi="Cambria Math" w:cs="Cambria Math"/>
            <w:sz w:val="24"/>
            <w:szCs w:val="24"/>
          </w:rPr>
          <m:t>.</m:t>
        </m:r>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g</m:t>
            </m:r>
          </m:e>
          <m:sub>
            <m:r>
              <w:rPr>
                <w:rFonts w:ascii="Cambria Math" w:eastAsia="Cambria Math" w:hAnsi="Cambria Math" w:cs="Cambria Math"/>
                <w:sz w:val="24"/>
                <w:szCs w:val="24"/>
              </w:rPr>
              <m:t>0n</m:t>
            </m:r>
          </m:sub>
        </m:sSub>
        <m:r>
          <w:rPr>
            <w:rFonts w:ascii="Cambria Math" w:eastAsia="Cambria Math" w:hAnsi="Cambria Math" w:cs="Cambria Math"/>
            <w:sz w:val="24"/>
            <w:szCs w:val="24"/>
          </w:rPr>
          <m:t>+</m:t>
        </m:r>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A</m:t>
            </m:r>
          </m:e>
          <m:sub>
            <m:r>
              <w:rPr>
                <w:rFonts w:ascii="Cambria Math" w:eastAsia="Cambria Math" w:hAnsi="Cambria Math" w:cs="Cambria Math"/>
                <w:sz w:val="24"/>
                <w:szCs w:val="24"/>
              </w:rPr>
              <m:t>1</m:t>
            </m:r>
          </m:sub>
        </m:sSub>
        <m:d>
          <m:dPr>
            <m:begChr m:val="["/>
            <m:endChr m:val="]"/>
            <m:ctrlPr>
              <w:rPr>
                <w:rFonts w:ascii="Cambria Math" w:eastAsia="Cambria Math" w:hAnsi="Cambria Math" w:cs="Cambria Math"/>
                <w:sz w:val="24"/>
                <w:szCs w:val="24"/>
              </w:rPr>
            </m:ctrlPr>
          </m:dPr>
          <m:e>
            <m:r>
              <w:rPr>
                <w:rFonts w:ascii="Cambria Math" w:eastAsia="Cambria Math" w:hAnsi="Cambria Math" w:cs="Cambria Math"/>
                <w:sz w:val="24"/>
                <w:szCs w:val="24"/>
              </w:rPr>
              <m:t>t</m:t>
            </m:r>
          </m:e>
        </m:d>
        <m:r>
          <w:rPr>
            <w:rFonts w:ascii="Cambria Math" w:eastAsia="Cambria Math" w:hAnsi="Cambria Math" w:cs="Cambria Math"/>
            <w:sz w:val="24"/>
            <w:szCs w:val="24"/>
          </w:rPr>
          <m:t>.</m:t>
        </m:r>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g</m:t>
            </m:r>
          </m:e>
          <m:sub>
            <m:r>
              <w:rPr>
                <w:rFonts w:ascii="Cambria Math" w:eastAsia="Cambria Math" w:hAnsi="Cambria Math" w:cs="Cambria Math"/>
                <w:sz w:val="24"/>
                <w:szCs w:val="24"/>
              </w:rPr>
              <m:t>1n</m:t>
            </m:r>
          </m:sub>
        </m:sSub>
        <m:r>
          <w:rPr>
            <w:rFonts w:ascii="Cambria Math" w:eastAsia="Cambria Math" w:hAnsi="Cambria Math" w:cs="Cambria Math"/>
            <w:sz w:val="24"/>
            <w:szCs w:val="24"/>
          </w:rPr>
          <m:t>+···+</m:t>
        </m:r>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A</m:t>
            </m:r>
          </m:e>
          <m:sub>
            <m:r>
              <w:rPr>
                <w:rFonts w:ascii="Cambria Math" w:eastAsia="Cambria Math" w:hAnsi="Cambria Math" w:cs="Cambria Math"/>
                <w:sz w:val="24"/>
                <w:szCs w:val="24"/>
              </w:rPr>
              <m:t>k</m:t>
            </m:r>
          </m:sub>
        </m:sSub>
        <m:d>
          <m:dPr>
            <m:begChr m:val="["/>
            <m:endChr m:val="]"/>
            <m:ctrlPr>
              <w:rPr>
                <w:rFonts w:ascii="Cambria Math" w:eastAsia="Cambria Math" w:hAnsi="Cambria Math" w:cs="Cambria Math"/>
                <w:sz w:val="24"/>
                <w:szCs w:val="24"/>
              </w:rPr>
            </m:ctrlPr>
          </m:dPr>
          <m:e>
            <m:r>
              <w:rPr>
                <w:rFonts w:ascii="Cambria Math" w:eastAsia="Cambria Math" w:hAnsi="Cambria Math" w:cs="Cambria Math"/>
                <w:sz w:val="24"/>
                <w:szCs w:val="24"/>
              </w:rPr>
              <m:t>t</m:t>
            </m:r>
          </m:e>
        </m:d>
        <m:r>
          <w:rPr>
            <w:rFonts w:ascii="Cambria Math" w:eastAsia="Cambria Math" w:hAnsi="Cambria Math" w:cs="Cambria Math"/>
            <w:sz w:val="24"/>
            <w:szCs w:val="24"/>
          </w:rPr>
          <m:t>.</m:t>
        </m:r>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g</m:t>
            </m:r>
          </m:e>
          <m:sub>
            <m:r>
              <w:rPr>
                <w:rFonts w:ascii="Cambria Math" w:eastAsia="Cambria Math" w:hAnsi="Cambria Math" w:cs="Cambria Math"/>
                <w:sz w:val="24"/>
                <w:szCs w:val="24"/>
              </w:rPr>
              <m:t>kn</m:t>
            </m:r>
          </m:sub>
        </m:sSub>
        <m:r>
          <w:rPr>
            <w:rFonts w:ascii="Cambria Math" w:eastAsia="Cambria Math" w:hAnsi="Cambria Math" w:cs="Cambria Math"/>
            <w:sz w:val="24"/>
            <w:szCs w:val="24"/>
          </w:rPr>
          <m:t>+</m:t>
        </m:r>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τ</m:t>
            </m:r>
          </m:e>
          <m:sub>
            <m:r>
              <w:rPr>
                <w:rFonts w:ascii="Cambria Math" w:eastAsia="Cambria Math" w:hAnsi="Cambria Math" w:cs="Cambria Math"/>
                <w:sz w:val="24"/>
                <w:szCs w:val="24"/>
              </w:rPr>
              <m:t>t</m:t>
            </m:r>
          </m:sub>
        </m:sSub>
        <m:r>
          <w:rPr>
            <w:rFonts w:ascii="Cambria Math" w:eastAsia="Cambria Math" w:hAnsi="Cambria Math" w:cs="Cambria Math"/>
            <w:sz w:val="24"/>
            <w:szCs w:val="24"/>
          </w:rPr>
          <m:t>T</m:t>
        </m:r>
        <m:sSub>
          <m:sSubPr>
            <m:ctrlPr>
              <w:rPr>
                <w:rFonts w:ascii="Cambria Math" w:eastAsia="Cambria Math" w:hAnsi="Cambria Math" w:cs="Cambria Math"/>
                <w:sz w:val="24"/>
                <w:szCs w:val="24"/>
              </w:rPr>
            </m:ctrlPr>
          </m:sSubPr>
          <m:e>
            <m:d>
              <m:dPr>
                <m:begChr m:val="["/>
                <m:endChr m:val="]"/>
                <m:ctrlPr>
                  <w:rPr>
                    <w:rFonts w:ascii="Cambria Math" w:eastAsia="Cambria Math" w:hAnsi="Cambria Math" w:cs="Cambria Math"/>
                    <w:sz w:val="24"/>
                    <w:szCs w:val="24"/>
                  </w:rPr>
                </m:ctrlPr>
              </m:dPr>
              <m:e>
                <m:r>
                  <w:rPr>
                    <w:rFonts w:ascii="Cambria Math" w:eastAsia="Cambria Math" w:hAnsi="Cambria Math" w:cs="Cambria Math"/>
                    <w:sz w:val="24"/>
                    <w:szCs w:val="24"/>
                  </w:rPr>
                  <m:t>t</m:t>
                </m:r>
              </m:e>
            </m:d>
          </m:e>
          <m:sub>
            <m:r>
              <w:rPr>
                <w:rFonts w:ascii="Cambria Math" w:eastAsia="Cambria Math" w:hAnsi="Cambria Math" w:cs="Cambria Math"/>
                <w:sz w:val="24"/>
                <w:szCs w:val="24"/>
              </w:rPr>
              <m:t>n</m:t>
            </m:r>
          </m:sub>
        </m:sSub>
        <m:r>
          <w:rPr>
            <w:rFonts w:ascii="Cambria Math" w:eastAsia="Cambria Math" w:hAnsi="Cambria Math" w:cs="Cambria Math"/>
            <w:sz w:val="24"/>
            <w:szCs w:val="24"/>
          </w:rPr>
          <m:t>+ϵ</m:t>
        </m:r>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[t]</m:t>
            </m:r>
          </m:e>
          <m:sub>
            <m:r>
              <w:rPr>
                <w:rFonts w:ascii="Cambria Math" w:eastAsia="Cambria Math" w:hAnsi="Cambria Math" w:cs="Cambria Math"/>
                <w:sz w:val="24"/>
                <w:szCs w:val="24"/>
              </w:rPr>
              <m:t>n</m:t>
            </m:r>
          </m:sub>
        </m:sSub>
      </m:oMath>
      <w:r>
        <w:rPr>
          <w:rFonts w:ascii="Times New Roman" w:eastAsia="Times New Roman" w:hAnsi="Times New Roman" w:cs="Times New Roman"/>
          <w:sz w:val="24"/>
          <w:szCs w:val="24"/>
        </w:rPr>
        <w:t>,</w:t>
      </w:r>
    </w:p>
    <w:p w14:paraId="00000035" w14:textId="77777777" w:rsidR="0036428B" w:rsidRDefault="0067532B">
      <w:pPr>
        <w:spacing w:line="360" w:lineRule="auto"/>
        <w:jc w:val="center"/>
        <w:rPr>
          <w:rFonts w:ascii="Times New Roman" w:eastAsia="Times New Roman" w:hAnsi="Times New Roman" w:cs="Times New Roman"/>
          <w:sz w:val="24"/>
          <w:szCs w:val="24"/>
        </w:rPr>
      </w:pPr>
      <m:oMath>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 xml:space="preserve">               g</m:t>
            </m:r>
          </m:e>
          <m:sub>
            <m:r>
              <w:rPr>
                <w:rFonts w:ascii="Cambria Math" w:eastAsia="Cambria Math" w:hAnsi="Cambria Math" w:cs="Cambria Math"/>
                <w:sz w:val="24"/>
                <w:szCs w:val="24"/>
              </w:rPr>
              <m:t>0n</m:t>
            </m:r>
          </m:sub>
        </m:sSub>
        <m:r>
          <w:rPr>
            <w:rFonts w:ascii="Cambria Math" w:eastAsia="Cambria Math" w:hAnsi="Cambria Math" w:cs="Cambria Math"/>
            <w:sz w:val="24"/>
            <w:szCs w:val="24"/>
          </w:rPr>
          <m:t>=</m:t>
        </m:r>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ϑ</m:t>
            </m:r>
          </m:e>
          <m:sub>
            <m:r>
              <w:rPr>
                <w:rFonts w:ascii="Cambria Math" w:eastAsia="Cambria Math" w:hAnsi="Cambria Math" w:cs="Cambria Math"/>
                <w:sz w:val="24"/>
                <w:szCs w:val="24"/>
              </w:rPr>
              <m:t>0</m:t>
            </m:r>
          </m:sub>
        </m:sSub>
        <m:r>
          <w:rPr>
            <w:rFonts w:ascii="Cambria Math" w:eastAsia="Cambria Math" w:hAnsi="Cambria Math" w:cs="Cambria Math"/>
            <w:sz w:val="24"/>
            <w:szCs w:val="24"/>
          </w:rPr>
          <m:t>+</m:t>
        </m:r>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γ</m:t>
            </m:r>
          </m:e>
          <m:sub>
            <m:r>
              <w:rPr>
                <w:rFonts w:ascii="Cambria Math" w:eastAsia="Cambria Math" w:hAnsi="Cambria Math" w:cs="Cambria Math"/>
                <w:sz w:val="24"/>
                <w:szCs w:val="24"/>
              </w:rPr>
              <m:t>0</m:t>
            </m:r>
          </m:sub>
        </m:sSub>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BMI</m:t>
            </m:r>
          </m:e>
          <m:sub>
            <m:r>
              <w:rPr>
                <w:rFonts w:ascii="Cambria Math" w:eastAsia="Cambria Math" w:hAnsi="Cambria Math" w:cs="Cambria Math"/>
                <w:sz w:val="24"/>
                <w:szCs w:val="24"/>
              </w:rPr>
              <m:t>n</m:t>
            </m:r>
          </m:sub>
        </m:sSub>
        <m:r>
          <w:rPr>
            <w:rFonts w:ascii="Cambria Math" w:eastAsia="Cambria Math" w:hAnsi="Cambria Math" w:cs="Cambria Math"/>
            <w:sz w:val="24"/>
            <w:szCs w:val="24"/>
          </w:rPr>
          <m:t>+</m:t>
        </m:r>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η</m:t>
            </m:r>
          </m:e>
          <m:sub>
            <m:r>
              <w:rPr>
                <w:rFonts w:ascii="Cambria Math" w:eastAsia="Cambria Math" w:hAnsi="Cambria Math" w:cs="Cambria Math"/>
                <w:sz w:val="24"/>
                <w:szCs w:val="24"/>
              </w:rPr>
              <m:t>0</m:t>
            </m:r>
          </m:sub>
        </m:sSub>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CH</m:t>
            </m:r>
          </m:e>
          <m:sub>
            <m:r>
              <w:rPr>
                <w:rFonts w:ascii="Cambria Math" w:eastAsia="Cambria Math" w:hAnsi="Cambria Math" w:cs="Cambria Math"/>
                <w:sz w:val="24"/>
                <w:szCs w:val="24"/>
              </w:rPr>
              <m:t>n</m:t>
            </m:r>
          </m:sub>
        </m:sSub>
        <m:r>
          <w:rPr>
            <w:rFonts w:ascii="Cambria Math" w:eastAsia="Cambria Math" w:hAnsi="Cambria Math" w:cs="Cambria Math"/>
            <w:sz w:val="24"/>
            <w:szCs w:val="24"/>
          </w:rPr>
          <m:t>+</m:t>
        </m:r>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ξ</m:t>
            </m:r>
          </m:e>
          <m:sub>
            <m:r>
              <w:rPr>
                <w:rFonts w:ascii="Cambria Math" w:eastAsia="Cambria Math" w:hAnsi="Cambria Math" w:cs="Cambria Math"/>
                <w:sz w:val="24"/>
                <w:szCs w:val="24"/>
              </w:rPr>
              <m:t>0n</m:t>
            </m:r>
          </m:sub>
        </m:sSub>
      </m:oMath>
      <w:r w:rsidR="00831D93">
        <w:rPr>
          <w:rFonts w:ascii="Times New Roman" w:eastAsia="Times New Roman" w:hAnsi="Times New Roman" w:cs="Times New Roman"/>
          <w:sz w:val="24"/>
          <w:szCs w:val="24"/>
        </w:rPr>
        <w:t>,</w:t>
      </w:r>
    </w:p>
    <w:p w14:paraId="00000036" w14:textId="77777777" w:rsidR="0036428B" w:rsidRDefault="0067532B">
      <w:pPr>
        <w:spacing w:line="360" w:lineRule="auto"/>
        <w:jc w:val="center"/>
        <w:rPr>
          <w:rFonts w:ascii="Times New Roman" w:eastAsia="Times New Roman" w:hAnsi="Times New Roman" w:cs="Times New Roman"/>
          <w:sz w:val="24"/>
          <w:szCs w:val="24"/>
        </w:rPr>
      </w:pPr>
      <m:oMath>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 xml:space="preserve">               g</m:t>
            </m:r>
          </m:e>
          <m:sub>
            <m:r>
              <w:rPr>
                <w:rFonts w:ascii="Cambria Math" w:eastAsia="Cambria Math" w:hAnsi="Cambria Math" w:cs="Cambria Math"/>
                <w:sz w:val="24"/>
                <w:szCs w:val="24"/>
              </w:rPr>
              <m:t>1n</m:t>
            </m:r>
          </m:sub>
        </m:sSub>
        <m:r>
          <w:rPr>
            <w:rFonts w:ascii="Cambria Math" w:eastAsia="Cambria Math" w:hAnsi="Cambria Math" w:cs="Cambria Math"/>
            <w:sz w:val="24"/>
            <w:szCs w:val="24"/>
          </w:rPr>
          <m:t>=</m:t>
        </m:r>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ϑ</m:t>
            </m:r>
          </m:e>
          <m:sub>
            <m:r>
              <w:rPr>
                <w:rFonts w:ascii="Cambria Math" w:eastAsia="Cambria Math" w:hAnsi="Cambria Math" w:cs="Cambria Math"/>
                <w:sz w:val="24"/>
                <w:szCs w:val="24"/>
              </w:rPr>
              <m:t>1</m:t>
            </m:r>
          </m:sub>
        </m:sSub>
        <m:r>
          <w:rPr>
            <w:rFonts w:ascii="Cambria Math" w:eastAsia="Cambria Math" w:hAnsi="Cambria Math" w:cs="Cambria Math"/>
            <w:sz w:val="24"/>
            <w:szCs w:val="24"/>
          </w:rPr>
          <m:t>+</m:t>
        </m:r>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γ</m:t>
            </m:r>
          </m:e>
          <m:sub>
            <m:r>
              <w:rPr>
                <w:rFonts w:ascii="Cambria Math" w:eastAsia="Cambria Math" w:hAnsi="Cambria Math" w:cs="Cambria Math"/>
                <w:sz w:val="24"/>
                <w:szCs w:val="24"/>
              </w:rPr>
              <m:t>1</m:t>
            </m:r>
          </m:sub>
        </m:sSub>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BMI</m:t>
            </m:r>
          </m:e>
          <m:sub>
            <m:r>
              <w:rPr>
                <w:rFonts w:ascii="Cambria Math" w:eastAsia="Cambria Math" w:hAnsi="Cambria Math" w:cs="Cambria Math"/>
                <w:sz w:val="24"/>
                <w:szCs w:val="24"/>
              </w:rPr>
              <m:t>n</m:t>
            </m:r>
          </m:sub>
        </m:sSub>
        <m:r>
          <w:rPr>
            <w:rFonts w:ascii="Cambria Math" w:eastAsia="Cambria Math" w:hAnsi="Cambria Math" w:cs="Cambria Math"/>
            <w:sz w:val="24"/>
            <w:szCs w:val="24"/>
          </w:rPr>
          <m:t>+</m:t>
        </m:r>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η</m:t>
            </m:r>
          </m:e>
          <m:sub>
            <m:r>
              <w:rPr>
                <w:rFonts w:ascii="Cambria Math" w:eastAsia="Cambria Math" w:hAnsi="Cambria Math" w:cs="Cambria Math"/>
                <w:sz w:val="24"/>
                <w:szCs w:val="24"/>
              </w:rPr>
              <m:t>1</m:t>
            </m:r>
          </m:sub>
        </m:sSub>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CH</m:t>
            </m:r>
          </m:e>
          <m:sub>
            <m:r>
              <w:rPr>
                <w:rFonts w:ascii="Cambria Math" w:eastAsia="Cambria Math" w:hAnsi="Cambria Math" w:cs="Cambria Math"/>
                <w:sz w:val="24"/>
                <w:szCs w:val="24"/>
              </w:rPr>
              <m:t>n</m:t>
            </m:r>
          </m:sub>
        </m:sSub>
        <m:r>
          <w:rPr>
            <w:rFonts w:ascii="Cambria Math" w:eastAsia="Cambria Math" w:hAnsi="Cambria Math" w:cs="Cambria Math"/>
            <w:sz w:val="24"/>
            <w:szCs w:val="24"/>
          </w:rPr>
          <m:t>+</m:t>
        </m:r>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ξ</m:t>
            </m:r>
          </m:e>
          <m:sub>
            <m:r>
              <w:rPr>
                <w:rFonts w:ascii="Cambria Math" w:eastAsia="Cambria Math" w:hAnsi="Cambria Math" w:cs="Cambria Math"/>
                <w:sz w:val="24"/>
                <w:szCs w:val="24"/>
              </w:rPr>
              <m:t>1n</m:t>
            </m:r>
          </m:sub>
        </m:sSub>
      </m:oMath>
      <w:r w:rsidR="00831D93">
        <w:rPr>
          <w:rFonts w:ascii="Times New Roman" w:eastAsia="Times New Roman" w:hAnsi="Times New Roman" w:cs="Times New Roman"/>
          <w:sz w:val="24"/>
          <w:szCs w:val="24"/>
        </w:rPr>
        <w:t>,</w:t>
      </w:r>
    </w:p>
    <w:p w14:paraId="00000037" w14:textId="77777777" w:rsidR="0036428B" w:rsidRDefault="00831D93">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00000038" w14:textId="77777777" w:rsidR="0036428B" w:rsidRDefault="0067532B">
      <w:pPr>
        <w:spacing w:line="360" w:lineRule="auto"/>
        <w:jc w:val="center"/>
        <w:rPr>
          <w:rFonts w:ascii="Times New Roman" w:eastAsia="Times New Roman" w:hAnsi="Times New Roman" w:cs="Times New Roman"/>
          <w:sz w:val="24"/>
          <w:szCs w:val="24"/>
        </w:rPr>
      </w:pPr>
      <m:oMath>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 xml:space="preserve">             g</m:t>
            </m:r>
          </m:e>
          <m:sub>
            <m:r>
              <w:rPr>
                <w:rFonts w:ascii="Cambria Math" w:eastAsia="Cambria Math" w:hAnsi="Cambria Math" w:cs="Cambria Math"/>
                <w:sz w:val="24"/>
                <w:szCs w:val="24"/>
              </w:rPr>
              <m:t>kn</m:t>
            </m:r>
          </m:sub>
        </m:sSub>
        <m:r>
          <w:rPr>
            <w:rFonts w:ascii="Cambria Math" w:eastAsia="Cambria Math" w:hAnsi="Cambria Math" w:cs="Cambria Math"/>
            <w:sz w:val="24"/>
            <w:szCs w:val="24"/>
          </w:rPr>
          <m:t>=</m:t>
        </m:r>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ϑ</m:t>
            </m:r>
          </m:e>
          <m:sub>
            <m:r>
              <w:rPr>
                <w:rFonts w:ascii="Cambria Math" w:eastAsia="Cambria Math" w:hAnsi="Cambria Math" w:cs="Cambria Math"/>
                <w:sz w:val="24"/>
                <w:szCs w:val="24"/>
              </w:rPr>
              <m:t>k</m:t>
            </m:r>
          </m:sub>
        </m:sSub>
        <m:r>
          <w:rPr>
            <w:rFonts w:ascii="Cambria Math" w:eastAsia="Cambria Math" w:hAnsi="Cambria Math" w:cs="Cambria Math"/>
            <w:sz w:val="24"/>
            <w:szCs w:val="24"/>
          </w:rPr>
          <m:t>+</m:t>
        </m:r>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γ</m:t>
            </m:r>
          </m:e>
          <m:sub>
            <m:r>
              <w:rPr>
                <w:rFonts w:ascii="Cambria Math" w:eastAsia="Cambria Math" w:hAnsi="Cambria Math" w:cs="Cambria Math"/>
                <w:sz w:val="24"/>
                <w:szCs w:val="24"/>
              </w:rPr>
              <m:t>k</m:t>
            </m:r>
          </m:sub>
        </m:sSub>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BMI</m:t>
            </m:r>
          </m:e>
          <m:sub>
            <m:r>
              <w:rPr>
                <w:rFonts w:ascii="Cambria Math" w:eastAsia="Cambria Math" w:hAnsi="Cambria Math" w:cs="Cambria Math"/>
                <w:sz w:val="24"/>
                <w:szCs w:val="24"/>
              </w:rPr>
              <m:t>n</m:t>
            </m:r>
          </m:sub>
        </m:sSub>
        <m:r>
          <w:rPr>
            <w:rFonts w:ascii="Cambria Math" w:eastAsia="Cambria Math" w:hAnsi="Cambria Math" w:cs="Cambria Math"/>
            <w:sz w:val="24"/>
            <w:szCs w:val="24"/>
          </w:rPr>
          <m:t>+</m:t>
        </m:r>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η</m:t>
            </m:r>
          </m:e>
          <m:sub>
            <m:r>
              <w:rPr>
                <w:rFonts w:ascii="Cambria Math" w:eastAsia="Cambria Math" w:hAnsi="Cambria Math" w:cs="Cambria Math"/>
                <w:sz w:val="24"/>
                <w:szCs w:val="24"/>
              </w:rPr>
              <m:t>k</m:t>
            </m:r>
          </m:sub>
        </m:sSub>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CH</m:t>
            </m:r>
          </m:e>
          <m:sub>
            <m:r>
              <w:rPr>
                <w:rFonts w:ascii="Cambria Math" w:eastAsia="Cambria Math" w:hAnsi="Cambria Math" w:cs="Cambria Math"/>
                <w:sz w:val="24"/>
                <w:szCs w:val="24"/>
              </w:rPr>
              <m:t>n</m:t>
            </m:r>
          </m:sub>
        </m:sSub>
        <m:r>
          <w:rPr>
            <w:rFonts w:ascii="Cambria Math" w:eastAsia="Cambria Math" w:hAnsi="Cambria Math" w:cs="Cambria Math"/>
            <w:sz w:val="24"/>
            <w:szCs w:val="24"/>
          </w:rPr>
          <m:t>+</m:t>
        </m:r>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ξ</m:t>
            </m:r>
          </m:e>
          <m:sub>
            <m:r>
              <w:rPr>
                <w:rFonts w:ascii="Cambria Math" w:eastAsia="Cambria Math" w:hAnsi="Cambria Math" w:cs="Cambria Math"/>
                <w:sz w:val="24"/>
                <w:szCs w:val="24"/>
              </w:rPr>
              <m:t>kn</m:t>
            </m:r>
          </m:sub>
        </m:sSub>
      </m:oMath>
      <w:r w:rsidR="00831D93">
        <w:rPr>
          <w:rFonts w:ascii="Times New Roman" w:eastAsia="Times New Roman" w:hAnsi="Times New Roman" w:cs="Times New Roman"/>
          <w:sz w:val="24"/>
          <w:szCs w:val="24"/>
        </w:rPr>
        <w:t>,</w:t>
      </w:r>
    </w:p>
    <w:p w14:paraId="00000039" w14:textId="77777777" w:rsidR="0036428B" w:rsidRDefault="00831D93">
      <w:pPr>
        <w:spacing w:line="360" w:lineRule="auto"/>
        <w:jc w:val="both"/>
        <w:rPr>
          <w:rFonts w:ascii="Times New Roman" w:eastAsia="Times New Roman" w:hAnsi="Times New Roman" w:cs="Times New Roman"/>
          <w:b/>
          <w:sz w:val="24"/>
          <w:szCs w:val="24"/>
        </w:rPr>
      </w:pPr>
      <w:proofErr w:type="gramStart"/>
      <w:r>
        <w:rPr>
          <w:rFonts w:ascii="Times New Roman" w:eastAsia="Times New Roman" w:hAnsi="Times New Roman" w:cs="Times New Roman"/>
          <w:sz w:val="24"/>
          <w:szCs w:val="24"/>
        </w:rPr>
        <w:t>where</w:t>
      </w:r>
      <w:proofErr w:type="gramEnd"/>
      <w:r>
        <w:rPr>
          <w:rFonts w:ascii="Times New Roman" w:eastAsia="Times New Roman" w:hAnsi="Times New Roman" w:cs="Times New Roman"/>
          <w:sz w:val="24"/>
          <w:szCs w:val="24"/>
        </w:rPr>
        <w:t xml:space="preserve">, </w:t>
      </w:r>
      <m:oMath>
        <m:r>
          <w:rPr>
            <w:rFonts w:ascii="Cambria Math" w:eastAsia="Cambria Math" w:hAnsi="Cambria Math" w:cs="Cambria Math"/>
            <w:sz w:val="24"/>
            <w:szCs w:val="24"/>
          </w:rPr>
          <m:t>C</m:t>
        </m:r>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[t]</m:t>
            </m:r>
          </m:e>
          <m:sub>
            <m:r>
              <w:rPr>
                <w:rFonts w:ascii="Cambria Math" w:eastAsia="Cambria Math" w:hAnsi="Cambria Math" w:cs="Cambria Math"/>
                <w:sz w:val="24"/>
                <w:szCs w:val="24"/>
              </w:rPr>
              <m:t>n</m:t>
            </m:r>
          </m:sub>
        </m:sSub>
      </m:oMath>
      <w:r>
        <w:rPr>
          <w:rFonts w:ascii="Times New Roman" w:eastAsia="Times New Roman" w:hAnsi="Times New Roman" w:cs="Times New Roman"/>
          <w:sz w:val="24"/>
          <w:szCs w:val="24"/>
        </w:rPr>
        <w:t xml:space="preserve"> denotes the cases per million for different countries for any particular month t and vectors </w:t>
      </w:r>
      <m:oMath>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A</m:t>
            </m:r>
          </m:e>
          <m:sub>
            <m:r>
              <w:rPr>
                <w:rFonts w:ascii="Cambria Math" w:eastAsia="Cambria Math" w:hAnsi="Cambria Math" w:cs="Cambria Math"/>
                <w:sz w:val="24"/>
                <w:szCs w:val="24"/>
              </w:rPr>
              <m:t>0</m:t>
            </m:r>
          </m:sub>
        </m:sSub>
        <m:d>
          <m:dPr>
            <m:begChr m:val="["/>
            <m:endChr m:val="]"/>
            <m:ctrlPr>
              <w:rPr>
                <w:rFonts w:ascii="Cambria Math" w:eastAsia="Cambria Math" w:hAnsi="Cambria Math" w:cs="Cambria Math"/>
                <w:sz w:val="24"/>
                <w:szCs w:val="24"/>
              </w:rPr>
            </m:ctrlPr>
          </m:dPr>
          <m:e>
            <m:r>
              <w:rPr>
                <w:rFonts w:ascii="Cambria Math" w:eastAsia="Cambria Math" w:hAnsi="Cambria Math" w:cs="Cambria Math"/>
                <w:sz w:val="24"/>
                <w:szCs w:val="24"/>
              </w:rPr>
              <m:t>t</m:t>
            </m:r>
          </m:e>
        </m:d>
      </m:oMath>
      <w:r>
        <w:rPr>
          <w:rFonts w:ascii="Times New Roman" w:eastAsia="Times New Roman" w:hAnsi="Times New Roman" w:cs="Times New Roman"/>
          <w:sz w:val="24"/>
          <w:szCs w:val="24"/>
        </w:rPr>
        <w:t xml:space="preserve">, </w:t>
      </w:r>
      <m:oMath>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A</m:t>
            </m:r>
          </m:e>
          <m:sub>
            <m:r>
              <w:rPr>
                <w:rFonts w:ascii="Cambria Math" w:eastAsia="Cambria Math" w:hAnsi="Cambria Math" w:cs="Cambria Math"/>
                <w:sz w:val="24"/>
                <w:szCs w:val="24"/>
              </w:rPr>
              <m:t>2</m:t>
            </m:r>
          </m:sub>
        </m:sSub>
        <m:d>
          <m:dPr>
            <m:begChr m:val="["/>
            <m:endChr m:val="]"/>
            <m:ctrlPr>
              <w:rPr>
                <w:rFonts w:ascii="Cambria Math" w:eastAsia="Cambria Math" w:hAnsi="Cambria Math" w:cs="Cambria Math"/>
                <w:sz w:val="24"/>
                <w:szCs w:val="24"/>
              </w:rPr>
            </m:ctrlPr>
          </m:dPr>
          <m:e>
            <m:r>
              <w:rPr>
                <w:rFonts w:ascii="Cambria Math" w:eastAsia="Cambria Math" w:hAnsi="Cambria Math" w:cs="Cambria Math"/>
                <w:sz w:val="24"/>
                <w:szCs w:val="24"/>
              </w:rPr>
              <m:t>t</m:t>
            </m:r>
          </m:e>
        </m:d>
      </m:oMath>
      <w:r>
        <w:rPr>
          <w:rFonts w:ascii="Times New Roman" w:eastAsia="Times New Roman" w:hAnsi="Times New Roman" w:cs="Times New Roman"/>
          <w:sz w:val="24"/>
          <w:szCs w:val="24"/>
        </w:rPr>
        <w:t xml:space="preserve">, …, </w:t>
      </w:r>
      <m:oMath>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A</m:t>
            </m:r>
          </m:e>
          <m:sub>
            <m:r>
              <w:rPr>
                <w:rFonts w:ascii="Cambria Math" w:eastAsia="Cambria Math" w:hAnsi="Cambria Math" w:cs="Cambria Math"/>
                <w:sz w:val="24"/>
                <w:szCs w:val="24"/>
              </w:rPr>
              <m:t>k</m:t>
            </m:r>
          </m:sub>
        </m:sSub>
        <m:d>
          <m:dPr>
            <m:begChr m:val="["/>
            <m:endChr m:val="]"/>
            <m:ctrlPr>
              <w:rPr>
                <w:rFonts w:ascii="Cambria Math" w:eastAsia="Cambria Math" w:hAnsi="Cambria Math" w:cs="Cambria Math"/>
                <w:sz w:val="24"/>
                <w:szCs w:val="24"/>
              </w:rPr>
            </m:ctrlPr>
          </m:dPr>
          <m:e>
            <m:r>
              <w:rPr>
                <w:rFonts w:ascii="Cambria Math" w:eastAsia="Cambria Math" w:hAnsi="Cambria Math" w:cs="Cambria Math"/>
                <w:sz w:val="24"/>
                <w:szCs w:val="24"/>
              </w:rPr>
              <m:t>t</m:t>
            </m:r>
          </m:e>
        </m:d>
      </m:oMath>
      <w:r>
        <w:rPr>
          <w:rFonts w:ascii="Times New Roman" w:eastAsia="Times New Roman" w:hAnsi="Times New Roman" w:cs="Times New Roman"/>
          <w:sz w:val="24"/>
          <w:szCs w:val="24"/>
        </w:rPr>
        <w:t xml:space="preserve"> are responsible for capturing the intra-individual trajectories of countries over the months. The latent </w:t>
      </w:r>
      <w:proofErr w:type="gramStart"/>
      <w:r>
        <w:rPr>
          <w:rFonts w:ascii="Times New Roman" w:eastAsia="Times New Roman" w:hAnsi="Times New Roman" w:cs="Times New Roman"/>
          <w:sz w:val="24"/>
          <w:szCs w:val="24"/>
        </w:rPr>
        <w:t xml:space="preserve">variables </w:t>
      </w:r>
      <w:proofErr w:type="gramEnd"/>
      <m:oMath>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g</m:t>
            </m:r>
          </m:e>
          <m:sub>
            <m:r>
              <w:rPr>
                <w:rFonts w:ascii="Cambria Math" w:eastAsia="Cambria Math" w:hAnsi="Cambria Math" w:cs="Cambria Math"/>
                <w:sz w:val="24"/>
                <w:szCs w:val="24"/>
              </w:rPr>
              <m:t>0n</m:t>
            </m:r>
          </m:sub>
        </m:sSub>
      </m:oMath>
      <w:r>
        <w:rPr>
          <w:rFonts w:ascii="Times New Roman" w:eastAsia="Times New Roman" w:hAnsi="Times New Roman" w:cs="Times New Roman"/>
          <w:sz w:val="24"/>
          <w:szCs w:val="24"/>
        </w:rPr>
        <w:t xml:space="preserve">, </w:t>
      </w:r>
      <m:oMath>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g</m:t>
            </m:r>
          </m:e>
          <m:sub>
            <m:r>
              <w:rPr>
                <w:rFonts w:ascii="Cambria Math" w:eastAsia="Cambria Math" w:hAnsi="Cambria Math" w:cs="Cambria Math"/>
                <w:sz w:val="24"/>
                <w:szCs w:val="24"/>
              </w:rPr>
              <m:t>1n</m:t>
            </m:r>
          </m:sub>
        </m:sSub>
      </m:oMath>
      <w:r>
        <w:rPr>
          <w:rFonts w:ascii="Times New Roman" w:eastAsia="Times New Roman" w:hAnsi="Times New Roman" w:cs="Times New Roman"/>
          <w:sz w:val="24"/>
          <w:szCs w:val="24"/>
        </w:rPr>
        <w:t xml:space="preserve">, …, </w:t>
      </w:r>
      <m:oMath>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g</m:t>
            </m:r>
          </m:e>
          <m:sub>
            <m:r>
              <w:rPr>
                <w:rFonts w:ascii="Cambria Math" w:eastAsia="Cambria Math" w:hAnsi="Cambria Math" w:cs="Cambria Math"/>
                <w:sz w:val="24"/>
                <w:szCs w:val="24"/>
              </w:rPr>
              <m:t>kn</m:t>
            </m:r>
          </m:sub>
        </m:sSub>
      </m:oMath>
      <w:r>
        <w:rPr>
          <w:rFonts w:ascii="Times New Roman" w:eastAsia="Times New Roman" w:hAnsi="Times New Roman" w:cs="Times New Roman"/>
          <w:sz w:val="24"/>
          <w:szCs w:val="24"/>
        </w:rPr>
        <w:t xml:space="preserve"> represent the slopes and intercepts based on which countries differ inter-individual and </w:t>
      </w:r>
      <m:oMath>
        <m:sSub>
          <m:sSubPr>
            <m:ctrlPr>
              <w:rPr>
                <w:rFonts w:ascii="Cambria Math" w:eastAsia="Cambria Math" w:hAnsi="Cambria Math" w:cs="Cambria Math"/>
                <w:sz w:val="24"/>
                <w:szCs w:val="24"/>
              </w:rPr>
            </m:ctrlPr>
          </m:sSubPr>
          <m:e>
            <m:r>
              <w:rPr>
                <w:rFonts w:ascii="Cambria Math" w:hAnsi="Cambria Math"/>
              </w:rPr>
              <m:t>τ</m:t>
            </m:r>
          </m:e>
          <m:sub>
            <m:r>
              <w:rPr>
                <w:rFonts w:ascii="Cambria Math" w:eastAsia="Cambria Math" w:hAnsi="Cambria Math" w:cs="Cambria Math"/>
                <w:sz w:val="24"/>
                <w:szCs w:val="24"/>
              </w:rPr>
              <m:t>t</m:t>
            </m:r>
          </m:sub>
        </m:sSub>
      </m:oMath>
      <w:r>
        <w:rPr>
          <w:rFonts w:ascii="Times New Roman" w:eastAsia="Times New Roman" w:hAnsi="Times New Roman" w:cs="Times New Roman"/>
          <w:sz w:val="24"/>
          <w:szCs w:val="24"/>
        </w:rPr>
        <w:t xml:space="preserve">, </w:t>
      </w:r>
      <m:oMath>
        <m:sSub>
          <m:sSubPr>
            <m:ctrlPr>
              <w:rPr>
                <w:rFonts w:ascii="Cambria Math" w:eastAsia="Cambria Math" w:hAnsi="Cambria Math" w:cs="Cambria Math"/>
                <w:sz w:val="24"/>
                <w:szCs w:val="24"/>
              </w:rPr>
            </m:ctrlPr>
          </m:sSubPr>
          <m:e>
            <m:r>
              <w:rPr>
                <w:rFonts w:ascii="Cambria Math" w:hAnsi="Cambria Math"/>
              </w:rPr>
              <m:t>γ</m:t>
            </m:r>
          </m:e>
          <m:sub>
            <m:r>
              <w:rPr>
                <w:rFonts w:ascii="Cambria Math" w:eastAsia="Cambria Math" w:hAnsi="Cambria Math" w:cs="Cambria Math"/>
                <w:sz w:val="24"/>
                <w:szCs w:val="24"/>
              </w:rPr>
              <m:t>k</m:t>
            </m:r>
          </m:sub>
        </m:sSub>
      </m:oMath>
      <w:r>
        <w:rPr>
          <w:rFonts w:ascii="Times New Roman" w:eastAsia="Times New Roman" w:hAnsi="Times New Roman" w:cs="Times New Roman"/>
          <w:sz w:val="24"/>
          <w:szCs w:val="24"/>
        </w:rPr>
        <w:t xml:space="preserve">, and </w:t>
      </w:r>
      <m:oMath>
        <m:sSub>
          <m:sSubPr>
            <m:ctrlPr>
              <w:rPr>
                <w:rFonts w:ascii="Cambria Math" w:eastAsia="Cambria Math" w:hAnsi="Cambria Math" w:cs="Cambria Math"/>
                <w:sz w:val="24"/>
                <w:szCs w:val="24"/>
              </w:rPr>
            </m:ctrlPr>
          </m:sSubPr>
          <m:e>
            <m:r>
              <w:rPr>
                <w:rFonts w:ascii="Cambria Math" w:hAnsi="Cambria Math"/>
              </w:rPr>
              <m:t>η</m:t>
            </m:r>
          </m:e>
          <m:sub>
            <m:r>
              <w:rPr>
                <w:rFonts w:ascii="Cambria Math" w:eastAsia="Cambria Math" w:hAnsi="Cambria Math" w:cs="Cambria Math"/>
                <w:sz w:val="24"/>
                <w:szCs w:val="24"/>
              </w:rPr>
              <m:t>k</m:t>
            </m:r>
          </m:sub>
        </m:sSub>
      </m:oMath>
      <w:r>
        <w:rPr>
          <w:rFonts w:ascii="Times New Roman" w:eastAsia="Times New Roman" w:hAnsi="Times New Roman" w:cs="Times New Roman"/>
          <w:sz w:val="24"/>
          <w:szCs w:val="24"/>
        </w:rPr>
        <w:t xml:space="preserve"> represent the coefficients associated with the covariates temperature, BMI and cholesterol respectively. Also,</w:t>
      </w:r>
      <m:oMath>
        <m:r>
          <w:rPr>
            <w:rFonts w:ascii="Cambria Math" w:eastAsia="Cambria Math" w:hAnsi="Cambria Math" w:cs="Cambria Math"/>
            <w:sz w:val="24"/>
            <w:szCs w:val="24"/>
          </w:rPr>
          <m:t xml:space="preserve"> </m:t>
        </m:r>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ϑ</m:t>
            </m:r>
          </m:e>
          <m:sub>
            <m:r>
              <w:rPr>
                <w:rFonts w:ascii="Cambria Math" w:eastAsia="Cambria Math" w:hAnsi="Cambria Math" w:cs="Cambria Math"/>
                <w:sz w:val="24"/>
                <w:szCs w:val="24"/>
              </w:rPr>
              <m:t>k</m:t>
            </m:r>
          </m:sub>
        </m:sSub>
      </m:oMath>
      <w:r>
        <w:rPr>
          <w:rFonts w:ascii="Times New Roman" w:eastAsia="Times New Roman" w:hAnsi="Times New Roman" w:cs="Times New Roman"/>
          <w:sz w:val="24"/>
          <w:szCs w:val="24"/>
        </w:rPr>
        <w:t>’s are means of slopes and intercepts</w:t>
      </w:r>
      <w:proofErr w:type="gramStart"/>
      <w:r>
        <w:rPr>
          <w:rFonts w:ascii="Times New Roman" w:eastAsia="Times New Roman" w:hAnsi="Times New Roman" w:cs="Times New Roman"/>
          <w:sz w:val="24"/>
          <w:szCs w:val="24"/>
        </w:rPr>
        <w:t xml:space="preserve">; </w:t>
      </w:r>
      <w:proofErr w:type="gramEnd"/>
      <m:oMath>
        <m:sSub>
          <m:sSubPr>
            <m:ctrlPr>
              <w:rPr>
                <w:rFonts w:ascii="Cambria Math" w:eastAsia="Cambria Math" w:hAnsi="Cambria Math" w:cs="Cambria Math"/>
                <w:sz w:val="24"/>
                <w:szCs w:val="24"/>
              </w:rPr>
            </m:ctrlPr>
          </m:sSubPr>
          <m:e>
            <m:r>
              <w:rPr>
                <w:rFonts w:ascii="Cambria Math" w:hAnsi="Cambria Math"/>
              </w:rPr>
              <m:t>ξ</m:t>
            </m:r>
          </m:e>
          <m:sub>
            <m:r>
              <w:rPr>
                <w:rFonts w:ascii="Cambria Math" w:eastAsia="Cambria Math" w:hAnsi="Cambria Math" w:cs="Cambria Math"/>
                <w:sz w:val="24"/>
                <w:szCs w:val="24"/>
              </w:rPr>
              <m:t>kn</m:t>
            </m:r>
          </m:sub>
        </m:sSub>
      </m:oMath>
      <w:r>
        <w:rPr>
          <w:rFonts w:ascii="Times New Roman" w:eastAsia="Times New Roman" w:hAnsi="Times New Roman" w:cs="Times New Roman"/>
          <w:sz w:val="24"/>
          <w:szCs w:val="24"/>
        </w:rPr>
        <w:t xml:space="preserve">’s are residual deviations from latent slope and intercepts with some variances and finally </w:t>
      </w:r>
      <m:oMath>
        <m:r>
          <w:rPr>
            <w:rFonts w:ascii="Cambria Math" w:hAnsi="Cambria Math"/>
          </w:rPr>
          <m:t>ϵ</m:t>
        </m:r>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[t]</m:t>
            </m:r>
          </m:e>
          <m:sub>
            <m:r>
              <w:rPr>
                <w:rFonts w:ascii="Cambria Math" w:eastAsia="Cambria Math" w:hAnsi="Cambria Math" w:cs="Cambria Math"/>
                <w:sz w:val="24"/>
                <w:szCs w:val="24"/>
              </w:rPr>
              <m:t>n</m:t>
            </m:r>
          </m:sub>
        </m:sSub>
      </m:oMath>
      <w:r>
        <w:rPr>
          <w:rFonts w:ascii="Times New Roman" w:eastAsia="Times New Roman" w:hAnsi="Times New Roman" w:cs="Times New Roman"/>
          <w:sz w:val="24"/>
          <w:szCs w:val="24"/>
        </w:rPr>
        <w:t xml:space="preserve"> denotes time specific residual with variance </w:t>
      </w:r>
      <m:oMath>
        <m:sSubSup>
          <m:sSubSupPr>
            <m:ctrlPr>
              <w:rPr>
                <w:rFonts w:ascii="Cambria Math" w:eastAsia="Cambria Math" w:hAnsi="Cambria Math" w:cs="Cambria Math"/>
                <w:sz w:val="24"/>
                <w:szCs w:val="24"/>
              </w:rPr>
            </m:ctrlPr>
          </m:sSubSupPr>
          <m:e>
            <m:r>
              <w:rPr>
                <w:rFonts w:ascii="Cambria Math" w:hAnsi="Cambria Math"/>
              </w:rPr>
              <m:t>σ</m:t>
            </m:r>
          </m:e>
          <m:sub>
            <m:r>
              <w:rPr>
                <w:rFonts w:ascii="Cambria Math" w:eastAsia="Cambria Math" w:hAnsi="Cambria Math" w:cs="Cambria Math"/>
                <w:sz w:val="24"/>
                <w:szCs w:val="24"/>
              </w:rPr>
              <m:t>ϵn</m:t>
            </m:r>
          </m:sub>
          <m:sup>
            <m:r>
              <w:rPr>
                <w:rFonts w:ascii="Cambria Math" w:eastAsia="Cambria Math" w:hAnsi="Cambria Math" w:cs="Cambria Math"/>
                <w:sz w:val="24"/>
                <w:szCs w:val="24"/>
              </w:rPr>
              <m:t>2</m:t>
            </m:r>
          </m:sup>
        </m:sSubSup>
      </m:oMath>
      <w:r>
        <w:rPr>
          <w:rFonts w:ascii="Times New Roman" w:eastAsia="Times New Roman" w:hAnsi="Times New Roman" w:cs="Times New Roman"/>
          <w:sz w:val="24"/>
          <w:szCs w:val="24"/>
        </w:rPr>
        <w:t xml:space="preserve">. The TICs associate directly with the slope and intercepts and have an indirect effect on repeated measures of outcome variables while TVC poses a direct impact on outcome </w:t>
      </w:r>
      <w:r>
        <w:rPr>
          <w:rFonts w:ascii="Times New Roman" w:eastAsia="Times New Roman" w:hAnsi="Times New Roman" w:cs="Times New Roman"/>
          <w:sz w:val="24"/>
          <w:szCs w:val="24"/>
        </w:rPr>
        <w:lastRenderedPageBreak/>
        <w:t>variables. Based on the above equation, several models like linear, quadratic, exponential, and latent GCM have been tested and we found the multiphase GCM to be the most suitable model. </w:t>
      </w:r>
      <w:r>
        <w:rPr>
          <w:rFonts w:ascii="Times New Roman" w:eastAsia="Times New Roman" w:hAnsi="Times New Roman" w:cs="Times New Roman"/>
          <w:b/>
          <w:sz w:val="24"/>
          <w:szCs w:val="24"/>
        </w:rPr>
        <w:t xml:space="preserve"> </w:t>
      </w:r>
    </w:p>
    <w:p w14:paraId="0000003A" w14:textId="77777777" w:rsidR="0036428B" w:rsidRDefault="00831D93">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Multiphase Growth Curve Model</w:t>
      </w:r>
    </w:p>
    <w:p w14:paraId="0000003B" w14:textId="25D619EB" w:rsidR="0036428B" w:rsidRDefault="00831D93">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multiphase GCM is based on two or more regression lines which allows modelling of multiple processes that are responsible for the intra-individual changes over the time periods</w:t>
      </w:r>
      <w:r>
        <w:rPr>
          <w:rFonts w:ascii="Times New Roman" w:eastAsia="Times New Roman" w:hAnsi="Times New Roman" w:cs="Times New Roman"/>
          <w:sz w:val="24"/>
          <w:szCs w:val="24"/>
          <w:vertAlign w:val="superscript"/>
        </w:rPr>
        <w:t>53</w:t>
      </w:r>
      <w:r>
        <w:rPr>
          <w:rFonts w:ascii="Times New Roman" w:eastAsia="Times New Roman" w:hAnsi="Times New Roman" w:cs="Times New Roman"/>
          <w:sz w:val="24"/>
          <w:szCs w:val="24"/>
        </w:rPr>
        <w:t xml:space="preserve">. As observed from the trajectory plot, the COVID-19 case growth rates were different in the considered months. Therefore, it was more suitable to fit multiple splines than just one line for the defined time slot to capture the COVID-19 cases for different countries. Based on this proposition, we divided the total COVID-19 cases per million over the months into four phases for modelling purposes. Four </w:t>
      </w:r>
      <w:proofErr w:type="gramStart"/>
      <w:r>
        <w:rPr>
          <w:rFonts w:ascii="Times New Roman" w:eastAsia="Times New Roman" w:hAnsi="Times New Roman" w:cs="Times New Roman"/>
          <w:sz w:val="24"/>
          <w:szCs w:val="24"/>
        </w:rPr>
        <w:t xml:space="preserve">vectors </w:t>
      </w:r>
      <w:proofErr w:type="gramEnd"/>
      <m:oMath>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A</m:t>
            </m:r>
          </m:e>
          <m:sub>
            <m:r>
              <w:rPr>
                <w:rFonts w:ascii="Cambria Math" w:eastAsia="Cambria Math" w:hAnsi="Cambria Math" w:cs="Cambria Math"/>
                <w:sz w:val="24"/>
                <w:szCs w:val="24"/>
              </w:rPr>
              <m:t>0</m:t>
            </m:r>
          </m:sub>
        </m:sSub>
      </m:oMath>
      <w:r>
        <w:rPr>
          <w:rFonts w:ascii="Times New Roman" w:eastAsia="Times New Roman" w:hAnsi="Times New Roman" w:cs="Times New Roman"/>
          <w:sz w:val="24"/>
          <w:szCs w:val="24"/>
        </w:rPr>
        <w:t xml:space="preserve">, </w:t>
      </w:r>
      <m:oMath>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A</m:t>
            </m:r>
          </m:e>
          <m:sub>
            <m:r>
              <w:rPr>
                <w:rFonts w:ascii="Cambria Math" w:eastAsia="Cambria Math" w:hAnsi="Cambria Math" w:cs="Cambria Math"/>
                <w:sz w:val="24"/>
                <w:szCs w:val="24"/>
              </w:rPr>
              <m:t>1</m:t>
            </m:r>
          </m:sub>
        </m:sSub>
      </m:oMath>
      <w:r>
        <w:rPr>
          <w:rFonts w:ascii="Times New Roman" w:eastAsia="Times New Roman" w:hAnsi="Times New Roman" w:cs="Times New Roman"/>
          <w:sz w:val="24"/>
          <w:szCs w:val="24"/>
        </w:rPr>
        <w:t xml:space="preserve">, </w:t>
      </w:r>
      <m:oMath>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A</m:t>
            </m:r>
          </m:e>
          <m:sub>
            <m:r>
              <w:rPr>
                <w:rFonts w:ascii="Cambria Math" w:eastAsia="Cambria Math" w:hAnsi="Cambria Math" w:cs="Cambria Math"/>
                <w:sz w:val="24"/>
                <w:szCs w:val="24"/>
              </w:rPr>
              <m:t>2</m:t>
            </m:r>
          </m:sub>
        </m:sSub>
      </m:oMath>
      <w:r>
        <w:rPr>
          <w:rFonts w:ascii="Times New Roman" w:eastAsia="Times New Roman" w:hAnsi="Times New Roman" w:cs="Times New Roman"/>
          <w:sz w:val="24"/>
          <w:szCs w:val="24"/>
        </w:rPr>
        <w:t xml:space="preserve"> and </w:t>
      </w:r>
      <m:oMath>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A</m:t>
            </m:r>
          </m:e>
          <m:sub>
            <m:r>
              <w:rPr>
                <w:rFonts w:ascii="Cambria Math" w:eastAsia="Cambria Math" w:hAnsi="Cambria Math" w:cs="Cambria Math"/>
                <w:sz w:val="24"/>
                <w:szCs w:val="24"/>
              </w:rPr>
              <m:t>3</m:t>
            </m:r>
          </m:sub>
        </m:sSub>
      </m:oMath>
      <w:r>
        <w:rPr>
          <w:rFonts w:ascii="Times New Roman" w:eastAsia="Times New Roman" w:hAnsi="Times New Roman" w:cs="Times New Roman"/>
          <w:sz w:val="24"/>
          <w:szCs w:val="24"/>
        </w:rPr>
        <w:t xml:space="preserve"> respectively, were used to model the initial or baseline, second, third, and fourth phase</w:t>
      </w:r>
      <w:r w:rsidR="00E81340">
        <w:rPr>
          <w:rFonts w:ascii="Times New Roman" w:eastAsia="Times New Roman" w:hAnsi="Times New Roman" w:cs="Times New Roman"/>
          <w:sz w:val="24"/>
          <w:szCs w:val="24"/>
        </w:rPr>
        <w:t>s</w:t>
      </w:r>
      <w:r>
        <w:rPr>
          <w:rFonts w:ascii="Times New Roman" w:eastAsia="Times New Roman" w:hAnsi="Times New Roman" w:cs="Times New Roman"/>
          <w:sz w:val="24"/>
          <w:szCs w:val="24"/>
        </w:rPr>
        <w:t>. Since, we had the data for seventeen months from March, 2020 to July, 2021, we defined these four phases as Phase I: (March, 2020 - May</w:t>
      </w:r>
      <w:r w:rsidR="00B4439F">
        <w:rPr>
          <w:rFonts w:ascii="Times New Roman" w:eastAsia="Times New Roman" w:hAnsi="Times New Roman" w:cs="Times New Roman"/>
          <w:sz w:val="24"/>
          <w:szCs w:val="24"/>
        </w:rPr>
        <w:t>, 2020), Phase II: (June, 2020-</w:t>
      </w:r>
      <w:r>
        <w:rPr>
          <w:rFonts w:ascii="Times New Roman" w:eastAsia="Times New Roman" w:hAnsi="Times New Roman" w:cs="Times New Roman"/>
          <w:sz w:val="24"/>
          <w:szCs w:val="24"/>
        </w:rPr>
        <w:t>December, 2</w:t>
      </w:r>
      <w:r w:rsidR="00656742">
        <w:rPr>
          <w:rFonts w:ascii="Times New Roman" w:eastAsia="Times New Roman" w:hAnsi="Times New Roman" w:cs="Times New Roman"/>
          <w:sz w:val="24"/>
          <w:szCs w:val="24"/>
        </w:rPr>
        <w:t>020), Phase III: (January, 2021-</w:t>
      </w:r>
      <w:r>
        <w:rPr>
          <w:rFonts w:ascii="Times New Roman" w:eastAsia="Times New Roman" w:hAnsi="Times New Roman" w:cs="Times New Roman"/>
          <w:sz w:val="24"/>
          <w:szCs w:val="24"/>
        </w:rPr>
        <w:t>April,</w:t>
      </w:r>
      <w:r w:rsidR="004A54C7">
        <w:rPr>
          <w:rFonts w:ascii="Times New Roman" w:eastAsia="Times New Roman" w:hAnsi="Times New Roman" w:cs="Times New Roman"/>
          <w:sz w:val="24"/>
          <w:szCs w:val="24"/>
        </w:rPr>
        <w:t xml:space="preserve"> 2021) and Phase IV: (May, 2021</w:t>
      </w:r>
      <w:r w:rsidR="00656742">
        <w:rPr>
          <w:rFonts w:ascii="Times New Roman" w:eastAsia="Times New Roman" w:hAnsi="Times New Roman" w:cs="Times New Roman"/>
          <w:sz w:val="24"/>
          <w:szCs w:val="24"/>
        </w:rPr>
        <w:t>-</w:t>
      </w:r>
      <w:bookmarkStart w:id="1" w:name="_GoBack"/>
      <w:bookmarkEnd w:id="1"/>
      <w:r>
        <w:rPr>
          <w:rFonts w:ascii="Times New Roman" w:eastAsia="Times New Roman" w:hAnsi="Times New Roman" w:cs="Times New Roman"/>
          <w:sz w:val="24"/>
          <w:szCs w:val="24"/>
        </w:rPr>
        <w:t xml:space="preserve">July, 2021). The vectors for the chosen multiphase model can be defined as: </w:t>
      </w:r>
    </w:p>
    <w:p w14:paraId="0000003C" w14:textId="77777777" w:rsidR="0036428B" w:rsidRDefault="0067532B">
      <w:pPr>
        <w:spacing w:line="360" w:lineRule="auto"/>
        <w:jc w:val="both"/>
        <w:rPr>
          <w:rFonts w:ascii="Times New Roman" w:eastAsia="Times New Roman" w:hAnsi="Times New Roman" w:cs="Times New Roman"/>
          <w:sz w:val="24"/>
          <w:szCs w:val="24"/>
        </w:rPr>
      </w:pPr>
      <m:oMath>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A</m:t>
            </m:r>
          </m:e>
          <m:sub>
            <m:r>
              <w:rPr>
                <w:rFonts w:ascii="Cambria Math" w:eastAsia="Cambria Math" w:hAnsi="Cambria Math" w:cs="Cambria Math"/>
                <w:sz w:val="24"/>
                <w:szCs w:val="24"/>
              </w:rPr>
              <m:t>0</m:t>
            </m:r>
          </m:sub>
        </m:sSub>
        <m:d>
          <m:dPr>
            <m:begChr m:val="["/>
            <m:endChr m:val="]"/>
            <m:ctrlPr>
              <w:rPr>
                <w:rFonts w:ascii="Cambria Math" w:eastAsia="Cambria Math" w:hAnsi="Cambria Math" w:cs="Cambria Math"/>
                <w:sz w:val="24"/>
                <w:szCs w:val="24"/>
              </w:rPr>
            </m:ctrlPr>
          </m:dPr>
          <m:e>
            <m:r>
              <w:rPr>
                <w:rFonts w:ascii="Cambria Math" w:eastAsia="Cambria Math" w:hAnsi="Cambria Math" w:cs="Cambria Math"/>
                <w:sz w:val="24"/>
                <w:szCs w:val="24"/>
              </w:rPr>
              <m:t>t</m:t>
            </m:r>
          </m:e>
        </m:d>
        <m:r>
          <w:rPr>
            <w:rFonts w:ascii="Cambria Math" w:eastAsia="Cambria Math" w:hAnsi="Cambria Math" w:cs="Cambria Math"/>
            <w:sz w:val="24"/>
            <w:szCs w:val="24"/>
          </w:rPr>
          <m:t>= [1,1,1,1,1,1,1,1,1, 1, 1, 1, 1, 1, 1, 1, 1]</m:t>
        </m:r>
      </m:oMath>
      <w:r w:rsidR="00831D93">
        <w:rPr>
          <w:rFonts w:ascii="Times New Roman" w:eastAsia="Times New Roman" w:hAnsi="Times New Roman" w:cs="Times New Roman"/>
          <w:sz w:val="24"/>
          <w:szCs w:val="24"/>
        </w:rPr>
        <w:t>,</w:t>
      </w:r>
    </w:p>
    <w:p w14:paraId="0000003D" w14:textId="77777777" w:rsidR="0036428B" w:rsidRDefault="0067532B">
      <w:pPr>
        <w:spacing w:line="360" w:lineRule="auto"/>
        <w:jc w:val="both"/>
        <w:rPr>
          <w:rFonts w:ascii="Times New Roman" w:eastAsia="Times New Roman" w:hAnsi="Times New Roman" w:cs="Times New Roman"/>
          <w:sz w:val="24"/>
          <w:szCs w:val="24"/>
        </w:rPr>
      </w:pPr>
      <m:oMath>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A</m:t>
            </m:r>
          </m:e>
          <m:sub>
            <m:r>
              <w:rPr>
                <w:rFonts w:ascii="Cambria Math" w:eastAsia="Cambria Math" w:hAnsi="Cambria Math" w:cs="Cambria Math"/>
                <w:sz w:val="24"/>
                <w:szCs w:val="24"/>
              </w:rPr>
              <m:t>1</m:t>
            </m:r>
          </m:sub>
        </m:sSub>
        <m:d>
          <m:dPr>
            <m:begChr m:val="["/>
            <m:endChr m:val="]"/>
            <m:ctrlPr>
              <w:rPr>
                <w:rFonts w:ascii="Cambria Math" w:eastAsia="Cambria Math" w:hAnsi="Cambria Math" w:cs="Cambria Math"/>
                <w:sz w:val="24"/>
                <w:szCs w:val="24"/>
              </w:rPr>
            </m:ctrlPr>
          </m:dPr>
          <m:e>
            <m:r>
              <w:rPr>
                <w:rFonts w:ascii="Cambria Math" w:eastAsia="Cambria Math" w:hAnsi="Cambria Math" w:cs="Cambria Math"/>
                <w:sz w:val="24"/>
                <w:szCs w:val="24"/>
              </w:rPr>
              <m:t>t</m:t>
            </m:r>
          </m:e>
        </m:d>
        <m:r>
          <w:rPr>
            <w:rFonts w:ascii="Cambria Math" w:eastAsia="Cambria Math" w:hAnsi="Cambria Math" w:cs="Cambria Math"/>
            <w:sz w:val="24"/>
            <w:szCs w:val="24"/>
          </w:rPr>
          <m:t>=</m:t>
        </m:r>
        <m:d>
          <m:dPr>
            <m:begChr m:val="["/>
            <m:endChr m:val="]"/>
            <m:ctrlPr>
              <w:rPr>
                <w:rFonts w:ascii="Cambria Math" w:eastAsia="Cambria Math" w:hAnsi="Cambria Math" w:cs="Cambria Math"/>
                <w:sz w:val="24"/>
                <w:szCs w:val="24"/>
              </w:rPr>
            </m:ctrlPr>
          </m:dPr>
          <m:e>
            <m:r>
              <w:rPr>
                <w:rFonts w:ascii="Cambria Math" w:eastAsia="Cambria Math" w:hAnsi="Cambria Math" w:cs="Cambria Math"/>
                <w:sz w:val="24"/>
                <w:szCs w:val="24"/>
              </w:rPr>
              <m:t xml:space="preserve">0, </m:t>
            </m:r>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0, 0, α</m:t>
                </m:r>
              </m:e>
              <m:sub>
                <m:r>
                  <w:rPr>
                    <w:rFonts w:ascii="Cambria Math" w:eastAsia="Cambria Math" w:hAnsi="Cambria Math" w:cs="Cambria Math"/>
                    <w:sz w:val="24"/>
                    <w:szCs w:val="24"/>
                  </w:rPr>
                  <m:t>6</m:t>
                </m:r>
              </m:sub>
            </m:sSub>
            <m:r>
              <w:rPr>
                <w:rFonts w:ascii="Cambria Math" w:eastAsia="Cambria Math" w:hAnsi="Cambria Math" w:cs="Cambria Math"/>
                <w:sz w:val="24"/>
                <w:szCs w:val="24"/>
              </w:rPr>
              <m:t xml:space="preserve">, </m:t>
            </m:r>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α</m:t>
                </m:r>
              </m:e>
              <m:sub>
                <m:r>
                  <w:rPr>
                    <w:rFonts w:ascii="Cambria Math" w:eastAsia="Cambria Math" w:hAnsi="Cambria Math" w:cs="Cambria Math"/>
                    <w:sz w:val="24"/>
                    <w:szCs w:val="24"/>
                  </w:rPr>
                  <m:t>7</m:t>
                </m:r>
              </m:sub>
            </m:sSub>
            <m:r>
              <w:rPr>
                <w:rFonts w:ascii="Cambria Math" w:eastAsia="Cambria Math" w:hAnsi="Cambria Math" w:cs="Cambria Math"/>
                <w:sz w:val="24"/>
                <w:szCs w:val="24"/>
              </w:rPr>
              <m:t xml:space="preserve">, </m:t>
            </m:r>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α</m:t>
                </m:r>
              </m:e>
              <m:sub>
                <m:r>
                  <w:rPr>
                    <w:rFonts w:ascii="Cambria Math" w:eastAsia="Cambria Math" w:hAnsi="Cambria Math" w:cs="Cambria Math"/>
                    <w:sz w:val="24"/>
                    <w:szCs w:val="24"/>
                  </w:rPr>
                  <m:t>8</m:t>
                </m:r>
              </m:sub>
            </m:sSub>
            <m:r>
              <w:rPr>
                <w:rFonts w:ascii="Cambria Math" w:eastAsia="Cambria Math" w:hAnsi="Cambria Math" w:cs="Cambria Math"/>
                <w:sz w:val="24"/>
                <w:szCs w:val="24"/>
              </w:rPr>
              <m:t>,</m:t>
            </m:r>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α</m:t>
                </m:r>
              </m:e>
              <m:sub>
                <m:r>
                  <w:rPr>
                    <w:rFonts w:ascii="Cambria Math" w:eastAsia="Cambria Math" w:hAnsi="Cambria Math" w:cs="Cambria Math"/>
                    <w:sz w:val="24"/>
                    <w:szCs w:val="24"/>
                  </w:rPr>
                  <m:t>9</m:t>
                </m:r>
              </m:sub>
            </m:sSub>
            <m:r>
              <w:rPr>
                <w:rFonts w:ascii="Cambria Math" w:eastAsia="Cambria Math" w:hAnsi="Cambria Math" w:cs="Cambria Math"/>
                <w:sz w:val="24"/>
                <w:szCs w:val="24"/>
              </w:rPr>
              <m:t>,</m:t>
            </m:r>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α</m:t>
                </m:r>
              </m:e>
              <m:sub>
                <m:r>
                  <w:rPr>
                    <w:rFonts w:ascii="Cambria Math" w:eastAsia="Cambria Math" w:hAnsi="Cambria Math" w:cs="Cambria Math"/>
                    <w:sz w:val="24"/>
                    <w:szCs w:val="24"/>
                  </w:rPr>
                  <m:t>10</m:t>
                </m:r>
              </m:sub>
            </m:sSub>
            <m:r>
              <w:rPr>
                <w:rFonts w:ascii="Cambria Math" w:eastAsia="Cambria Math" w:hAnsi="Cambria Math" w:cs="Cambria Math"/>
                <w:sz w:val="24"/>
                <w:szCs w:val="24"/>
              </w:rPr>
              <m:t>,</m:t>
            </m:r>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α</m:t>
                </m:r>
              </m:e>
              <m:sub>
                <m:r>
                  <w:rPr>
                    <w:rFonts w:ascii="Cambria Math" w:eastAsia="Cambria Math" w:hAnsi="Cambria Math" w:cs="Cambria Math"/>
                    <w:sz w:val="24"/>
                    <w:szCs w:val="24"/>
                  </w:rPr>
                  <m:t>11</m:t>
                </m:r>
              </m:sub>
            </m:sSub>
            <m:r>
              <w:rPr>
                <w:rFonts w:ascii="Cambria Math" w:eastAsia="Cambria Math" w:hAnsi="Cambria Math" w:cs="Cambria Math"/>
                <w:sz w:val="24"/>
                <w:szCs w:val="24"/>
              </w:rPr>
              <m:t>,1, 1, 1, 1, 1, 1, 1, 1</m:t>
            </m:r>
          </m:e>
        </m:d>
      </m:oMath>
      <w:r w:rsidR="00831D93">
        <w:rPr>
          <w:rFonts w:ascii="Times New Roman" w:eastAsia="Times New Roman" w:hAnsi="Times New Roman" w:cs="Times New Roman"/>
          <w:sz w:val="24"/>
          <w:szCs w:val="24"/>
        </w:rPr>
        <w:t>,</w:t>
      </w:r>
    </w:p>
    <w:p w14:paraId="0000003E" w14:textId="77777777" w:rsidR="0036428B" w:rsidRDefault="0067532B">
      <w:pPr>
        <w:rPr>
          <w:rFonts w:ascii="Cambria Math" w:eastAsia="Cambria Math" w:hAnsi="Cambria Math" w:cs="Cambria Math"/>
          <w:sz w:val="24"/>
          <w:szCs w:val="24"/>
        </w:rPr>
      </w:pPr>
      <m:oMathPara>
        <m:oMath>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A</m:t>
              </m:r>
            </m:e>
            <m:sub>
              <m:r>
                <w:rPr>
                  <w:rFonts w:ascii="Cambria Math" w:eastAsia="Cambria Math" w:hAnsi="Cambria Math" w:cs="Cambria Math"/>
                  <w:sz w:val="24"/>
                  <w:szCs w:val="24"/>
                </w:rPr>
                <m:t>2</m:t>
              </m:r>
            </m:sub>
          </m:sSub>
          <m:d>
            <m:dPr>
              <m:begChr m:val="["/>
              <m:endChr m:val="]"/>
              <m:ctrlPr>
                <w:rPr>
                  <w:rFonts w:ascii="Cambria Math" w:eastAsia="Cambria Math" w:hAnsi="Cambria Math" w:cs="Cambria Math"/>
                  <w:sz w:val="24"/>
                  <w:szCs w:val="24"/>
                </w:rPr>
              </m:ctrlPr>
            </m:dPr>
            <m:e>
              <m:r>
                <w:rPr>
                  <w:rFonts w:ascii="Cambria Math" w:eastAsia="Cambria Math" w:hAnsi="Cambria Math" w:cs="Cambria Math"/>
                  <w:sz w:val="24"/>
                  <w:szCs w:val="24"/>
                </w:rPr>
                <m:t>t</m:t>
              </m:r>
            </m:e>
          </m:d>
          <m:r>
            <w:rPr>
              <w:rFonts w:ascii="Cambria Math" w:eastAsia="Cambria Math" w:hAnsi="Cambria Math" w:cs="Cambria Math"/>
              <w:sz w:val="24"/>
              <w:szCs w:val="24"/>
            </w:rPr>
            <m:t>=</m:t>
          </m:r>
          <m:d>
            <m:dPr>
              <m:begChr m:val="["/>
              <m:endChr m:val="]"/>
              <m:ctrlPr>
                <w:rPr>
                  <w:rFonts w:ascii="Cambria Math" w:eastAsia="Cambria Math" w:hAnsi="Cambria Math" w:cs="Cambria Math"/>
                  <w:sz w:val="24"/>
                  <w:szCs w:val="24"/>
                </w:rPr>
              </m:ctrlPr>
            </m:dPr>
            <m:e>
              <m:r>
                <w:rPr>
                  <w:rFonts w:ascii="Cambria Math" w:eastAsia="Cambria Math" w:hAnsi="Cambria Math" w:cs="Cambria Math"/>
                  <w:sz w:val="24"/>
                  <w:szCs w:val="24"/>
                </w:rPr>
                <m:t xml:space="preserve">0,0,0,0, 0, 0, 0, 0, 0,0, </m:t>
              </m:r>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α</m:t>
                  </m:r>
                </m:e>
                <m:sub>
                  <m:r>
                    <w:rPr>
                      <w:rFonts w:ascii="Cambria Math" w:eastAsia="Cambria Math" w:hAnsi="Cambria Math" w:cs="Cambria Math"/>
                      <w:sz w:val="24"/>
                      <w:szCs w:val="24"/>
                    </w:rPr>
                    <m:t>13</m:t>
                  </m:r>
                </m:sub>
              </m:sSub>
              <m:r>
                <w:rPr>
                  <w:rFonts w:ascii="Cambria Math" w:eastAsia="Cambria Math" w:hAnsi="Cambria Math" w:cs="Cambria Math"/>
                  <w:sz w:val="24"/>
                  <w:szCs w:val="24"/>
                </w:rPr>
                <m:t>,</m:t>
              </m:r>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α</m:t>
                  </m:r>
                </m:e>
                <m:sub>
                  <m:r>
                    <w:rPr>
                      <w:rFonts w:ascii="Cambria Math" w:eastAsia="Cambria Math" w:hAnsi="Cambria Math" w:cs="Cambria Math"/>
                      <w:sz w:val="24"/>
                      <w:szCs w:val="24"/>
                    </w:rPr>
                    <m:t>14</m:t>
                  </m:r>
                </m:sub>
              </m:sSub>
              <m:r>
                <w:rPr>
                  <w:rFonts w:ascii="Cambria Math" w:eastAsia="Cambria Math" w:hAnsi="Cambria Math" w:cs="Cambria Math"/>
                  <w:sz w:val="24"/>
                  <w:szCs w:val="24"/>
                </w:rPr>
                <m:t xml:space="preserve">, </m:t>
              </m:r>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α</m:t>
                  </m:r>
                </m:e>
                <m:sub>
                  <m:r>
                    <w:rPr>
                      <w:rFonts w:ascii="Cambria Math" w:eastAsia="Cambria Math" w:hAnsi="Cambria Math" w:cs="Cambria Math"/>
                      <w:sz w:val="24"/>
                      <w:szCs w:val="24"/>
                    </w:rPr>
                    <m:t>15</m:t>
                  </m:r>
                </m:sub>
              </m:sSub>
              <m:r>
                <w:rPr>
                  <w:rFonts w:ascii="Cambria Math" w:eastAsia="Cambria Math" w:hAnsi="Cambria Math" w:cs="Cambria Math"/>
                  <w:sz w:val="24"/>
                  <w:szCs w:val="24"/>
                </w:rPr>
                <m:t>,1, 1, 1, 1</m:t>
              </m:r>
            </m:e>
          </m:d>
        </m:oMath>
      </m:oMathPara>
    </w:p>
    <w:p w14:paraId="0000003F" w14:textId="77777777" w:rsidR="0036428B" w:rsidRDefault="00831D93">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and</w:t>
      </w:r>
      <w:proofErr w:type="gramEnd"/>
      <w:r>
        <w:rPr>
          <w:rFonts w:ascii="Times New Roman" w:eastAsia="Times New Roman" w:hAnsi="Times New Roman" w:cs="Times New Roman"/>
          <w:sz w:val="24"/>
          <w:szCs w:val="24"/>
        </w:rPr>
        <w:t xml:space="preserve"> </w:t>
      </w:r>
      <m:oMath>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A</m:t>
            </m:r>
          </m:e>
          <m:sub>
            <m:r>
              <w:rPr>
                <w:rFonts w:ascii="Cambria Math" w:eastAsia="Cambria Math" w:hAnsi="Cambria Math" w:cs="Cambria Math"/>
                <w:sz w:val="24"/>
                <w:szCs w:val="24"/>
              </w:rPr>
              <m:t>3</m:t>
            </m:r>
          </m:sub>
        </m:sSub>
        <m:d>
          <m:dPr>
            <m:begChr m:val="["/>
            <m:endChr m:val="]"/>
            <m:ctrlPr>
              <w:rPr>
                <w:rFonts w:ascii="Cambria Math" w:eastAsia="Cambria Math" w:hAnsi="Cambria Math" w:cs="Cambria Math"/>
                <w:sz w:val="24"/>
                <w:szCs w:val="24"/>
              </w:rPr>
            </m:ctrlPr>
          </m:dPr>
          <m:e>
            <m:r>
              <w:rPr>
                <w:rFonts w:ascii="Cambria Math" w:eastAsia="Cambria Math" w:hAnsi="Cambria Math" w:cs="Cambria Math"/>
                <w:sz w:val="24"/>
                <w:szCs w:val="24"/>
              </w:rPr>
              <m:t>t</m:t>
            </m:r>
          </m:e>
        </m:d>
        <m:r>
          <w:rPr>
            <w:rFonts w:ascii="Cambria Math" w:eastAsia="Cambria Math" w:hAnsi="Cambria Math" w:cs="Cambria Math"/>
            <w:sz w:val="24"/>
            <w:szCs w:val="24"/>
          </w:rPr>
          <m:t>=</m:t>
        </m:r>
        <m:d>
          <m:dPr>
            <m:begChr m:val="["/>
            <m:endChr m:val="]"/>
            <m:ctrlPr>
              <w:rPr>
                <w:rFonts w:ascii="Cambria Math" w:eastAsia="Cambria Math" w:hAnsi="Cambria Math" w:cs="Cambria Math"/>
                <w:sz w:val="24"/>
                <w:szCs w:val="24"/>
              </w:rPr>
            </m:ctrlPr>
          </m:dPr>
          <m:e>
            <m:r>
              <w:rPr>
                <w:rFonts w:ascii="Cambria Math" w:eastAsia="Cambria Math" w:hAnsi="Cambria Math" w:cs="Cambria Math"/>
                <w:sz w:val="24"/>
                <w:szCs w:val="24"/>
              </w:rPr>
              <m:t xml:space="preserve">0,0,0,0, 0,0,0,0,0,0, 0, 0, 0, </m:t>
            </m:r>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α</m:t>
                </m:r>
              </m:e>
              <m:sub>
                <m:r>
                  <w:rPr>
                    <w:rFonts w:ascii="Cambria Math" w:eastAsia="Cambria Math" w:hAnsi="Cambria Math" w:cs="Cambria Math"/>
                    <w:sz w:val="24"/>
                    <w:szCs w:val="24"/>
                  </w:rPr>
                  <m:t>16</m:t>
                </m:r>
              </m:sub>
            </m:sSub>
            <m:r>
              <w:rPr>
                <w:rFonts w:ascii="Cambria Math" w:eastAsia="Cambria Math" w:hAnsi="Cambria Math" w:cs="Cambria Math"/>
                <w:sz w:val="24"/>
                <w:szCs w:val="24"/>
              </w:rPr>
              <m:t>,</m:t>
            </m:r>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α</m:t>
                </m:r>
              </m:e>
              <m:sub>
                <m:r>
                  <w:rPr>
                    <w:rFonts w:ascii="Cambria Math" w:eastAsia="Cambria Math" w:hAnsi="Cambria Math" w:cs="Cambria Math"/>
                    <w:sz w:val="24"/>
                    <w:szCs w:val="24"/>
                  </w:rPr>
                  <m:t>17</m:t>
                </m:r>
              </m:sub>
            </m:sSub>
            <m:r>
              <w:rPr>
                <w:rFonts w:ascii="Cambria Math" w:eastAsia="Cambria Math" w:hAnsi="Cambria Math" w:cs="Cambria Math"/>
                <w:sz w:val="24"/>
                <w:szCs w:val="24"/>
              </w:rPr>
              <m:t xml:space="preserve">, </m:t>
            </m:r>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α</m:t>
                </m:r>
              </m:e>
              <m:sub>
                <m:r>
                  <w:rPr>
                    <w:rFonts w:ascii="Cambria Math" w:eastAsia="Cambria Math" w:hAnsi="Cambria Math" w:cs="Cambria Math"/>
                    <w:sz w:val="24"/>
                    <w:szCs w:val="24"/>
                  </w:rPr>
                  <m:t>18</m:t>
                </m:r>
              </m:sub>
            </m:sSub>
            <m:r>
              <w:rPr>
                <w:rFonts w:ascii="Cambria Math" w:eastAsia="Cambria Math" w:hAnsi="Cambria Math" w:cs="Cambria Math"/>
                <w:sz w:val="24"/>
                <w:szCs w:val="24"/>
              </w:rPr>
              <m:t>,1</m:t>
            </m:r>
          </m:e>
        </m:d>
        <m:r>
          <w:rPr>
            <w:rFonts w:ascii="Cambria Math" w:eastAsia="Cambria Math" w:hAnsi="Cambria Math" w:cs="Cambria Math"/>
            <w:sz w:val="24"/>
            <w:szCs w:val="24"/>
          </w:rPr>
          <m:t>.</m:t>
        </m:r>
      </m:oMath>
    </w:p>
    <w:p w14:paraId="00000040" w14:textId="77777777" w:rsidR="0036428B" w:rsidRDefault="00831D93">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proofErr w:type="gramStart"/>
      <w:r>
        <w:rPr>
          <w:rFonts w:ascii="Times New Roman" w:eastAsia="Times New Roman" w:hAnsi="Times New Roman" w:cs="Times New Roman"/>
          <w:sz w:val="24"/>
          <w:szCs w:val="24"/>
        </w:rPr>
        <w:t xml:space="preserve">parameter </w:t>
      </w:r>
      <w:proofErr w:type="gramEnd"/>
      <m:oMath>
        <m:sSub>
          <m:sSubPr>
            <m:ctrlPr>
              <w:rPr>
                <w:rFonts w:ascii="Cambria Math" w:eastAsia="Cambria Math" w:hAnsi="Cambria Math" w:cs="Cambria Math"/>
                <w:sz w:val="24"/>
                <w:szCs w:val="24"/>
              </w:rPr>
            </m:ctrlPr>
          </m:sSubPr>
          <m:e>
            <m:r>
              <w:rPr>
                <w:rFonts w:ascii="Cambria Math" w:hAnsi="Cambria Math"/>
              </w:rPr>
              <m:t>α</m:t>
            </m:r>
          </m:e>
          <m:sub>
            <m:r>
              <w:rPr>
                <w:rFonts w:ascii="Cambria Math" w:eastAsia="Cambria Math" w:hAnsi="Cambria Math" w:cs="Cambria Math"/>
                <w:sz w:val="24"/>
                <w:szCs w:val="24"/>
              </w:rPr>
              <m:t>i</m:t>
            </m:r>
          </m:sub>
        </m:sSub>
      </m:oMath>
      <w:r>
        <w:rPr>
          <w:rFonts w:ascii="Times New Roman" w:eastAsia="Times New Roman" w:hAnsi="Times New Roman" w:cs="Times New Roman"/>
          <w:sz w:val="24"/>
          <w:szCs w:val="24"/>
        </w:rPr>
        <w:t xml:space="preserve">’s was estimated from the data. Moreover, the inter-individual differences in the extent to which each process contributes can be governed by the random </w:t>
      </w:r>
      <w:proofErr w:type="gramStart"/>
      <w:r>
        <w:rPr>
          <w:rFonts w:ascii="Times New Roman" w:eastAsia="Times New Roman" w:hAnsi="Times New Roman" w:cs="Times New Roman"/>
          <w:sz w:val="24"/>
          <w:szCs w:val="24"/>
        </w:rPr>
        <w:t xml:space="preserve">vectors </w:t>
      </w:r>
      <w:proofErr w:type="gramEnd"/>
      <m:oMath>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g</m:t>
            </m:r>
          </m:e>
          <m:sub>
            <m:r>
              <w:rPr>
                <w:rFonts w:ascii="Cambria Math" w:eastAsia="Cambria Math" w:hAnsi="Cambria Math" w:cs="Cambria Math"/>
                <w:sz w:val="24"/>
                <w:szCs w:val="24"/>
              </w:rPr>
              <m:t>0</m:t>
            </m:r>
          </m:sub>
        </m:sSub>
      </m:oMath>
      <w:r>
        <w:rPr>
          <w:rFonts w:ascii="Times New Roman" w:eastAsia="Times New Roman" w:hAnsi="Times New Roman" w:cs="Times New Roman"/>
          <w:sz w:val="24"/>
          <w:szCs w:val="24"/>
        </w:rPr>
        <w:t xml:space="preserve">, </w:t>
      </w:r>
      <m:oMath>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g</m:t>
            </m:r>
          </m:e>
          <m:sub>
            <m:r>
              <w:rPr>
                <w:rFonts w:ascii="Cambria Math" w:eastAsia="Cambria Math" w:hAnsi="Cambria Math" w:cs="Cambria Math"/>
                <w:sz w:val="24"/>
                <w:szCs w:val="24"/>
              </w:rPr>
              <m:t>1</m:t>
            </m:r>
          </m:sub>
        </m:sSub>
      </m:oMath>
      <w:r>
        <w:rPr>
          <w:rFonts w:ascii="Times New Roman" w:eastAsia="Times New Roman" w:hAnsi="Times New Roman" w:cs="Times New Roman"/>
          <w:sz w:val="24"/>
          <w:szCs w:val="24"/>
        </w:rPr>
        <w:t xml:space="preserve">, </w:t>
      </w:r>
      <m:oMath>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g</m:t>
            </m:r>
          </m:e>
          <m:sub>
            <m:r>
              <w:rPr>
                <w:rFonts w:ascii="Cambria Math" w:eastAsia="Cambria Math" w:hAnsi="Cambria Math" w:cs="Cambria Math"/>
                <w:sz w:val="24"/>
                <w:szCs w:val="24"/>
              </w:rPr>
              <m:t>2</m:t>
            </m:r>
          </m:sub>
        </m:sSub>
      </m:oMath>
      <w:r>
        <w:rPr>
          <w:rFonts w:ascii="Times New Roman" w:eastAsia="Times New Roman" w:hAnsi="Times New Roman" w:cs="Times New Roman"/>
          <w:sz w:val="24"/>
          <w:szCs w:val="24"/>
        </w:rPr>
        <w:t xml:space="preserve"> and </w:t>
      </w:r>
      <m:oMath>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g</m:t>
            </m:r>
          </m:e>
          <m:sub>
            <m:r>
              <w:rPr>
                <w:rFonts w:ascii="Cambria Math" w:eastAsia="Cambria Math" w:hAnsi="Cambria Math" w:cs="Cambria Math"/>
                <w:sz w:val="24"/>
                <w:szCs w:val="24"/>
              </w:rPr>
              <m:t>3</m:t>
            </m:r>
          </m:sub>
        </m:sSub>
      </m:oMath>
      <w:r>
        <w:rPr>
          <w:rFonts w:ascii="Times New Roman" w:eastAsia="Times New Roman" w:hAnsi="Times New Roman" w:cs="Times New Roman"/>
          <w:sz w:val="24"/>
          <w:szCs w:val="24"/>
        </w:rPr>
        <w:t xml:space="preserve">. The variances among </w:t>
      </w:r>
      <m:oMath>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g</m:t>
            </m:r>
          </m:e>
          <m:sub>
            <m:r>
              <w:rPr>
                <w:rFonts w:ascii="Cambria Math" w:eastAsia="Cambria Math" w:hAnsi="Cambria Math" w:cs="Cambria Math"/>
                <w:sz w:val="24"/>
                <w:szCs w:val="24"/>
              </w:rPr>
              <m:t>0</m:t>
            </m:r>
          </m:sub>
        </m:sSub>
      </m:oMath>
      <w:r>
        <w:rPr>
          <w:rFonts w:ascii="Times New Roman" w:eastAsia="Times New Roman" w:hAnsi="Times New Roman" w:cs="Times New Roman"/>
          <w:sz w:val="24"/>
          <w:szCs w:val="24"/>
        </w:rPr>
        <w:t xml:space="preserve">, </w:t>
      </w:r>
      <m:oMath>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g</m:t>
            </m:r>
          </m:e>
          <m:sub>
            <m:r>
              <w:rPr>
                <w:rFonts w:ascii="Cambria Math" w:eastAsia="Cambria Math" w:hAnsi="Cambria Math" w:cs="Cambria Math"/>
                <w:sz w:val="24"/>
                <w:szCs w:val="24"/>
              </w:rPr>
              <m:t>1</m:t>
            </m:r>
          </m:sub>
        </m:sSub>
        <m:r>
          <w:rPr>
            <w:rFonts w:ascii="Cambria Math" w:eastAsia="Cambria Math" w:hAnsi="Cambria Math" w:cs="Cambria Math"/>
            <w:sz w:val="24"/>
            <w:szCs w:val="24"/>
          </w:rPr>
          <m:t>,</m:t>
        </m:r>
      </m:oMath>
      <w:r>
        <w:rPr>
          <w:rFonts w:ascii="Times New Roman" w:eastAsia="Times New Roman" w:hAnsi="Times New Roman" w:cs="Times New Roman"/>
          <w:sz w:val="24"/>
          <w:szCs w:val="24"/>
        </w:rPr>
        <w:t xml:space="preserve"> </w:t>
      </w:r>
      <m:oMath>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g</m:t>
            </m:r>
          </m:e>
          <m:sub>
            <m:r>
              <w:rPr>
                <w:rFonts w:ascii="Cambria Math" w:eastAsia="Cambria Math" w:hAnsi="Cambria Math" w:cs="Cambria Math"/>
                <w:sz w:val="24"/>
                <w:szCs w:val="24"/>
              </w:rPr>
              <m:t>2</m:t>
            </m:r>
          </m:sub>
        </m:sSub>
      </m:oMath>
      <w:r>
        <w:rPr>
          <w:rFonts w:ascii="Times New Roman" w:eastAsia="Times New Roman" w:hAnsi="Times New Roman" w:cs="Times New Roman"/>
          <w:sz w:val="24"/>
          <w:szCs w:val="24"/>
        </w:rPr>
        <w:t xml:space="preserve"> and </w:t>
      </w:r>
      <m:oMath>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g</m:t>
            </m:r>
          </m:e>
          <m:sub>
            <m:r>
              <w:rPr>
                <w:rFonts w:ascii="Cambria Math" w:eastAsia="Cambria Math" w:hAnsi="Cambria Math" w:cs="Cambria Math"/>
                <w:sz w:val="24"/>
                <w:szCs w:val="24"/>
              </w:rPr>
              <m:t>3</m:t>
            </m:r>
          </m:sub>
        </m:sSub>
      </m:oMath>
      <w:r>
        <w:rPr>
          <w:rFonts w:ascii="Times New Roman" w:eastAsia="Times New Roman" w:hAnsi="Times New Roman" w:cs="Times New Roman"/>
          <w:sz w:val="24"/>
          <w:szCs w:val="24"/>
        </w:rPr>
        <w:t xml:space="preserve"> represent the extent to which countries differ on each of the particular aspects of intra-individual change invoked by the corresponding vectors, </w:t>
      </w:r>
      <m:oMath>
        <m:sSub>
          <m:sSubPr>
            <m:ctrlPr>
              <w:rPr>
                <w:rFonts w:ascii="Cambria Math" w:eastAsia="Cambria Math" w:hAnsi="Cambria Math" w:cs="Cambria Math"/>
                <w:sz w:val="20"/>
                <w:szCs w:val="20"/>
              </w:rPr>
            </m:ctrlPr>
          </m:sSubPr>
          <m:e>
            <m:r>
              <w:rPr>
                <w:rFonts w:ascii="Cambria Math" w:eastAsia="Cambria Math" w:hAnsi="Cambria Math" w:cs="Cambria Math"/>
                <w:sz w:val="20"/>
                <w:szCs w:val="20"/>
              </w:rPr>
              <m:t>A</m:t>
            </m:r>
          </m:e>
          <m:sub>
            <m:r>
              <w:rPr>
                <w:rFonts w:ascii="Cambria Math" w:eastAsia="Cambria Math" w:hAnsi="Cambria Math" w:cs="Cambria Math"/>
                <w:sz w:val="20"/>
                <w:szCs w:val="20"/>
              </w:rPr>
              <m:t>0</m:t>
            </m:r>
          </m:sub>
        </m:sSub>
      </m:oMath>
      <w:r>
        <w:rPr>
          <w:rFonts w:ascii="Times New Roman" w:eastAsia="Times New Roman" w:hAnsi="Times New Roman" w:cs="Times New Roman"/>
          <w:sz w:val="20"/>
          <w:szCs w:val="20"/>
        </w:rPr>
        <w:t xml:space="preserve">, </w:t>
      </w:r>
      <m:oMath>
        <m:sSub>
          <m:sSubPr>
            <m:ctrlPr>
              <w:rPr>
                <w:rFonts w:ascii="Cambria Math" w:eastAsia="Cambria Math" w:hAnsi="Cambria Math" w:cs="Cambria Math"/>
                <w:sz w:val="20"/>
                <w:szCs w:val="20"/>
              </w:rPr>
            </m:ctrlPr>
          </m:sSubPr>
          <m:e>
            <m:r>
              <w:rPr>
                <w:rFonts w:ascii="Cambria Math" w:eastAsia="Cambria Math" w:hAnsi="Cambria Math" w:cs="Cambria Math"/>
                <w:sz w:val="20"/>
                <w:szCs w:val="20"/>
              </w:rPr>
              <m:t>A</m:t>
            </m:r>
          </m:e>
          <m:sub>
            <m:r>
              <w:rPr>
                <w:rFonts w:ascii="Cambria Math" w:eastAsia="Cambria Math" w:hAnsi="Cambria Math" w:cs="Cambria Math"/>
                <w:sz w:val="20"/>
                <w:szCs w:val="20"/>
              </w:rPr>
              <m:t>1</m:t>
            </m:r>
          </m:sub>
        </m:sSub>
      </m:oMath>
      <w:r>
        <w:rPr>
          <w:rFonts w:ascii="Times New Roman" w:eastAsia="Times New Roman" w:hAnsi="Times New Roman" w:cs="Times New Roman"/>
          <w:sz w:val="20"/>
          <w:szCs w:val="20"/>
        </w:rPr>
        <w:t xml:space="preserve">, </w:t>
      </w:r>
      <m:oMath>
        <m:sSub>
          <m:sSubPr>
            <m:ctrlPr>
              <w:rPr>
                <w:rFonts w:ascii="Cambria Math" w:eastAsia="Cambria Math" w:hAnsi="Cambria Math" w:cs="Cambria Math"/>
                <w:sz w:val="20"/>
                <w:szCs w:val="20"/>
              </w:rPr>
            </m:ctrlPr>
          </m:sSubPr>
          <m:e>
            <m:r>
              <w:rPr>
                <w:rFonts w:ascii="Cambria Math" w:eastAsia="Cambria Math" w:hAnsi="Cambria Math" w:cs="Cambria Math"/>
                <w:sz w:val="20"/>
                <w:szCs w:val="20"/>
              </w:rPr>
              <m:t>A</m:t>
            </m:r>
          </m:e>
          <m:sub>
            <m:r>
              <w:rPr>
                <w:rFonts w:ascii="Cambria Math" w:eastAsia="Cambria Math" w:hAnsi="Cambria Math" w:cs="Cambria Math"/>
                <w:sz w:val="20"/>
                <w:szCs w:val="20"/>
              </w:rPr>
              <m:t>2</m:t>
            </m:r>
          </m:sub>
        </m:sSub>
      </m:oMath>
      <w:r>
        <w:rPr>
          <w:rFonts w:ascii="Times New Roman" w:eastAsia="Times New Roman" w:hAnsi="Times New Roman" w:cs="Times New Roman"/>
          <w:sz w:val="20"/>
          <w:szCs w:val="20"/>
        </w:rPr>
        <w:t xml:space="preserve"> and </w:t>
      </w:r>
      <m:oMath>
        <m:sSub>
          <m:sSubPr>
            <m:ctrlPr>
              <w:rPr>
                <w:rFonts w:ascii="Cambria Math" w:eastAsia="Cambria Math" w:hAnsi="Cambria Math" w:cs="Cambria Math"/>
                <w:sz w:val="20"/>
                <w:szCs w:val="20"/>
              </w:rPr>
            </m:ctrlPr>
          </m:sSubPr>
          <m:e>
            <m:r>
              <w:rPr>
                <w:rFonts w:ascii="Cambria Math" w:eastAsia="Cambria Math" w:hAnsi="Cambria Math" w:cs="Cambria Math"/>
                <w:sz w:val="20"/>
                <w:szCs w:val="20"/>
              </w:rPr>
              <m:t>A</m:t>
            </m:r>
          </m:e>
          <m:sub>
            <m:r>
              <w:rPr>
                <w:rFonts w:ascii="Cambria Math" w:eastAsia="Cambria Math" w:hAnsi="Cambria Math" w:cs="Cambria Math"/>
                <w:sz w:val="20"/>
                <w:szCs w:val="20"/>
              </w:rPr>
              <m:t>3</m:t>
            </m:r>
          </m:sub>
        </m:sSub>
      </m:oMath>
      <w:r>
        <w:rPr>
          <w:rFonts w:ascii="Times New Roman" w:eastAsia="Times New Roman" w:hAnsi="Times New Roman" w:cs="Times New Roman"/>
          <w:sz w:val="20"/>
          <w:szCs w:val="20"/>
        </w:rPr>
        <w:t xml:space="preserve"> </w:t>
      </w:r>
      <w:r>
        <w:rPr>
          <w:rFonts w:ascii="Times New Roman" w:eastAsia="Times New Roman" w:hAnsi="Times New Roman" w:cs="Times New Roman"/>
          <w:sz w:val="24"/>
          <w:szCs w:val="24"/>
        </w:rPr>
        <w:t xml:space="preserve">while the covariances among these variables were interpreted as the inter-individual differences in one aspect with respect to another aspect. </w:t>
      </w:r>
    </w:p>
    <w:p w14:paraId="00000041" w14:textId="0D93D621" w:rsidR="0036428B" w:rsidRDefault="00831D93">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Some well-known fitting criteria such as AIC, BIC</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rPr>
        <w:t>and TLI were used for choosing the best model. The lower values of AIC and BIC with sufficiently large value of TLI directs to choose a better model. So, a model having lowest values of AIC and BIC with large enough TLI was preferred to others.</w:t>
      </w:r>
    </w:p>
    <w:p w14:paraId="00000042" w14:textId="77777777" w:rsidR="0036428B" w:rsidRDefault="0036428B">
      <w:pPr>
        <w:tabs>
          <w:tab w:val="left" w:pos="5568"/>
        </w:tabs>
        <w:spacing w:line="360" w:lineRule="auto"/>
        <w:jc w:val="both"/>
        <w:rPr>
          <w:rFonts w:ascii="Times New Roman" w:eastAsia="Times New Roman" w:hAnsi="Times New Roman" w:cs="Times New Roman"/>
          <w:b/>
          <w:sz w:val="24"/>
          <w:szCs w:val="24"/>
        </w:rPr>
      </w:pPr>
    </w:p>
    <w:p w14:paraId="00000043" w14:textId="77777777" w:rsidR="0036428B" w:rsidRDefault="0036428B">
      <w:pPr>
        <w:tabs>
          <w:tab w:val="left" w:pos="5568"/>
        </w:tabs>
        <w:spacing w:line="360" w:lineRule="auto"/>
        <w:jc w:val="both"/>
        <w:rPr>
          <w:rFonts w:ascii="Times New Roman" w:eastAsia="Times New Roman" w:hAnsi="Times New Roman" w:cs="Times New Roman"/>
          <w:b/>
          <w:sz w:val="24"/>
          <w:szCs w:val="24"/>
        </w:rPr>
      </w:pPr>
    </w:p>
    <w:p w14:paraId="00000044" w14:textId="77777777" w:rsidR="0036428B" w:rsidRDefault="00831D93">
      <w:pPr>
        <w:tabs>
          <w:tab w:val="left" w:pos="5568"/>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Conflict of Interest:</w:t>
      </w:r>
      <w:r>
        <w:rPr>
          <w:rFonts w:ascii="Times New Roman" w:eastAsia="Times New Roman" w:hAnsi="Times New Roman" w:cs="Times New Roman"/>
          <w:sz w:val="24"/>
          <w:szCs w:val="24"/>
        </w:rPr>
        <w:t xml:space="preserve"> All authors declare that they have no conflict of interest.</w:t>
      </w:r>
    </w:p>
    <w:p w14:paraId="00000045" w14:textId="77777777" w:rsidR="0036428B" w:rsidRDefault="00831D93">
      <w:pPr>
        <w:tabs>
          <w:tab w:val="left" w:pos="5568"/>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Author contribution</w:t>
      </w:r>
      <w:r>
        <w:rPr>
          <w:rFonts w:ascii="Times New Roman" w:eastAsia="Times New Roman" w:hAnsi="Times New Roman" w:cs="Times New Roman"/>
          <w:sz w:val="24"/>
          <w:szCs w:val="24"/>
        </w:rPr>
        <w:t>:</w:t>
      </w:r>
    </w:p>
    <w:p w14:paraId="00000046" w14:textId="77777777" w:rsidR="0036428B" w:rsidRDefault="00831D93">
      <w:pPr>
        <w:tabs>
          <w:tab w:val="left" w:pos="5568"/>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CCM collected data, prepared tables &amp; figures, formulated the whole study and written manuscript.  MSP formulated statistical modelling, collected data, and written manuscript, CPY analysed data, and prepared tables and figures; VT collected data and prepared figures; SB analysed data and drafted manuscript. </w:t>
      </w:r>
    </w:p>
    <w:p w14:paraId="00000047" w14:textId="77777777" w:rsidR="0036428B" w:rsidRDefault="0036428B">
      <w:pPr>
        <w:tabs>
          <w:tab w:val="left" w:pos="5568"/>
        </w:tabs>
        <w:spacing w:line="360" w:lineRule="auto"/>
        <w:jc w:val="both"/>
        <w:rPr>
          <w:rFonts w:ascii="Times New Roman" w:eastAsia="Times New Roman" w:hAnsi="Times New Roman" w:cs="Times New Roman"/>
          <w:b/>
          <w:sz w:val="24"/>
          <w:szCs w:val="24"/>
        </w:rPr>
      </w:pPr>
    </w:p>
    <w:p w14:paraId="00000048" w14:textId="77777777" w:rsidR="0036428B" w:rsidRDefault="00831D93">
      <w:pPr>
        <w:tabs>
          <w:tab w:val="left" w:pos="5568"/>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References</w:t>
      </w:r>
      <w:r>
        <w:rPr>
          <w:rFonts w:ascii="Times New Roman" w:eastAsia="Times New Roman" w:hAnsi="Times New Roman" w:cs="Times New Roman"/>
          <w:b/>
          <w:sz w:val="24"/>
          <w:szCs w:val="24"/>
        </w:rPr>
        <w:tab/>
      </w:r>
    </w:p>
    <w:p w14:paraId="00000049" w14:textId="77777777" w:rsidR="0036428B" w:rsidRDefault="00831D93">
      <w:pPr>
        <w:pBdr>
          <w:top w:val="nil"/>
          <w:left w:val="nil"/>
          <w:bottom w:val="nil"/>
          <w:right w:val="nil"/>
          <w:between w:val="nil"/>
        </w:pBdr>
        <w:spacing w:after="0" w:line="240" w:lineRule="auto"/>
        <w:ind w:left="720" w:hanging="720"/>
        <w:jc w:val="both"/>
        <w:rPr>
          <w:color w:val="000000"/>
        </w:rPr>
      </w:pPr>
      <w:r>
        <w:rPr>
          <w:color w:val="000000"/>
        </w:rPr>
        <w:t>1</w:t>
      </w:r>
      <w:r>
        <w:rPr>
          <w:color w:val="000000"/>
        </w:rPr>
        <w:tab/>
        <w:t>Zhu, N.</w:t>
      </w:r>
      <w:r>
        <w:rPr>
          <w:i/>
          <w:color w:val="000000"/>
        </w:rPr>
        <w:t xml:space="preserve"> et al.</w:t>
      </w:r>
      <w:r>
        <w:rPr>
          <w:color w:val="000000"/>
        </w:rPr>
        <w:t xml:space="preserve"> A novel coronavirus from patients with pneumonia in China, 2019. </w:t>
      </w:r>
      <w:r>
        <w:rPr>
          <w:i/>
          <w:color w:val="000000"/>
        </w:rPr>
        <w:t xml:space="preserve">New England </w:t>
      </w:r>
      <w:r>
        <w:rPr>
          <w:i/>
        </w:rPr>
        <w:t>Journal</w:t>
      </w:r>
      <w:r>
        <w:rPr>
          <w:i/>
          <w:color w:val="000000"/>
        </w:rPr>
        <w:t xml:space="preserve"> of </w:t>
      </w:r>
      <w:r>
        <w:rPr>
          <w:i/>
        </w:rPr>
        <w:t>M</w:t>
      </w:r>
      <w:r>
        <w:rPr>
          <w:i/>
          <w:color w:val="000000"/>
        </w:rPr>
        <w:t>edicine</w:t>
      </w:r>
      <w:r>
        <w:rPr>
          <w:color w:val="000000"/>
        </w:rPr>
        <w:t xml:space="preserve"> (2020).</w:t>
      </w:r>
    </w:p>
    <w:p w14:paraId="0000004A" w14:textId="77777777" w:rsidR="0036428B" w:rsidRDefault="00831D93">
      <w:pPr>
        <w:pBdr>
          <w:top w:val="nil"/>
          <w:left w:val="nil"/>
          <w:bottom w:val="nil"/>
          <w:right w:val="nil"/>
          <w:between w:val="nil"/>
        </w:pBdr>
        <w:spacing w:after="0" w:line="240" w:lineRule="auto"/>
        <w:ind w:left="720" w:hanging="720"/>
        <w:jc w:val="both"/>
        <w:rPr>
          <w:color w:val="000000"/>
        </w:rPr>
      </w:pPr>
      <w:r>
        <w:rPr>
          <w:color w:val="000000"/>
        </w:rPr>
        <w:t>2</w:t>
      </w:r>
      <w:r>
        <w:rPr>
          <w:color w:val="000000"/>
        </w:rPr>
        <w:tab/>
      </w:r>
      <w:proofErr w:type="spellStart"/>
      <w:r>
        <w:rPr>
          <w:color w:val="000000"/>
        </w:rPr>
        <w:t>Ramakrishnan</w:t>
      </w:r>
      <w:proofErr w:type="spellEnd"/>
      <w:r>
        <w:rPr>
          <w:color w:val="000000"/>
        </w:rPr>
        <w:t>, S. G.</w:t>
      </w:r>
      <w:r>
        <w:rPr>
          <w:i/>
          <w:color w:val="000000"/>
        </w:rPr>
        <w:t xml:space="preserve"> et al.</w:t>
      </w:r>
      <w:r>
        <w:rPr>
          <w:color w:val="000000"/>
        </w:rPr>
        <w:t xml:space="preserve"> Nanotechnology based solutions to combat zoonotic viruses with special attention to SARS, MERS, and COVID 19: Detection, protection and medication. </w:t>
      </w:r>
      <w:r>
        <w:rPr>
          <w:i/>
          <w:color w:val="000000"/>
        </w:rPr>
        <w:t>Microbial pathogenesis</w:t>
      </w:r>
      <w:r>
        <w:rPr>
          <w:color w:val="000000"/>
        </w:rPr>
        <w:t xml:space="preserve"> </w:t>
      </w:r>
      <w:r>
        <w:rPr>
          <w:b/>
          <w:color w:val="000000"/>
        </w:rPr>
        <w:t>159</w:t>
      </w:r>
      <w:r>
        <w:rPr>
          <w:color w:val="000000"/>
        </w:rPr>
        <w:t>, 105133, doi:10.1016/j.micpath.2021.105133 (2021).</w:t>
      </w:r>
    </w:p>
    <w:p w14:paraId="0000004B" w14:textId="77777777" w:rsidR="0036428B" w:rsidRDefault="00831D93">
      <w:pPr>
        <w:pBdr>
          <w:top w:val="nil"/>
          <w:left w:val="nil"/>
          <w:bottom w:val="nil"/>
          <w:right w:val="nil"/>
          <w:between w:val="nil"/>
        </w:pBdr>
        <w:spacing w:after="0" w:line="240" w:lineRule="auto"/>
        <w:ind w:left="720" w:hanging="720"/>
        <w:jc w:val="both"/>
        <w:rPr>
          <w:color w:val="000000"/>
        </w:rPr>
      </w:pPr>
      <w:r>
        <w:rPr>
          <w:color w:val="000000"/>
        </w:rPr>
        <w:t>3</w:t>
      </w:r>
      <w:r>
        <w:rPr>
          <w:color w:val="000000"/>
        </w:rPr>
        <w:tab/>
        <w:t xml:space="preserve">Chaudhary, V., Royal, A., </w:t>
      </w:r>
      <w:proofErr w:type="spellStart"/>
      <w:r>
        <w:rPr>
          <w:color w:val="000000"/>
        </w:rPr>
        <w:t>Chavali</w:t>
      </w:r>
      <w:proofErr w:type="spellEnd"/>
      <w:r>
        <w:rPr>
          <w:color w:val="000000"/>
        </w:rPr>
        <w:t xml:space="preserve">, M. &amp; Yadav, S. Advancements in research and development to combat COVID-19 using nanotechnology. </w:t>
      </w:r>
      <w:r>
        <w:rPr>
          <w:i/>
          <w:color w:val="000000"/>
        </w:rPr>
        <w:t>Nanotechnology for Environmental Engineering</w:t>
      </w:r>
      <w:r>
        <w:rPr>
          <w:color w:val="000000"/>
        </w:rPr>
        <w:t xml:space="preserve"> </w:t>
      </w:r>
      <w:r>
        <w:rPr>
          <w:b/>
          <w:color w:val="000000"/>
        </w:rPr>
        <w:t>6</w:t>
      </w:r>
      <w:r>
        <w:rPr>
          <w:color w:val="000000"/>
        </w:rPr>
        <w:t>, 1-15 (2021).</w:t>
      </w:r>
    </w:p>
    <w:p w14:paraId="0000004C" w14:textId="77777777" w:rsidR="0036428B" w:rsidRDefault="00831D93">
      <w:pPr>
        <w:pBdr>
          <w:top w:val="nil"/>
          <w:left w:val="nil"/>
          <w:bottom w:val="nil"/>
          <w:right w:val="nil"/>
          <w:between w:val="nil"/>
        </w:pBdr>
        <w:spacing w:after="0" w:line="240" w:lineRule="auto"/>
        <w:ind w:left="720" w:hanging="720"/>
        <w:jc w:val="both"/>
        <w:rPr>
          <w:color w:val="000000"/>
        </w:rPr>
      </w:pPr>
      <w:r>
        <w:rPr>
          <w:color w:val="000000"/>
        </w:rPr>
        <w:t>4</w:t>
      </w:r>
      <w:r>
        <w:rPr>
          <w:color w:val="000000"/>
        </w:rPr>
        <w:tab/>
        <w:t xml:space="preserve">Stewart, P. D. S. Seasonality and selective trends in viral acute respiratory tract infections. </w:t>
      </w:r>
      <w:r>
        <w:rPr>
          <w:i/>
          <w:color w:val="000000"/>
        </w:rPr>
        <w:t>Medical hypotheses</w:t>
      </w:r>
      <w:r>
        <w:rPr>
          <w:color w:val="000000"/>
        </w:rPr>
        <w:t xml:space="preserve"> </w:t>
      </w:r>
      <w:r>
        <w:rPr>
          <w:b/>
          <w:color w:val="000000"/>
        </w:rPr>
        <w:t>86</w:t>
      </w:r>
      <w:r>
        <w:rPr>
          <w:color w:val="000000"/>
        </w:rPr>
        <w:t>, 104-119 (2016).</w:t>
      </w:r>
    </w:p>
    <w:p w14:paraId="0000004D" w14:textId="77777777" w:rsidR="0036428B" w:rsidRDefault="00831D93">
      <w:pPr>
        <w:pBdr>
          <w:top w:val="nil"/>
          <w:left w:val="nil"/>
          <w:bottom w:val="nil"/>
          <w:right w:val="nil"/>
          <w:between w:val="nil"/>
        </w:pBdr>
        <w:spacing w:after="0" w:line="240" w:lineRule="auto"/>
        <w:ind w:left="720" w:hanging="720"/>
        <w:jc w:val="both"/>
        <w:rPr>
          <w:color w:val="000000"/>
        </w:rPr>
      </w:pPr>
      <w:r>
        <w:rPr>
          <w:color w:val="000000"/>
        </w:rPr>
        <w:t>5</w:t>
      </w:r>
      <w:r>
        <w:rPr>
          <w:color w:val="000000"/>
        </w:rPr>
        <w:tab/>
      </w:r>
      <w:proofErr w:type="spellStart"/>
      <w:r>
        <w:rPr>
          <w:color w:val="000000"/>
        </w:rPr>
        <w:t>Mandal</w:t>
      </w:r>
      <w:proofErr w:type="spellEnd"/>
      <w:r>
        <w:rPr>
          <w:color w:val="000000"/>
        </w:rPr>
        <w:t xml:space="preserve">, C. C. &amp; Panwar, M. S. Can the summer temperatures reduce COVID-19 cases? </w:t>
      </w:r>
      <w:r>
        <w:rPr>
          <w:i/>
          <w:color w:val="000000"/>
        </w:rPr>
        <w:t>Public Health</w:t>
      </w:r>
      <w:r>
        <w:rPr>
          <w:color w:val="000000"/>
        </w:rPr>
        <w:t xml:space="preserve"> </w:t>
      </w:r>
      <w:r>
        <w:rPr>
          <w:b/>
          <w:color w:val="000000"/>
        </w:rPr>
        <w:t>185</w:t>
      </w:r>
      <w:r>
        <w:rPr>
          <w:color w:val="000000"/>
        </w:rPr>
        <w:t xml:space="preserve">, 72-79, </w:t>
      </w:r>
      <w:proofErr w:type="spellStart"/>
      <w:r>
        <w:rPr>
          <w:color w:val="000000"/>
        </w:rPr>
        <w:t>doi</w:t>
      </w:r>
      <w:proofErr w:type="gramStart"/>
      <w:r>
        <w:rPr>
          <w:color w:val="000000"/>
        </w:rPr>
        <w:t>:</w:t>
      </w:r>
      <w:proofErr w:type="gramEnd"/>
      <w:r w:rsidR="00BA6A75">
        <w:fldChar w:fldCharType="begin"/>
      </w:r>
      <w:r w:rsidR="00BA6A75">
        <w:instrText xml:space="preserve"> HYPERLINK "https://doi.org/10.1016/j.puhe.2020.05.065" \h </w:instrText>
      </w:r>
      <w:r w:rsidR="00BA6A75">
        <w:fldChar w:fldCharType="separate"/>
      </w:r>
      <w:r>
        <w:rPr>
          <w:color w:val="0000FF"/>
          <w:u w:val="single"/>
        </w:rPr>
        <w:t>https</w:t>
      </w:r>
      <w:proofErr w:type="spellEnd"/>
      <w:r>
        <w:rPr>
          <w:color w:val="0000FF"/>
          <w:u w:val="single"/>
        </w:rPr>
        <w:t>://doi.org/10.1016/j.puhe.2020.05.065</w:t>
      </w:r>
      <w:r w:rsidR="00BA6A75">
        <w:rPr>
          <w:color w:val="0000FF"/>
          <w:u w:val="single"/>
        </w:rPr>
        <w:fldChar w:fldCharType="end"/>
      </w:r>
      <w:r>
        <w:rPr>
          <w:color w:val="000000"/>
        </w:rPr>
        <w:t xml:space="preserve"> (2020).</w:t>
      </w:r>
    </w:p>
    <w:p w14:paraId="0000004E" w14:textId="77777777" w:rsidR="0036428B" w:rsidRDefault="00831D93">
      <w:pPr>
        <w:pBdr>
          <w:top w:val="nil"/>
          <w:left w:val="nil"/>
          <w:bottom w:val="nil"/>
          <w:right w:val="nil"/>
          <w:between w:val="nil"/>
        </w:pBdr>
        <w:spacing w:after="0" w:line="240" w:lineRule="auto"/>
        <w:ind w:left="720" w:hanging="720"/>
        <w:jc w:val="both"/>
        <w:rPr>
          <w:color w:val="000000"/>
        </w:rPr>
      </w:pPr>
      <w:r>
        <w:rPr>
          <w:color w:val="000000"/>
        </w:rPr>
        <w:t>6</w:t>
      </w:r>
      <w:r>
        <w:rPr>
          <w:color w:val="000000"/>
        </w:rPr>
        <w:tab/>
        <w:t xml:space="preserve">Li, G.-M., Li, Y.-G., </w:t>
      </w:r>
      <w:proofErr w:type="spellStart"/>
      <w:r>
        <w:rPr>
          <w:color w:val="000000"/>
        </w:rPr>
        <w:t>Yamate</w:t>
      </w:r>
      <w:proofErr w:type="spellEnd"/>
      <w:r>
        <w:rPr>
          <w:color w:val="000000"/>
        </w:rPr>
        <w:t xml:space="preserve">, M., Li, S.-M. &amp; Ikuta, K. Lipid rafts play an important role in the early stage of severe acute respiratory syndrome-coronavirus life cycle. </w:t>
      </w:r>
      <w:r>
        <w:rPr>
          <w:i/>
          <w:color w:val="000000"/>
        </w:rPr>
        <w:t>Microbes and infection</w:t>
      </w:r>
      <w:r>
        <w:rPr>
          <w:color w:val="000000"/>
        </w:rPr>
        <w:t xml:space="preserve"> </w:t>
      </w:r>
      <w:r>
        <w:rPr>
          <w:b/>
          <w:color w:val="000000"/>
        </w:rPr>
        <w:t>9</w:t>
      </w:r>
      <w:r>
        <w:rPr>
          <w:color w:val="000000"/>
        </w:rPr>
        <w:t>, 96-102 (2007).</w:t>
      </w:r>
    </w:p>
    <w:p w14:paraId="0000004F" w14:textId="77777777" w:rsidR="0036428B" w:rsidRDefault="00831D93">
      <w:pPr>
        <w:pBdr>
          <w:top w:val="nil"/>
          <w:left w:val="nil"/>
          <w:bottom w:val="nil"/>
          <w:right w:val="nil"/>
          <w:between w:val="nil"/>
        </w:pBdr>
        <w:spacing w:after="0" w:line="240" w:lineRule="auto"/>
        <w:ind w:left="720" w:hanging="720"/>
        <w:jc w:val="both"/>
        <w:rPr>
          <w:color w:val="000000"/>
        </w:rPr>
      </w:pPr>
      <w:r>
        <w:rPr>
          <w:color w:val="000000"/>
        </w:rPr>
        <w:t>7</w:t>
      </w:r>
      <w:r>
        <w:rPr>
          <w:color w:val="000000"/>
        </w:rPr>
        <w:tab/>
      </w:r>
      <w:proofErr w:type="spellStart"/>
      <w:r>
        <w:rPr>
          <w:color w:val="000000"/>
        </w:rPr>
        <w:t>Glende</w:t>
      </w:r>
      <w:proofErr w:type="spellEnd"/>
      <w:r>
        <w:rPr>
          <w:color w:val="000000"/>
        </w:rPr>
        <w:t>, J.</w:t>
      </w:r>
      <w:r>
        <w:rPr>
          <w:i/>
          <w:color w:val="000000"/>
        </w:rPr>
        <w:t xml:space="preserve"> et al.</w:t>
      </w:r>
      <w:r>
        <w:rPr>
          <w:color w:val="000000"/>
        </w:rPr>
        <w:t xml:space="preserve"> Importance of cholesterol-rich membrane microdomains in the interaction of the S protein of SARS-coronavirus with the cellular receptor angiotensin-converting enzyme 2. </w:t>
      </w:r>
      <w:r>
        <w:rPr>
          <w:i/>
          <w:color w:val="000000"/>
        </w:rPr>
        <w:t>Virology</w:t>
      </w:r>
      <w:r>
        <w:rPr>
          <w:color w:val="000000"/>
        </w:rPr>
        <w:t xml:space="preserve"> </w:t>
      </w:r>
      <w:r>
        <w:rPr>
          <w:b/>
          <w:color w:val="000000"/>
        </w:rPr>
        <w:t>381</w:t>
      </w:r>
      <w:r>
        <w:rPr>
          <w:color w:val="000000"/>
        </w:rPr>
        <w:t>, 215-221 (2008).</w:t>
      </w:r>
    </w:p>
    <w:p w14:paraId="00000050" w14:textId="77777777" w:rsidR="0036428B" w:rsidRDefault="00831D93">
      <w:pPr>
        <w:pBdr>
          <w:top w:val="nil"/>
          <w:left w:val="nil"/>
          <w:bottom w:val="nil"/>
          <w:right w:val="nil"/>
          <w:between w:val="nil"/>
        </w:pBdr>
        <w:spacing w:after="0" w:line="240" w:lineRule="auto"/>
        <w:ind w:left="720" w:hanging="720"/>
        <w:jc w:val="both"/>
        <w:rPr>
          <w:color w:val="000000"/>
        </w:rPr>
      </w:pPr>
      <w:r>
        <w:rPr>
          <w:color w:val="000000"/>
        </w:rPr>
        <w:t>8</w:t>
      </w:r>
      <w:r>
        <w:rPr>
          <w:color w:val="000000"/>
        </w:rPr>
        <w:tab/>
        <w:t>Zhou, F.</w:t>
      </w:r>
      <w:r>
        <w:rPr>
          <w:i/>
          <w:color w:val="000000"/>
        </w:rPr>
        <w:t xml:space="preserve"> et al.</w:t>
      </w:r>
      <w:r>
        <w:rPr>
          <w:color w:val="000000"/>
        </w:rPr>
        <w:t xml:space="preserve"> Clinical course and risk factors for mortality of adult inpatients with COVID-19 in Wuhan, China: a retrospective cohort study. </w:t>
      </w:r>
      <w:r>
        <w:rPr>
          <w:i/>
          <w:color w:val="000000"/>
        </w:rPr>
        <w:t xml:space="preserve">The </w:t>
      </w:r>
      <w:r>
        <w:rPr>
          <w:i/>
        </w:rPr>
        <w:t>Lancet</w:t>
      </w:r>
      <w:r>
        <w:rPr>
          <w:color w:val="000000"/>
        </w:rPr>
        <w:t xml:space="preserve"> </w:t>
      </w:r>
      <w:r>
        <w:rPr>
          <w:b/>
          <w:color w:val="000000"/>
        </w:rPr>
        <w:t>395</w:t>
      </w:r>
      <w:r>
        <w:rPr>
          <w:color w:val="000000"/>
        </w:rPr>
        <w:t>, 1054-1062 (2020).</w:t>
      </w:r>
    </w:p>
    <w:p w14:paraId="00000051" w14:textId="77777777" w:rsidR="0036428B" w:rsidRDefault="00831D93">
      <w:pPr>
        <w:pBdr>
          <w:top w:val="nil"/>
          <w:left w:val="nil"/>
          <w:bottom w:val="nil"/>
          <w:right w:val="nil"/>
          <w:between w:val="nil"/>
        </w:pBdr>
        <w:spacing w:after="0" w:line="240" w:lineRule="auto"/>
        <w:ind w:left="720" w:hanging="720"/>
        <w:jc w:val="both"/>
        <w:rPr>
          <w:color w:val="000000"/>
        </w:rPr>
      </w:pPr>
      <w:r>
        <w:rPr>
          <w:color w:val="000000"/>
        </w:rPr>
        <w:t>9</w:t>
      </w:r>
      <w:r>
        <w:rPr>
          <w:color w:val="000000"/>
        </w:rPr>
        <w:tab/>
      </w:r>
      <w:proofErr w:type="spellStart"/>
      <w:r>
        <w:rPr>
          <w:color w:val="000000"/>
        </w:rPr>
        <w:t>Mandal</w:t>
      </w:r>
      <w:proofErr w:type="spellEnd"/>
      <w:r>
        <w:rPr>
          <w:color w:val="000000"/>
        </w:rPr>
        <w:t xml:space="preserve">, C. C., Sharma, A., Panwar, M. S. &amp; </w:t>
      </w:r>
      <w:proofErr w:type="spellStart"/>
      <w:r>
        <w:rPr>
          <w:color w:val="000000"/>
        </w:rPr>
        <w:t>Radosevich</w:t>
      </w:r>
      <w:proofErr w:type="spellEnd"/>
      <w:r>
        <w:rPr>
          <w:color w:val="000000"/>
        </w:rPr>
        <w:t xml:space="preserve">, J. A. Is cholesterol a mediator of cold-induced cancer? </w:t>
      </w:r>
      <w:proofErr w:type="spellStart"/>
      <w:r>
        <w:rPr>
          <w:i/>
          <w:color w:val="000000"/>
        </w:rPr>
        <w:t>Tumor</w:t>
      </w:r>
      <w:proofErr w:type="spellEnd"/>
      <w:r>
        <w:rPr>
          <w:i/>
          <w:color w:val="000000"/>
        </w:rPr>
        <w:t xml:space="preserve"> Biology</w:t>
      </w:r>
      <w:r>
        <w:rPr>
          <w:color w:val="000000"/>
        </w:rPr>
        <w:t xml:space="preserve"> </w:t>
      </w:r>
      <w:r>
        <w:rPr>
          <w:b/>
          <w:color w:val="000000"/>
        </w:rPr>
        <w:t>37</w:t>
      </w:r>
      <w:r>
        <w:rPr>
          <w:color w:val="000000"/>
        </w:rPr>
        <w:t>, 9635-9648, doi</w:t>
      </w:r>
      <w:proofErr w:type="gramStart"/>
      <w:r>
        <w:rPr>
          <w:color w:val="000000"/>
        </w:rPr>
        <w:t>:10.1007</w:t>
      </w:r>
      <w:proofErr w:type="gramEnd"/>
      <w:r>
        <w:rPr>
          <w:color w:val="000000"/>
        </w:rPr>
        <w:t>/s13277-016-4799-2 (2016).</w:t>
      </w:r>
    </w:p>
    <w:p w14:paraId="00000052" w14:textId="77777777" w:rsidR="0036428B" w:rsidRDefault="00831D93">
      <w:pPr>
        <w:pBdr>
          <w:top w:val="nil"/>
          <w:left w:val="nil"/>
          <w:bottom w:val="nil"/>
          <w:right w:val="nil"/>
          <w:between w:val="nil"/>
        </w:pBdr>
        <w:spacing w:after="0" w:line="240" w:lineRule="auto"/>
        <w:ind w:left="720" w:hanging="720"/>
        <w:jc w:val="both"/>
        <w:rPr>
          <w:color w:val="000000"/>
        </w:rPr>
      </w:pPr>
      <w:r>
        <w:rPr>
          <w:color w:val="000000"/>
        </w:rPr>
        <w:t>10</w:t>
      </w:r>
      <w:r>
        <w:rPr>
          <w:color w:val="000000"/>
        </w:rPr>
        <w:tab/>
        <w:t>Chen, S.</w:t>
      </w:r>
      <w:r>
        <w:rPr>
          <w:i/>
          <w:color w:val="000000"/>
        </w:rPr>
        <w:t xml:space="preserve"> et al.</w:t>
      </w:r>
      <w:r>
        <w:rPr>
          <w:color w:val="000000"/>
        </w:rPr>
        <w:t xml:space="preserve"> Revisiting the association between temperature and COVID-19 transmissibility across 117 countries. </w:t>
      </w:r>
      <w:r>
        <w:rPr>
          <w:i/>
          <w:color w:val="000000"/>
        </w:rPr>
        <w:t>ERJ Open Research</w:t>
      </w:r>
      <w:r>
        <w:rPr>
          <w:color w:val="000000"/>
        </w:rPr>
        <w:t xml:space="preserve"> </w:t>
      </w:r>
      <w:r>
        <w:rPr>
          <w:b/>
          <w:color w:val="000000"/>
        </w:rPr>
        <w:t>6</w:t>
      </w:r>
      <w:r>
        <w:rPr>
          <w:color w:val="000000"/>
        </w:rPr>
        <w:t xml:space="preserve"> (2020).</w:t>
      </w:r>
    </w:p>
    <w:p w14:paraId="00000053" w14:textId="77777777" w:rsidR="0036428B" w:rsidRDefault="00831D93">
      <w:pPr>
        <w:pBdr>
          <w:top w:val="nil"/>
          <w:left w:val="nil"/>
          <w:bottom w:val="nil"/>
          <w:right w:val="nil"/>
          <w:between w:val="nil"/>
        </w:pBdr>
        <w:spacing w:after="0" w:line="240" w:lineRule="auto"/>
        <w:ind w:left="720" w:hanging="720"/>
        <w:jc w:val="both"/>
        <w:rPr>
          <w:color w:val="000000"/>
        </w:rPr>
      </w:pPr>
      <w:r>
        <w:rPr>
          <w:color w:val="000000"/>
        </w:rPr>
        <w:t>11</w:t>
      </w:r>
      <w:r>
        <w:rPr>
          <w:color w:val="000000"/>
        </w:rPr>
        <w:tab/>
        <w:t xml:space="preserve">Gupta, D. Effect of ambient temperature on COVID-19 infection rate. </w:t>
      </w:r>
      <w:r>
        <w:rPr>
          <w:i/>
          <w:color w:val="000000"/>
        </w:rPr>
        <w:t>Available at SSRN 3558470</w:t>
      </w:r>
      <w:r>
        <w:rPr>
          <w:color w:val="000000"/>
        </w:rPr>
        <w:t xml:space="preserve"> (2020).</w:t>
      </w:r>
    </w:p>
    <w:p w14:paraId="00000054" w14:textId="77777777" w:rsidR="0036428B" w:rsidRDefault="00831D93">
      <w:pPr>
        <w:pBdr>
          <w:top w:val="nil"/>
          <w:left w:val="nil"/>
          <w:bottom w:val="nil"/>
          <w:right w:val="nil"/>
          <w:between w:val="nil"/>
        </w:pBdr>
        <w:spacing w:after="0" w:line="240" w:lineRule="auto"/>
        <w:ind w:left="720" w:hanging="720"/>
        <w:jc w:val="both"/>
        <w:rPr>
          <w:color w:val="000000"/>
        </w:rPr>
      </w:pPr>
      <w:r>
        <w:rPr>
          <w:color w:val="000000"/>
        </w:rPr>
        <w:t>12</w:t>
      </w:r>
      <w:r>
        <w:rPr>
          <w:color w:val="000000"/>
        </w:rPr>
        <w:tab/>
        <w:t xml:space="preserve">Roy, I. The role of temperature on the global spread of COVID-19 and urgent solutions. </w:t>
      </w:r>
      <w:r>
        <w:rPr>
          <w:i/>
          <w:color w:val="000000"/>
        </w:rPr>
        <w:t>International Journal of Environmental Science and Technology</w:t>
      </w:r>
      <w:r>
        <w:rPr>
          <w:color w:val="000000"/>
        </w:rPr>
        <w:t>, 1-20 (2020).</w:t>
      </w:r>
    </w:p>
    <w:p w14:paraId="00000055" w14:textId="77777777" w:rsidR="0036428B" w:rsidRDefault="00831D93">
      <w:pPr>
        <w:pBdr>
          <w:top w:val="nil"/>
          <w:left w:val="nil"/>
          <w:bottom w:val="nil"/>
          <w:right w:val="nil"/>
          <w:between w:val="nil"/>
        </w:pBdr>
        <w:spacing w:after="0" w:line="240" w:lineRule="auto"/>
        <w:ind w:left="720" w:hanging="720"/>
        <w:jc w:val="both"/>
        <w:rPr>
          <w:color w:val="000000"/>
        </w:rPr>
      </w:pPr>
      <w:r>
        <w:rPr>
          <w:color w:val="000000"/>
        </w:rPr>
        <w:t>13</w:t>
      </w:r>
      <w:r>
        <w:rPr>
          <w:color w:val="000000"/>
        </w:rPr>
        <w:tab/>
      </w:r>
      <w:proofErr w:type="spellStart"/>
      <w:r>
        <w:rPr>
          <w:color w:val="000000"/>
        </w:rPr>
        <w:t>Bigoni</w:t>
      </w:r>
      <w:proofErr w:type="spellEnd"/>
      <w:r>
        <w:rPr>
          <w:color w:val="000000"/>
        </w:rPr>
        <w:t xml:space="preserve">, A. &amp; Fink, G. Adding to the debate on the influence of temperature on </w:t>
      </w:r>
      <w:r>
        <w:t>coronavirus</w:t>
      </w:r>
      <w:r>
        <w:rPr>
          <w:color w:val="000000"/>
        </w:rPr>
        <w:t xml:space="preserve"> disease (COVID-19): the case of Brazil. </w:t>
      </w:r>
      <w:r>
        <w:rPr>
          <w:i/>
          <w:color w:val="000000"/>
        </w:rPr>
        <w:t>Public Health</w:t>
      </w:r>
      <w:r>
        <w:rPr>
          <w:color w:val="000000"/>
        </w:rPr>
        <w:t xml:space="preserve"> </w:t>
      </w:r>
      <w:r>
        <w:rPr>
          <w:b/>
          <w:color w:val="000000"/>
        </w:rPr>
        <w:t>187</w:t>
      </w:r>
      <w:r>
        <w:rPr>
          <w:color w:val="000000"/>
        </w:rPr>
        <w:t>, 74-76 (2020).</w:t>
      </w:r>
    </w:p>
    <w:p w14:paraId="00000056" w14:textId="77777777" w:rsidR="0036428B" w:rsidRDefault="00831D93">
      <w:pPr>
        <w:pBdr>
          <w:top w:val="nil"/>
          <w:left w:val="nil"/>
          <w:bottom w:val="nil"/>
          <w:right w:val="nil"/>
          <w:between w:val="nil"/>
        </w:pBdr>
        <w:spacing w:after="0" w:line="240" w:lineRule="auto"/>
        <w:ind w:left="720" w:hanging="720"/>
        <w:jc w:val="both"/>
        <w:rPr>
          <w:color w:val="000000"/>
        </w:rPr>
      </w:pPr>
      <w:r>
        <w:rPr>
          <w:color w:val="000000"/>
        </w:rPr>
        <w:lastRenderedPageBreak/>
        <w:t>14</w:t>
      </w:r>
      <w:r>
        <w:rPr>
          <w:color w:val="000000"/>
        </w:rPr>
        <w:tab/>
        <w:t>Yao, Y.</w:t>
      </w:r>
      <w:r>
        <w:rPr>
          <w:i/>
          <w:color w:val="000000"/>
        </w:rPr>
        <w:t xml:space="preserve"> et al.</w:t>
      </w:r>
      <w:r>
        <w:rPr>
          <w:color w:val="000000"/>
        </w:rPr>
        <w:t xml:space="preserve"> No association of COVID-19 transmission with temperature or UV radiation in Chinese cities. </w:t>
      </w:r>
      <w:r>
        <w:rPr>
          <w:i/>
          <w:color w:val="000000"/>
        </w:rPr>
        <w:t>European Respiratory Journal</w:t>
      </w:r>
      <w:r>
        <w:rPr>
          <w:color w:val="000000"/>
        </w:rPr>
        <w:t xml:space="preserve"> </w:t>
      </w:r>
      <w:r>
        <w:rPr>
          <w:b/>
          <w:color w:val="000000"/>
        </w:rPr>
        <w:t>55</w:t>
      </w:r>
      <w:r>
        <w:rPr>
          <w:color w:val="000000"/>
        </w:rPr>
        <w:t xml:space="preserve"> (2020).</w:t>
      </w:r>
    </w:p>
    <w:p w14:paraId="00000057" w14:textId="77777777" w:rsidR="0036428B" w:rsidRDefault="00831D93">
      <w:pPr>
        <w:pBdr>
          <w:top w:val="nil"/>
          <w:left w:val="nil"/>
          <w:bottom w:val="nil"/>
          <w:right w:val="nil"/>
          <w:between w:val="nil"/>
        </w:pBdr>
        <w:spacing w:after="0" w:line="240" w:lineRule="auto"/>
        <w:ind w:left="720" w:hanging="720"/>
        <w:jc w:val="both"/>
        <w:rPr>
          <w:color w:val="000000"/>
        </w:rPr>
      </w:pPr>
      <w:r>
        <w:rPr>
          <w:color w:val="000000"/>
        </w:rPr>
        <w:t>15</w:t>
      </w:r>
      <w:r>
        <w:rPr>
          <w:color w:val="000000"/>
        </w:rPr>
        <w:tab/>
      </w:r>
      <w:proofErr w:type="spellStart"/>
      <w:r>
        <w:rPr>
          <w:color w:val="000000"/>
        </w:rPr>
        <w:t>Lowen</w:t>
      </w:r>
      <w:proofErr w:type="spellEnd"/>
      <w:r>
        <w:rPr>
          <w:color w:val="000000"/>
        </w:rPr>
        <w:t xml:space="preserve">, A. C. &amp; Steel, J. Roles of humidity and temperature in shaping influenza seasonality. </w:t>
      </w:r>
      <w:r>
        <w:rPr>
          <w:i/>
          <w:color w:val="000000"/>
        </w:rPr>
        <w:t>Journal of virology</w:t>
      </w:r>
      <w:r>
        <w:rPr>
          <w:color w:val="000000"/>
        </w:rPr>
        <w:t xml:space="preserve"> </w:t>
      </w:r>
      <w:r>
        <w:rPr>
          <w:b/>
          <w:color w:val="000000"/>
        </w:rPr>
        <w:t>88</w:t>
      </w:r>
      <w:r>
        <w:rPr>
          <w:color w:val="000000"/>
        </w:rPr>
        <w:t>, 7692-7695 (2014).</w:t>
      </w:r>
    </w:p>
    <w:p w14:paraId="00000058" w14:textId="77777777" w:rsidR="0036428B" w:rsidRDefault="00831D93">
      <w:pPr>
        <w:pBdr>
          <w:top w:val="nil"/>
          <w:left w:val="nil"/>
          <w:bottom w:val="nil"/>
          <w:right w:val="nil"/>
          <w:between w:val="nil"/>
        </w:pBdr>
        <w:spacing w:after="0" w:line="240" w:lineRule="auto"/>
        <w:ind w:left="720" w:hanging="720"/>
        <w:jc w:val="both"/>
        <w:rPr>
          <w:color w:val="000000"/>
        </w:rPr>
      </w:pPr>
      <w:r>
        <w:rPr>
          <w:color w:val="000000"/>
        </w:rPr>
        <w:t>16</w:t>
      </w:r>
      <w:r>
        <w:rPr>
          <w:color w:val="000000"/>
        </w:rPr>
        <w:tab/>
        <w:t>Chan, K.-H.</w:t>
      </w:r>
      <w:r>
        <w:rPr>
          <w:i/>
          <w:color w:val="000000"/>
        </w:rPr>
        <w:t xml:space="preserve"> </w:t>
      </w:r>
      <w:proofErr w:type="gramStart"/>
      <w:r>
        <w:rPr>
          <w:i/>
          <w:color w:val="000000"/>
        </w:rPr>
        <w:t>et</w:t>
      </w:r>
      <w:proofErr w:type="gramEnd"/>
      <w:r>
        <w:rPr>
          <w:i/>
          <w:color w:val="000000"/>
        </w:rPr>
        <w:t xml:space="preserve"> al.</w:t>
      </w:r>
      <w:r>
        <w:rPr>
          <w:color w:val="000000"/>
        </w:rPr>
        <w:t xml:space="preserve"> The effects of temperature and relative humidity on the viability of the SARS coronavirus. </w:t>
      </w:r>
      <w:r>
        <w:rPr>
          <w:i/>
          <w:color w:val="000000"/>
        </w:rPr>
        <w:t>Advances in virology</w:t>
      </w:r>
      <w:r>
        <w:rPr>
          <w:color w:val="000000"/>
        </w:rPr>
        <w:t xml:space="preserve"> </w:t>
      </w:r>
      <w:r>
        <w:rPr>
          <w:b/>
          <w:color w:val="000000"/>
        </w:rPr>
        <w:t>2011</w:t>
      </w:r>
      <w:r>
        <w:rPr>
          <w:color w:val="000000"/>
        </w:rPr>
        <w:t xml:space="preserve"> (2011).</w:t>
      </w:r>
    </w:p>
    <w:p w14:paraId="00000059" w14:textId="77777777" w:rsidR="0036428B" w:rsidRDefault="00831D93">
      <w:pPr>
        <w:pBdr>
          <w:top w:val="nil"/>
          <w:left w:val="nil"/>
          <w:bottom w:val="nil"/>
          <w:right w:val="nil"/>
          <w:between w:val="nil"/>
        </w:pBdr>
        <w:spacing w:after="0" w:line="240" w:lineRule="auto"/>
        <w:ind w:left="720" w:hanging="720"/>
        <w:jc w:val="both"/>
        <w:rPr>
          <w:color w:val="000000"/>
        </w:rPr>
      </w:pPr>
      <w:r>
        <w:rPr>
          <w:color w:val="000000"/>
        </w:rPr>
        <w:t>17</w:t>
      </w:r>
      <w:r>
        <w:rPr>
          <w:color w:val="000000"/>
        </w:rPr>
        <w:tab/>
      </w:r>
      <w:proofErr w:type="spellStart"/>
      <w:r>
        <w:rPr>
          <w:color w:val="000000"/>
        </w:rPr>
        <w:t>Altamimi</w:t>
      </w:r>
      <w:proofErr w:type="spellEnd"/>
      <w:r>
        <w:rPr>
          <w:color w:val="000000"/>
        </w:rPr>
        <w:t xml:space="preserve">, A. &amp; Ahmed, A. E. Climate factors and incidence of Middle East respiratory syndrome coronavirus. </w:t>
      </w:r>
      <w:r>
        <w:rPr>
          <w:i/>
          <w:color w:val="000000"/>
        </w:rPr>
        <w:t>Journal of Infection and Public Health</w:t>
      </w:r>
      <w:r>
        <w:rPr>
          <w:color w:val="000000"/>
        </w:rPr>
        <w:t xml:space="preserve"> </w:t>
      </w:r>
      <w:r>
        <w:rPr>
          <w:b/>
          <w:color w:val="000000"/>
        </w:rPr>
        <w:t>13</w:t>
      </w:r>
      <w:r>
        <w:rPr>
          <w:color w:val="000000"/>
        </w:rPr>
        <w:t>, 704-708 (2020).</w:t>
      </w:r>
    </w:p>
    <w:p w14:paraId="0000005A" w14:textId="77777777" w:rsidR="0036428B" w:rsidRDefault="00831D93">
      <w:pPr>
        <w:pBdr>
          <w:top w:val="nil"/>
          <w:left w:val="nil"/>
          <w:bottom w:val="nil"/>
          <w:right w:val="nil"/>
          <w:between w:val="nil"/>
        </w:pBdr>
        <w:spacing w:after="0" w:line="240" w:lineRule="auto"/>
        <w:ind w:left="720" w:hanging="720"/>
        <w:jc w:val="both"/>
        <w:rPr>
          <w:color w:val="000000"/>
        </w:rPr>
      </w:pPr>
      <w:r>
        <w:rPr>
          <w:color w:val="000000"/>
        </w:rPr>
        <w:t>18</w:t>
      </w:r>
      <w:r>
        <w:rPr>
          <w:color w:val="000000"/>
        </w:rPr>
        <w:tab/>
        <w:t>Ran, J.</w:t>
      </w:r>
      <w:r>
        <w:rPr>
          <w:i/>
          <w:color w:val="000000"/>
        </w:rPr>
        <w:t xml:space="preserve"> et al.</w:t>
      </w:r>
      <w:r>
        <w:rPr>
          <w:color w:val="000000"/>
        </w:rPr>
        <w:t xml:space="preserve"> A re-analysis in exploring the association between temperature and COVID-19 transmissibility: an ecological study with 154 Chinese cities. </w:t>
      </w:r>
      <w:proofErr w:type="spellStart"/>
      <w:r>
        <w:rPr>
          <w:i/>
          <w:color w:val="000000"/>
        </w:rPr>
        <w:t>Eur</w:t>
      </w:r>
      <w:proofErr w:type="spellEnd"/>
      <w:r>
        <w:rPr>
          <w:i/>
          <w:color w:val="000000"/>
        </w:rPr>
        <w:t xml:space="preserve"> </w:t>
      </w:r>
      <w:proofErr w:type="spellStart"/>
      <w:r>
        <w:rPr>
          <w:i/>
          <w:color w:val="000000"/>
        </w:rPr>
        <w:t>Respir</w:t>
      </w:r>
      <w:proofErr w:type="spellEnd"/>
      <w:r>
        <w:rPr>
          <w:i/>
          <w:color w:val="000000"/>
        </w:rPr>
        <w:t xml:space="preserve"> J</w:t>
      </w:r>
      <w:r>
        <w:rPr>
          <w:color w:val="000000"/>
        </w:rPr>
        <w:t xml:space="preserve"> </w:t>
      </w:r>
      <w:r>
        <w:rPr>
          <w:b/>
          <w:color w:val="000000"/>
        </w:rPr>
        <w:t>56</w:t>
      </w:r>
      <w:r>
        <w:rPr>
          <w:color w:val="000000"/>
        </w:rPr>
        <w:t>, 2001253, doi:10.1183/13993003.01253-2020 (2020).</w:t>
      </w:r>
    </w:p>
    <w:p w14:paraId="0000005B" w14:textId="77777777" w:rsidR="0036428B" w:rsidRDefault="00831D93">
      <w:pPr>
        <w:pBdr>
          <w:top w:val="nil"/>
          <w:left w:val="nil"/>
          <w:bottom w:val="nil"/>
          <w:right w:val="nil"/>
          <w:between w:val="nil"/>
        </w:pBdr>
        <w:spacing w:after="0" w:line="240" w:lineRule="auto"/>
        <w:ind w:left="720" w:hanging="720"/>
        <w:jc w:val="both"/>
        <w:rPr>
          <w:color w:val="000000"/>
        </w:rPr>
      </w:pPr>
      <w:r>
        <w:rPr>
          <w:color w:val="000000"/>
        </w:rPr>
        <w:t>19</w:t>
      </w:r>
      <w:r>
        <w:rPr>
          <w:color w:val="000000"/>
        </w:rPr>
        <w:tab/>
      </w:r>
      <w:proofErr w:type="spellStart"/>
      <w:r>
        <w:rPr>
          <w:color w:val="000000"/>
        </w:rPr>
        <w:t>Zaki</w:t>
      </w:r>
      <w:proofErr w:type="spellEnd"/>
      <w:r>
        <w:rPr>
          <w:color w:val="000000"/>
        </w:rPr>
        <w:t xml:space="preserve">, N., </w:t>
      </w:r>
      <w:proofErr w:type="spellStart"/>
      <w:r>
        <w:rPr>
          <w:color w:val="000000"/>
        </w:rPr>
        <w:t>Alashwal</w:t>
      </w:r>
      <w:proofErr w:type="spellEnd"/>
      <w:r>
        <w:rPr>
          <w:color w:val="000000"/>
        </w:rPr>
        <w:t xml:space="preserve">, H. &amp; Ibrahim, S. Association of hypertension, diabetes, stroke, cancer, kidney disease, and high-cholesterol with COVID-19 disease severity and fatality: A systematic review. </w:t>
      </w:r>
      <w:r>
        <w:rPr>
          <w:i/>
          <w:color w:val="000000"/>
        </w:rPr>
        <w:t>Diabetes &amp; Metabolic Syndrome: Clinical Research &amp; Reviews</w:t>
      </w:r>
      <w:r>
        <w:rPr>
          <w:color w:val="000000"/>
        </w:rPr>
        <w:t xml:space="preserve"> </w:t>
      </w:r>
      <w:r>
        <w:rPr>
          <w:b/>
          <w:color w:val="000000"/>
        </w:rPr>
        <w:t>14</w:t>
      </w:r>
      <w:r>
        <w:rPr>
          <w:color w:val="000000"/>
        </w:rPr>
        <w:t>, 1133-1142 (2020).</w:t>
      </w:r>
    </w:p>
    <w:p w14:paraId="0000005C" w14:textId="77777777" w:rsidR="0036428B" w:rsidRDefault="00831D93">
      <w:pPr>
        <w:pBdr>
          <w:top w:val="nil"/>
          <w:left w:val="nil"/>
          <w:bottom w:val="nil"/>
          <w:right w:val="nil"/>
          <w:between w:val="nil"/>
        </w:pBdr>
        <w:spacing w:after="0" w:line="240" w:lineRule="auto"/>
        <w:ind w:left="720" w:hanging="720"/>
        <w:jc w:val="both"/>
        <w:rPr>
          <w:color w:val="000000"/>
        </w:rPr>
      </w:pPr>
      <w:r>
        <w:rPr>
          <w:color w:val="000000"/>
        </w:rPr>
        <w:t>20</w:t>
      </w:r>
      <w:r>
        <w:rPr>
          <w:color w:val="000000"/>
        </w:rPr>
        <w:tab/>
      </w:r>
      <w:proofErr w:type="spellStart"/>
      <w:r>
        <w:rPr>
          <w:color w:val="000000"/>
        </w:rPr>
        <w:t>Bajimaya</w:t>
      </w:r>
      <w:proofErr w:type="spellEnd"/>
      <w:r>
        <w:rPr>
          <w:color w:val="000000"/>
        </w:rPr>
        <w:t xml:space="preserve">, S., </w:t>
      </w:r>
      <w:proofErr w:type="spellStart"/>
      <w:r>
        <w:rPr>
          <w:color w:val="000000"/>
        </w:rPr>
        <w:t>Frankl</w:t>
      </w:r>
      <w:proofErr w:type="spellEnd"/>
      <w:r>
        <w:rPr>
          <w:color w:val="000000"/>
        </w:rPr>
        <w:t xml:space="preserve">, T., Hayashi, T. &amp; </w:t>
      </w:r>
      <w:proofErr w:type="spellStart"/>
      <w:r>
        <w:rPr>
          <w:color w:val="000000"/>
        </w:rPr>
        <w:t>Takimoto</w:t>
      </w:r>
      <w:proofErr w:type="spellEnd"/>
      <w:r>
        <w:rPr>
          <w:color w:val="000000"/>
        </w:rPr>
        <w:t xml:space="preserve">, T. Cholesterol is required for stability and infectivity of influenza A and respiratory syncytial viruses. </w:t>
      </w:r>
      <w:r>
        <w:rPr>
          <w:i/>
          <w:color w:val="000000"/>
        </w:rPr>
        <w:t>Virology</w:t>
      </w:r>
      <w:r>
        <w:rPr>
          <w:color w:val="000000"/>
        </w:rPr>
        <w:t xml:space="preserve"> </w:t>
      </w:r>
      <w:r>
        <w:rPr>
          <w:b/>
          <w:color w:val="000000"/>
        </w:rPr>
        <w:t>510</w:t>
      </w:r>
      <w:r>
        <w:rPr>
          <w:color w:val="000000"/>
        </w:rPr>
        <w:t>, 234-241, doi:10.1016/j.virol.2017.07.024 (2017).</w:t>
      </w:r>
    </w:p>
    <w:p w14:paraId="0000005D" w14:textId="77777777" w:rsidR="0036428B" w:rsidRDefault="00831D93">
      <w:pPr>
        <w:pBdr>
          <w:top w:val="nil"/>
          <w:left w:val="nil"/>
          <w:bottom w:val="nil"/>
          <w:right w:val="nil"/>
          <w:between w:val="nil"/>
        </w:pBdr>
        <w:spacing w:after="0" w:line="240" w:lineRule="auto"/>
        <w:ind w:left="720" w:hanging="720"/>
        <w:jc w:val="both"/>
        <w:rPr>
          <w:color w:val="000000"/>
        </w:rPr>
      </w:pPr>
      <w:r>
        <w:rPr>
          <w:color w:val="000000"/>
        </w:rPr>
        <w:t>21</w:t>
      </w:r>
      <w:r>
        <w:rPr>
          <w:color w:val="000000"/>
        </w:rPr>
        <w:tab/>
        <w:t xml:space="preserve">Wang, H., Yuan, Z., </w:t>
      </w:r>
      <w:proofErr w:type="spellStart"/>
      <w:r>
        <w:rPr>
          <w:color w:val="000000"/>
        </w:rPr>
        <w:t>Pavel</w:t>
      </w:r>
      <w:proofErr w:type="spellEnd"/>
      <w:r>
        <w:rPr>
          <w:color w:val="000000"/>
        </w:rPr>
        <w:t xml:space="preserve">, M. A. &amp; Hansen, S. B. The role of high cholesterol in age-related COVID19 lethality. </w:t>
      </w:r>
      <w:proofErr w:type="spellStart"/>
      <w:proofErr w:type="gramStart"/>
      <w:r>
        <w:rPr>
          <w:i/>
          <w:color w:val="000000"/>
        </w:rPr>
        <w:t>bioRxiv</w:t>
      </w:r>
      <w:proofErr w:type="spellEnd"/>
      <w:proofErr w:type="gramEnd"/>
      <w:r>
        <w:rPr>
          <w:color w:val="000000"/>
        </w:rPr>
        <w:t xml:space="preserve"> (2020).</w:t>
      </w:r>
    </w:p>
    <w:p w14:paraId="0000005E" w14:textId="77777777" w:rsidR="0036428B" w:rsidRDefault="00831D93">
      <w:pPr>
        <w:pBdr>
          <w:top w:val="nil"/>
          <w:left w:val="nil"/>
          <w:bottom w:val="nil"/>
          <w:right w:val="nil"/>
          <w:between w:val="nil"/>
        </w:pBdr>
        <w:spacing w:after="0" w:line="240" w:lineRule="auto"/>
        <w:ind w:left="720" w:hanging="720"/>
        <w:jc w:val="both"/>
        <w:rPr>
          <w:color w:val="000000"/>
        </w:rPr>
      </w:pPr>
      <w:r>
        <w:rPr>
          <w:color w:val="000000"/>
        </w:rPr>
        <w:t>22</w:t>
      </w:r>
      <w:r>
        <w:rPr>
          <w:color w:val="000000"/>
        </w:rPr>
        <w:tab/>
        <w:t xml:space="preserve">Lu, Y., Liu, D. X. &amp; Tam, J. P. Lipid rafts are involved in SARS-CoV entry into Vero E6 cells. </w:t>
      </w:r>
      <w:r>
        <w:rPr>
          <w:i/>
          <w:color w:val="000000"/>
        </w:rPr>
        <w:t>Biochemical and biophysical research communications</w:t>
      </w:r>
      <w:r>
        <w:rPr>
          <w:color w:val="000000"/>
        </w:rPr>
        <w:t xml:space="preserve"> </w:t>
      </w:r>
      <w:r>
        <w:rPr>
          <w:b/>
          <w:color w:val="000000"/>
        </w:rPr>
        <w:t>369</w:t>
      </w:r>
      <w:r>
        <w:rPr>
          <w:color w:val="000000"/>
        </w:rPr>
        <w:t>, 344-349, doi:10.1016/j.bbrc.2008.02.023 (2008).</w:t>
      </w:r>
    </w:p>
    <w:p w14:paraId="0000005F" w14:textId="77777777" w:rsidR="0036428B" w:rsidRDefault="00831D93">
      <w:pPr>
        <w:pBdr>
          <w:top w:val="nil"/>
          <w:left w:val="nil"/>
          <w:bottom w:val="nil"/>
          <w:right w:val="nil"/>
          <w:between w:val="nil"/>
        </w:pBdr>
        <w:spacing w:after="0" w:line="240" w:lineRule="auto"/>
        <w:ind w:left="720" w:hanging="720"/>
        <w:jc w:val="both"/>
        <w:rPr>
          <w:color w:val="000000"/>
        </w:rPr>
      </w:pPr>
      <w:r>
        <w:rPr>
          <w:color w:val="000000"/>
        </w:rPr>
        <w:t>23</w:t>
      </w:r>
      <w:r>
        <w:rPr>
          <w:color w:val="000000"/>
        </w:rPr>
        <w:tab/>
        <w:t>Tang, Y.</w:t>
      </w:r>
      <w:r>
        <w:rPr>
          <w:i/>
          <w:color w:val="000000"/>
        </w:rPr>
        <w:t xml:space="preserve"> et al.</w:t>
      </w:r>
      <w:r>
        <w:rPr>
          <w:color w:val="000000"/>
        </w:rPr>
        <w:t xml:space="preserve"> Possible mechanisms of cholesterol elevation aggravating COVID-19. </w:t>
      </w:r>
      <w:r>
        <w:rPr>
          <w:i/>
          <w:color w:val="000000"/>
        </w:rPr>
        <w:t>International journal of medical sciences</w:t>
      </w:r>
      <w:r>
        <w:rPr>
          <w:color w:val="000000"/>
        </w:rPr>
        <w:t xml:space="preserve"> </w:t>
      </w:r>
      <w:r>
        <w:rPr>
          <w:b/>
          <w:color w:val="000000"/>
        </w:rPr>
        <w:t>18</w:t>
      </w:r>
      <w:r>
        <w:rPr>
          <w:color w:val="000000"/>
        </w:rPr>
        <w:t>, 3533-3543, doi:10.7150/ijms.62021 (2021).</w:t>
      </w:r>
    </w:p>
    <w:p w14:paraId="00000060" w14:textId="77777777" w:rsidR="0036428B" w:rsidRDefault="00831D93">
      <w:pPr>
        <w:pBdr>
          <w:top w:val="nil"/>
          <w:left w:val="nil"/>
          <w:bottom w:val="nil"/>
          <w:right w:val="nil"/>
          <w:between w:val="nil"/>
        </w:pBdr>
        <w:spacing w:after="0" w:line="240" w:lineRule="auto"/>
        <w:ind w:left="720" w:hanging="720"/>
        <w:jc w:val="both"/>
        <w:rPr>
          <w:color w:val="000000"/>
        </w:rPr>
      </w:pPr>
      <w:r>
        <w:rPr>
          <w:color w:val="000000"/>
        </w:rPr>
        <w:t>24</w:t>
      </w:r>
      <w:r>
        <w:rPr>
          <w:color w:val="000000"/>
        </w:rPr>
        <w:tab/>
      </w:r>
      <w:proofErr w:type="spellStart"/>
      <w:r>
        <w:rPr>
          <w:color w:val="000000"/>
        </w:rPr>
        <w:t>Huttunen</w:t>
      </w:r>
      <w:proofErr w:type="spellEnd"/>
      <w:r>
        <w:rPr>
          <w:color w:val="000000"/>
        </w:rPr>
        <w:t xml:space="preserve">, R. &amp; </w:t>
      </w:r>
      <w:proofErr w:type="spellStart"/>
      <w:r>
        <w:rPr>
          <w:color w:val="000000"/>
        </w:rPr>
        <w:t>Syrjänen</w:t>
      </w:r>
      <w:proofErr w:type="spellEnd"/>
      <w:r>
        <w:rPr>
          <w:color w:val="000000"/>
        </w:rPr>
        <w:t xml:space="preserve">, J. Obesity and the outcome of infection. </w:t>
      </w:r>
      <w:r>
        <w:rPr>
          <w:i/>
          <w:color w:val="000000"/>
        </w:rPr>
        <w:t>The Lancet. Infectious diseases</w:t>
      </w:r>
      <w:r>
        <w:rPr>
          <w:color w:val="000000"/>
        </w:rPr>
        <w:t xml:space="preserve"> </w:t>
      </w:r>
      <w:r>
        <w:rPr>
          <w:b/>
          <w:color w:val="000000"/>
        </w:rPr>
        <w:t>10</w:t>
      </w:r>
      <w:r>
        <w:rPr>
          <w:color w:val="000000"/>
        </w:rPr>
        <w:t>, 442-443 (2010).</w:t>
      </w:r>
    </w:p>
    <w:p w14:paraId="00000061" w14:textId="77777777" w:rsidR="0036428B" w:rsidRDefault="00831D93">
      <w:pPr>
        <w:pBdr>
          <w:top w:val="nil"/>
          <w:left w:val="nil"/>
          <w:bottom w:val="nil"/>
          <w:right w:val="nil"/>
          <w:between w:val="nil"/>
        </w:pBdr>
        <w:spacing w:after="0" w:line="240" w:lineRule="auto"/>
        <w:ind w:left="720" w:hanging="720"/>
        <w:jc w:val="both"/>
        <w:rPr>
          <w:color w:val="000000"/>
        </w:rPr>
      </w:pPr>
      <w:r>
        <w:rPr>
          <w:color w:val="000000"/>
        </w:rPr>
        <w:t>25</w:t>
      </w:r>
      <w:r>
        <w:rPr>
          <w:color w:val="000000"/>
        </w:rPr>
        <w:tab/>
        <w:t xml:space="preserve">Charlton, M. R., </w:t>
      </w:r>
      <w:proofErr w:type="spellStart"/>
      <w:r>
        <w:rPr>
          <w:color w:val="000000"/>
        </w:rPr>
        <w:t>Pockros</w:t>
      </w:r>
      <w:proofErr w:type="spellEnd"/>
      <w:r>
        <w:rPr>
          <w:color w:val="000000"/>
        </w:rPr>
        <w:t xml:space="preserve">, P. J. &amp; Harrison, S. A. Impact of obesity on treatment of chronic hepatitis C. </w:t>
      </w:r>
      <w:proofErr w:type="spellStart"/>
      <w:r>
        <w:rPr>
          <w:i/>
          <w:color w:val="000000"/>
        </w:rPr>
        <w:t>Hepatology</w:t>
      </w:r>
      <w:proofErr w:type="spellEnd"/>
      <w:r>
        <w:rPr>
          <w:color w:val="000000"/>
        </w:rPr>
        <w:t xml:space="preserve"> </w:t>
      </w:r>
      <w:r>
        <w:rPr>
          <w:b/>
          <w:color w:val="000000"/>
        </w:rPr>
        <w:t>43</w:t>
      </w:r>
      <w:r>
        <w:rPr>
          <w:color w:val="000000"/>
        </w:rPr>
        <w:t>, 1177-1186 (2006).</w:t>
      </w:r>
    </w:p>
    <w:p w14:paraId="00000062" w14:textId="77777777" w:rsidR="0036428B" w:rsidRDefault="00831D93">
      <w:pPr>
        <w:pBdr>
          <w:top w:val="nil"/>
          <w:left w:val="nil"/>
          <w:bottom w:val="nil"/>
          <w:right w:val="nil"/>
          <w:between w:val="nil"/>
        </w:pBdr>
        <w:spacing w:after="0" w:line="240" w:lineRule="auto"/>
        <w:ind w:left="720" w:hanging="720"/>
        <w:jc w:val="both"/>
        <w:rPr>
          <w:color w:val="000000"/>
        </w:rPr>
      </w:pPr>
      <w:r>
        <w:rPr>
          <w:color w:val="000000"/>
        </w:rPr>
        <w:t>26</w:t>
      </w:r>
      <w:r>
        <w:rPr>
          <w:color w:val="000000"/>
        </w:rPr>
        <w:tab/>
      </w:r>
      <w:proofErr w:type="spellStart"/>
      <w:r>
        <w:rPr>
          <w:color w:val="000000"/>
        </w:rPr>
        <w:t>Busetto</w:t>
      </w:r>
      <w:proofErr w:type="spellEnd"/>
      <w:r>
        <w:rPr>
          <w:color w:val="000000"/>
        </w:rPr>
        <w:t>, L.</w:t>
      </w:r>
      <w:r>
        <w:rPr>
          <w:i/>
          <w:color w:val="000000"/>
        </w:rPr>
        <w:t xml:space="preserve"> et al.</w:t>
      </w:r>
      <w:r>
        <w:rPr>
          <w:color w:val="000000"/>
        </w:rPr>
        <w:t xml:space="preserve"> Obesity and COVID‐19: an Italian snapshot. </w:t>
      </w:r>
      <w:r>
        <w:rPr>
          <w:i/>
          <w:color w:val="000000"/>
        </w:rPr>
        <w:t>Obesity</w:t>
      </w:r>
      <w:r>
        <w:rPr>
          <w:color w:val="000000"/>
        </w:rPr>
        <w:t xml:space="preserve"> </w:t>
      </w:r>
      <w:r>
        <w:rPr>
          <w:b/>
          <w:color w:val="000000"/>
        </w:rPr>
        <w:t>28</w:t>
      </w:r>
      <w:r>
        <w:rPr>
          <w:color w:val="000000"/>
        </w:rPr>
        <w:t>, 1600-1605 (2020).</w:t>
      </w:r>
    </w:p>
    <w:p w14:paraId="00000063" w14:textId="77777777" w:rsidR="0036428B" w:rsidRDefault="00831D93">
      <w:pPr>
        <w:pBdr>
          <w:top w:val="nil"/>
          <w:left w:val="nil"/>
          <w:bottom w:val="nil"/>
          <w:right w:val="nil"/>
          <w:between w:val="nil"/>
        </w:pBdr>
        <w:spacing w:after="0" w:line="240" w:lineRule="auto"/>
        <w:ind w:left="720" w:hanging="720"/>
        <w:jc w:val="both"/>
        <w:rPr>
          <w:color w:val="000000"/>
        </w:rPr>
      </w:pPr>
      <w:r>
        <w:rPr>
          <w:color w:val="000000"/>
        </w:rPr>
        <w:t>27</w:t>
      </w:r>
      <w:r>
        <w:rPr>
          <w:color w:val="000000"/>
        </w:rPr>
        <w:tab/>
      </w:r>
      <w:proofErr w:type="spellStart"/>
      <w:r>
        <w:rPr>
          <w:color w:val="000000"/>
        </w:rPr>
        <w:t>Simonnet</w:t>
      </w:r>
      <w:proofErr w:type="spellEnd"/>
      <w:r>
        <w:rPr>
          <w:color w:val="000000"/>
        </w:rPr>
        <w:t>, A.</w:t>
      </w:r>
      <w:r>
        <w:rPr>
          <w:i/>
          <w:color w:val="000000"/>
        </w:rPr>
        <w:t xml:space="preserve"> et al.</w:t>
      </w:r>
      <w:r>
        <w:rPr>
          <w:color w:val="000000"/>
        </w:rPr>
        <w:t xml:space="preserve"> High prevalence of obesity in severe acute respiratory syndrome coronavirus‐2 (SARS‐CoV‐2) requiring invasive mechanical ventilation. </w:t>
      </w:r>
      <w:r>
        <w:rPr>
          <w:i/>
          <w:color w:val="000000"/>
        </w:rPr>
        <w:t>Obesity</w:t>
      </w:r>
      <w:r>
        <w:rPr>
          <w:color w:val="000000"/>
        </w:rPr>
        <w:t xml:space="preserve"> </w:t>
      </w:r>
      <w:r>
        <w:rPr>
          <w:b/>
          <w:color w:val="000000"/>
        </w:rPr>
        <w:t>28</w:t>
      </w:r>
      <w:r>
        <w:rPr>
          <w:color w:val="000000"/>
        </w:rPr>
        <w:t>, 1195-1199 (2020).</w:t>
      </w:r>
    </w:p>
    <w:p w14:paraId="00000064" w14:textId="77777777" w:rsidR="0036428B" w:rsidRDefault="00831D93">
      <w:pPr>
        <w:pBdr>
          <w:top w:val="nil"/>
          <w:left w:val="nil"/>
          <w:bottom w:val="nil"/>
          <w:right w:val="nil"/>
          <w:between w:val="nil"/>
        </w:pBdr>
        <w:spacing w:after="0" w:line="240" w:lineRule="auto"/>
        <w:ind w:left="720" w:hanging="720"/>
        <w:jc w:val="both"/>
        <w:rPr>
          <w:color w:val="000000"/>
        </w:rPr>
      </w:pPr>
      <w:r>
        <w:rPr>
          <w:color w:val="000000"/>
        </w:rPr>
        <w:t>28</w:t>
      </w:r>
      <w:r>
        <w:rPr>
          <w:color w:val="000000"/>
        </w:rPr>
        <w:tab/>
        <w:t xml:space="preserve">Al </w:t>
      </w:r>
      <w:proofErr w:type="spellStart"/>
      <w:r>
        <w:rPr>
          <w:color w:val="000000"/>
        </w:rPr>
        <w:t>Heialy</w:t>
      </w:r>
      <w:proofErr w:type="spellEnd"/>
      <w:r>
        <w:rPr>
          <w:color w:val="000000"/>
        </w:rPr>
        <w:t>, S.</w:t>
      </w:r>
      <w:r>
        <w:rPr>
          <w:i/>
          <w:color w:val="000000"/>
        </w:rPr>
        <w:t xml:space="preserve"> et al.</w:t>
      </w:r>
      <w:r>
        <w:rPr>
          <w:color w:val="000000"/>
        </w:rPr>
        <w:t xml:space="preserve"> Regulation of angiotensin-converting enzyme 2 in obesity: Implications for COVID-19. </w:t>
      </w:r>
      <w:r>
        <w:rPr>
          <w:i/>
          <w:color w:val="000000"/>
        </w:rPr>
        <w:t>Frontiers in Physiology</w:t>
      </w:r>
      <w:r>
        <w:rPr>
          <w:color w:val="000000"/>
        </w:rPr>
        <w:t xml:space="preserve"> </w:t>
      </w:r>
      <w:r>
        <w:rPr>
          <w:b/>
          <w:color w:val="000000"/>
        </w:rPr>
        <w:t>11</w:t>
      </w:r>
      <w:r>
        <w:rPr>
          <w:color w:val="000000"/>
        </w:rPr>
        <w:t xml:space="preserve"> (2020).</w:t>
      </w:r>
    </w:p>
    <w:p w14:paraId="00000065" w14:textId="77777777" w:rsidR="0036428B" w:rsidRDefault="00831D93">
      <w:pPr>
        <w:pBdr>
          <w:top w:val="nil"/>
          <w:left w:val="nil"/>
          <w:bottom w:val="nil"/>
          <w:right w:val="nil"/>
          <w:between w:val="nil"/>
        </w:pBdr>
        <w:spacing w:after="0" w:line="240" w:lineRule="auto"/>
        <w:ind w:left="720" w:hanging="720"/>
        <w:jc w:val="both"/>
        <w:rPr>
          <w:color w:val="000000"/>
        </w:rPr>
      </w:pPr>
      <w:r>
        <w:rPr>
          <w:color w:val="000000"/>
        </w:rPr>
        <w:t>29</w:t>
      </w:r>
      <w:r>
        <w:rPr>
          <w:color w:val="000000"/>
        </w:rPr>
        <w:tab/>
        <w:t>Hall, V. J.</w:t>
      </w:r>
      <w:r>
        <w:rPr>
          <w:i/>
          <w:color w:val="000000"/>
        </w:rPr>
        <w:t xml:space="preserve"> et al.</w:t>
      </w:r>
      <w:r>
        <w:rPr>
          <w:color w:val="000000"/>
        </w:rPr>
        <w:t xml:space="preserve"> SARS-CoV-2 infection rates of antibody-positive compared with antibody-negative health-care workers in England: a large, multicentre, prospective cohort study (SIREN). </w:t>
      </w:r>
      <w:r>
        <w:rPr>
          <w:i/>
          <w:color w:val="000000"/>
        </w:rPr>
        <w:t>The Lancet</w:t>
      </w:r>
      <w:r>
        <w:rPr>
          <w:color w:val="000000"/>
        </w:rPr>
        <w:t xml:space="preserve"> </w:t>
      </w:r>
      <w:r>
        <w:rPr>
          <w:b/>
          <w:color w:val="000000"/>
        </w:rPr>
        <w:t>397</w:t>
      </w:r>
      <w:r>
        <w:rPr>
          <w:color w:val="000000"/>
        </w:rPr>
        <w:t>, 1459-1469 (2021).</w:t>
      </w:r>
    </w:p>
    <w:p w14:paraId="00000066" w14:textId="77777777" w:rsidR="0036428B" w:rsidRDefault="00831D93">
      <w:pPr>
        <w:pBdr>
          <w:top w:val="nil"/>
          <w:left w:val="nil"/>
          <w:bottom w:val="nil"/>
          <w:right w:val="nil"/>
          <w:between w:val="nil"/>
        </w:pBdr>
        <w:spacing w:after="0" w:line="240" w:lineRule="auto"/>
        <w:ind w:left="720" w:hanging="720"/>
        <w:jc w:val="both"/>
        <w:rPr>
          <w:color w:val="000000"/>
        </w:rPr>
      </w:pPr>
      <w:r>
        <w:rPr>
          <w:color w:val="000000"/>
        </w:rPr>
        <w:t>30</w:t>
      </w:r>
      <w:r>
        <w:rPr>
          <w:color w:val="000000"/>
        </w:rPr>
        <w:tab/>
        <w:t xml:space="preserve">Krishna, E., Pathak, V. K., Prasad, R., Jose, H. &amp; Kumar, M. M. COVID-19 reinfection: Linked Possibilities and future outlook. </w:t>
      </w:r>
      <w:r>
        <w:rPr>
          <w:i/>
          <w:color w:val="000000"/>
        </w:rPr>
        <w:t>Journal of family medicine and primary care</w:t>
      </w:r>
      <w:r>
        <w:rPr>
          <w:color w:val="000000"/>
        </w:rPr>
        <w:t xml:space="preserve"> </w:t>
      </w:r>
      <w:r>
        <w:rPr>
          <w:b/>
          <w:color w:val="000000"/>
        </w:rPr>
        <w:t>9</w:t>
      </w:r>
      <w:r>
        <w:rPr>
          <w:color w:val="000000"/>
        </w:rPr>
        <w:t>, 5445-5449, doi:10.4103/jfmpc.jfmpc_1672_20 (2020).</w:t>
      </w:r>
    </w:p>
    <w:p w14:paraId="00000067" w14:textId="77777777" w:rsidR="0036428B" w:rsidRDefault="00831D93">
      <w:pPr>
        <w:pBdr>
          <w:top w:val="nil"/>
          <w:left w:val="nil"/>
          <w:bottom w:val="nil"/>
          <w:right w:val="nil"/>
          <w:between w:val="nil"/>
        </w:pBdr>
        <w:spacing w:after="0" w:line="240" w:lineRule="auto"/>
        <w:ind w:left="720" w:hanging="720"/>
        <w:jc w:val="both"/>
        <w:rPr>
          <w:color w:val="000000"/>
        </w:rPr>
      </w:pPr>
      <w:r>
        <w:rPr>
          <w:color w:val="000000"/>
        </w:rPr>
        <w:t>31</w:t>
      </w:r>
      <w:r>
        <w:rPr>
          <w:color w:val="000000"/>
        </w:rPr>
        <w:tab/>
        <w:t xml:space="preserve">Hansen, C. H., </w:t>
      </w:r>
      <w:proofErr w:type="spellStart"/>
      <w:r>
        <w:rPr>
          <w:color w:val="000000"/>
        </w:rPr>
        <w:t>Michlmayr</w:t>
      </w:r>
      <w:proofErr w:type="spellEnd"/>
      <w:r>
        <w:rPr>
          <w:color w:val="000000"/>
        </w:rPr>
        <w:t xml:space="preserve">, D., </w:t>
      </w:r>
      <w:proofErr w:type="spellStart"/>
      <w:r>
        <w:rPr>
          <w:color w:val="000000"/>
        </w:rPr>
        <w:t>Gubbels</w:t>
      </w:r>
      <w:proofErr w:type="spellEnd"/>
      <w:r>
        <w:rPr>
          <w:color w:val="000000"/>
        </w:rPr>
        <w:t xml:space="preserve">, S. M., </w:t>
      </w:r>
      <w:proofErr w:type="spellStart"/>
      <w:r>
        <w:rPr>
          <w:color w:val="000000"/>
        </w:rPr>
        <w:t>Mølbak</w:t>
      </w:r>
      <w:proofErr w:type="spellEnd"/>
      <w:r>
        <w:rPr>
          <w:color w:val="000000"/>
        </w:rPr>
        <w:t xml:space="preserve">, K. &amp; </w:t>
      </w:r>
      <w:proofErr w:type="spellStart"/>
      <w:r>
        <w:rPr>
          <w:color w:val="000000"/>
        </w:rPr>
        <w:t>Ethelberg</w:t>
      </w:r>
      <w:proofErr w:type="spellEnd"/>
      <w:r>
        <w:rPr>
          <w:color w:val="000000"/>
        </w:rPr>
        <w:t xml:space="preserve">, S. Assessment of protection against reinfection with SARS-CoV-2 among 4 million PCR-tested individuals in Denmark in 2020: a population-level observational study. </w:t>
      </w:r>
      <w:r>
        <w:rPr>
          <w:i/>
          <w:color w:val="000000"/>
        </w:rPr>
        <w:t>Lancet (London, England)</w:t>
      </w:r>
      <w:r>
        <w:rPr>
          <w:color w:val="000000"/>
        </w:rPr>
        <w:t xml:space="preserve"> </w:t>
      </w:r>
      <w:r>
        <w:rPr>
          <w:b/>
          <w:color w:val="000000"/>
        </w:rPr>
        <w:t>397</w:t>
      </w:r>
      <w:r>
        <w:rPr>
          <w:color w:val="000000"/>
        </w:rPr>
        <w:t>, 1204-1212, doi</w:t>
      </w:r>
      <w:proofErr w:type="gramStart"/>
      <w:r>
        <w:rPr>
          <w:color w:val="000000"/>
        </w:rPr>
        <w:t>:10.1016</w:t>
      </w:r>
      <w:proofErr w:type="gramEnd"/>
      <w:r>
        <w:rPr>
          <w:color w:val="000000"/>
        </w:rPr>
        <w:t>/s0140-6736(21)00575-4 (2021).</w:t>
      </w:r>
    </w:p>
    <w:p w14:paraId="00000068" w14:textId="77777777" w:rsidR="0036428B" w:rsidRDefault="00831D93">
      <w:pPr>
        <w:pBdr>
          <w:top w:val="nil"/>
          <w:left w:val="nil"/>
          <w:bottom w:val="nil"/>
          <w:right w:val="nil"/>
          <w:between w:val="nil"/>
        </w:pBdr>
        <w:spacing w:after="0" w:line="240" w:lineRule="auto"/>
        <w:ind w:left="720" w:hanging="720"/>
        <w:jc w:val="both"/>
        <w:rPr>
          <w:color w:val="000000"/>
        </w:rPr>
      </w:pPr>
      <w:r>
        <w:rPr>
          <w:color w:val="000000"/>
        </w:rPr>
        <w:t>32</w:t>
      </w:r>
      <w:r>
        <w:rPr>
          <w:color w:val="000000"/>
        </w:rPr>
        <w:tab/>
        <w:t>Watanabe, M.</w:t>
      </w:r>
      <w:r>
        <w:rPr>
          <w:i/>
          <w:color w:val="000000"/>
        </w:rPr>
        <w:t xml:space="preserve"> et al.</w:t>
      </w:r>
      <w:r>
        <w:rPr>
          <w:color w:val="000000"/>
        </w:rPr>
        <w:t xml:space="preserve"> Central obesity, smoking habit, and hypertension are associated with lower antibody titres in response to COVID-19 mRNA vaccine. </w:t>
      </w:r>
      <w:r>
        <w:rPr>
          <w:i/>
          <w:color w:val="000000"/>
        </w:rPr>
        <w:t>Diabetes/metabolism research and reviews</w:t>
      </w:r>
      <w:r>
        <w:rPr>
          <w:color w:val="000000"/>
        </w:rPr>
        <w:t>, e3465, doi:10.1002/dmrr.3465 (2021).</w:t>
      </w:r>
    </w:p>
    <w:p w14:paraId="00000069" w14:textId="77777777" w:rsidR="0036428B" w:rsidRDefault="00831D93">
      <w:pPr>
        <w:pBdr>
          <w:top w:val="nil"/>
          <w:left w:val="nil"/>
          <w:bottom w:val="nil"/>
          <w:right w:val="nil"/>
          <w:between w:val="nil"/>
        </w:pBdr>
        <w:spacing w:after="0" w:line="240" w:lineRule="auto"/>
        <w:ind w:left="720" w:hanging="720"/>
        <w:jc w:val="both"/>
        <w:rPr>
          <w:color w:val="000000"/>
        </w:rPr>
      </w:pPr>
      <w:r>
        <w:rPr>
          <w:color w:val="000000"/>
        </w:rPr>
        <w:t>33</w:t>
      </w:r>
      <w:r>
        <w:rPr>
          <w:color w:val="000000"/>
        </w:rPr>
        <w:tab/>
        <w:t xml:space="preserve">Kumar, V. How could we forget </w:t>
      </w:r>
      <w:proofErr w:type="spellStart"/>
      <w:r>
        <w:rPr>
          <w:color w:val="000000"/>
        </w:rPr>
        <w:t>immunometabolism</w:t>
      </w:r>
      <w:proofErr w:type="spellEnd"/>
      <w:r>
        <w:rPr>
          <w:color w:val="000000"/>
        </w:rPr>
        <w:t xml:space="preserve"> in SARS-CoV2 infection or COVID-19? </w:t>
      </w:r>
      <w:r>
        <w:rPr>
          <w:i/>
          <w:color w:val="000000"/>
        </w:rPr>
        <w:t>International reviews of immunology</w:t>
      </w:r>
      <w:r>
        <w:rPr>
          <w:color w:val="000000"/>
        </w:rPr>
        <w:t xml:space="preserve"> </w:t>
      </w:r>
      <w:r>
        <w:rPr>
          <w:b/>
          <w:color w:val="000000"/>
        </w:rPr>
        <w:t>40</w:t>
      </w:r>
      <w:r>
        <w:rPr>
          <w:color w:val="000000"/>
        </w:rPr>
        <w:t>, 72-107, doi:10.1080/08830185.2020.1840567 (2021).</w:t>
      </w:r>
    </w:p>
    <w:p w14:paraId="0000006A" w14:textId="77777777" w:rsidR="0036428B" w:rsidRDefault="00831D93">
      <w:pPr>
        <w:pBdr>
          <w:top w:val="nil"/>
          <w:left w:val="nil"/>
          <w:bottom w:val="nil"/>
          <w:right w:val="nil"/>
          <w:between w:val="nil"/>
        </w:pBdr>
        <w:spacing w:after="0" w:line="240" w:lineRule="auto"/>
        <w:ind w:left="720" w:hanging="720"/>
        <w:jc w:val="both"/>
        <w:rPr>
          <w:color w:val="000000"/>
        </w:rPr>
      </w:pPr>
      <w:r>
        <w:rPr>
          <w:color w:val="000000"/>
        </w:rPr>
        <w:lastRenderedPageBreak/>
        <w:t>34</w:t>
      </w:r>
      <w:r>
        <w:rPr>
          <w:color w:val="000000"/>
        </w:rPr>
        <w:tab/>
        <w:t>Cao, X.</w:t>
      </w:r>
      <w:r>
        <w:rPr>
          <w:i/>
          <w:color w:val="000000"/>
        </w:rPr>
        <w:t xml:space="preserve"> et al.</w:t>
      </w:r>
      <w:r>
        <w:rPr>
          <w:color w:val="000000"/>
        </w:rPr>
        <w:t xml:space="preserve"> ACE2 Pathway Regulates Thermogenesis and Energy Metabolism. </w:t>
      </w:r>
      <w:proofErr w:type="spellStart"/>
      <w:proofErr w:type="gramStart"/>
      <w:r>
        <w:rPr>
          <w:i/>
          <w:color w:val="000000"/>
        </w:rPr>
        <w:t>bioRxiv</w:t>
      </w:r>
      <w:proofErr w:type="spellEnd"/>
      <w:proofErr w:type="gramEnd"/>
      <w:r>
        <w:rPr>
          <w:color w:val="000000"/>
        </w:rPr>
        <w:t>, 2021.2008.2010.455823, doi:10.1101/2021.08.10.455823 (2021).</w:t>
      </w:r>
    </w:p>
    <w:p w14:paraId="0000006B" w14:textId="77777777" w:rsidR="0036428B" w:rsidRDefault="00831D93">
      <w:pPr>
        <w:pBdr>
          <w:top w:val="nil"/>
          <w:left w:val="nil"/>
          <w:bottom w:val="nil"/>
          <w:right w:val="nil"/>
          <w:between w:val="nil"/>
        </w:pBdr>
        <w:spacing w:after="0" w:line="240" w:lineRule="auto"/>
        <w:ind w:left="720" w:hanging="720"/>
        <w:jc w:val="both"/>
        <w:rPr>
          <w:color w:val="000000"/>
        </w:rPr>
      </w:pPr>
      <w:r>
        <w:rPr>
          <w:color w:val="000000"/>
        </w:rPr>
        <w:t>35</w:t>
      </w:r>
      <w:r>
        <w:rPr>
          <w:color w:val="000000"/>
        </w:rPr>
        <w:tab/>
      </w:r>
      <w:proofErr w:type="spellStart"/>
      <w:r>
        <w:rPr>
          <w:color w:val="000000"/>
        </w:rPr>
        <w:t>Ockene</w:t>
      </w:r>
      <w:proofErr w:type="spellEnd"/>
      <w:r>
        <w:rPr>
          <w:color w:val="000000"/>
        </w:rPr>
        <w:t>, I. S.</w:t>
      </w:r>
      <w:r>
        <w:rPr>
          <w:i/>
          <w:color w:val="000000"/>
        </w:rPr>
        <w:t xml:space="preserve"> et al.</w:t>
      </w:r>
      <w:r>
        <w:rPr>
          <w:color w:val="000000"/>
        </w:rPr>
        <w:t xml:space="preserve"> Seasonal variation in serum cholesterol levels: treatment implications and possible mechanisms. </w:t>
      </w:r>
      <w:r>
        <w:rPr>
          <w:i/>
          <w:color w:val="000000"/>
        </w:rPr>
        <w:t>Archives of internal medicine</w:t>
      </w:r>
      <w:r>
        <w:rPr>
          <w:color w:val="000000"/>
        </w:rPr>
        <w:t xml:space="preserve"> </w:t>
      </w:r>
      <w:r>
        <w:rPr>
          <w:b/>
          <w:color w:val="000000"/>
        </w:rPr>
        <w:t>164</w:t>
      </w:r>
      <w:r>
        <w:rPr>
          <w:color w:val="000000"/>
        </w:rPr>
        <w:t>, 863-870, doi:10.1001/archinte.164.8.863 (2004).</w:t>
      </w:r>
    </w:p>
    <w:p w14:paraId="0000006C" w14:textId="77777777" w:rsidR="0036428B" w:rsidRDefault="00831D93">
      <w:pPr>
        <w:pBdr>
          <w:top w:val="nil"/>
          <w:left w:val="nil"/>
          <w:bottom w:val="nil"/>
          <w:right w:val="nil"/>
          <w:between w:val="nil"/>
        </w:pBdr>
        <w:spacing w:after="0" w:line="240" w:lineRule="auto"/>
        <w:ind w:left="720" w:hanging="720"/>
        <w:jc w:val="both"/>
        <w:rPr>
          <w:color w:val="000000"/>
        </w:rPr>
      </w:pPr>
      <w:r>
        <w:rPr>
          <w:color w:val="000000"/>
        </w:rPr>
        <w:t>36</w:t>
      </w:r>
      <w:r>
        <w:rPr>
          <w:color w:val="000000"/>
        </w:rPr>
        <w:tab/>
      </w:r>
      <w:proofErr w:type="spellStart"/>
      <w:r>
        <w:rPr>
          <w:color w:val="000000"/>
        </w:rPr>
        <w:t>Fernández</w:t>
      </w:r>
      <w:proofErr w:type="spellEnd"/>
      <w:r>
        <w:rPr>
          <w:color w:val="000000"/>
        </w:rPr>
        <w:t xml:space="preserve">-Ruiz, I. ACE2 level as a marker of CVD. </w:t>
      </w:r>
      <w:r>
        <w:rPr>
          <w:i/>
          <w:color w:val="000000"/>
        </w:rPr>
        <w:t>Nature reviews. Cardiology</w:t>
      </w:r>
      <w:r>
        <w:rPr>
          <w:color w:val="000000"/>
        </w:rPr>
        <w:t xml:space="preserve"> </w:t>
      </w:r>
      <w:r>
        <w:rPr>
          <w:b/>
          <w:color w:val="000000"/>
        </w:rPr>
        <w:t>17</w:t>
      </w:r>
      <w:r>
        <w:rPr>
          <w:color w:val="000000"/>
        </w:rPr>
        <w:t>, 759, doi</w:t>
      </w:r>
      <w:proofErr w:type="gramStart"/>
      <w:r>
        <w:rPr>
          <w:color w:val="000000"/>
        </w:rPr>
        <w:t>:10.1038</w:t>
      </w:r>
      <w:proofErr w:type="gramEnd"/>
      <w:r>
        <w:rPr>
          <w:color w:val="000000"/>
        </w:rPr>
        <w:t>/s41569-020-00468-2 (2020).</w:t>
      </w:r>
    </w:p>
    <w:p w14:paraId="0000006D" w14:textId="77777777" w:rsidR="0036428B" w:rsidRDefault="00831D93">
      <w:pPr>
        <w:pBdr>
          <w:top w:val="nil"/>
          <w:left w:val="nil"/>
          <w:bottom w:val="nil"/>
          <w:right w:val="nil"/>
          <w:between w:val="nil"/>
        </w:pBdr>
        <w:spacing w:after="0" w:line="240" w:lineRule="auto"/>
        <w:ind w:left="720" w:hanging="720"/>
        <w:jc w:val="both"/>
        <w:rPr>
          <w:color w:val="000000"/>
        </w:rPr>
      </w:pPr>
      <w:r>
        <w:rPr>
          <w:color w:val="000000"/>
        </w:rPr>
        <w:t>37</w:t>
      </w:r>
      <w:r>
        <w:rPr>
          <w:color w:val="000000"/>
        </w:rPr>
        <w:tab/>
        <w:t xml:space="preserve">Al </w:t>
      </w:r>
      <w:proofErr w:type="spellStart"/>
      <w:r>
        <w:rPr>
          <w:color w:val="000000"/>
        </w:rPr>
        <w:t>Heialy</w:t>
      </w:r>
      <w:proofErr w:type="spellEnd"/>
      <w:r>
        <w:rPr>
          <w:color w:val="000000"/>
        </w:rPr>
        <w:t>, S.</w:t>
      </w:r>
      <w:r>
        <w:rPr>
          <w:i/>
          <w:color w:val="000000"/>
        </w:rPr>
        <w:t xml:space="preserve"> et al.</w:t>
      </w:r>
      <w:r>
        <w:rPr>
          <w:color w:val="000000"/>
        </w:rPr>
        <w:t xml:space="preserve"> Regulation of Angiotensin- Converting Enzyme 2 in Obesity: Implications for COVID-19. </w:t>
      </w:r>
      <w:r>
        <w:rPr>
          <w:i/>
          <w:color w:val="000000"/>
        </w:rPr>
        <w:t xml:space="preserve">Front </w:t>
      </w:r>
      <w:proofErr w:type="spellStart"/>
      <w:r>
        <w:rPr>
          <w:i/>
          <w:color w:val="000000"/>
        </w:rPr>
        <w:t>Physiol</w:t>
      </w:r>
      <w:proofErr w:type="spellEnd"/>
      <w:r>
        <w:rPr>
          <w:color w:val="000000"/>
        </w:rPr>
        <w:t xml:space="preserve"> </w:t>
      </w:r>
      <w:r>
        <w:rPr>
          <w:b/>
          <w:color w:val="000000"/>
        </w:rPr>
        <w:t>11</w:t>
      </w:r>
      <w:r>
        <w:rPr>
          <w:color w:val="000000"/>
        </w:rPr>
        <w:t>, 555039, doi:10.3389/fphys.2020.555039 (2020).</w:t>
      </w:r>
    </w:p>
    <w:p w14:paraId="0000006E" w14:textId="77777777" w:rsidR="0036428B" w:rsidRDefault="00831D93">
      <w:pPr>
        <w:pBdr>
          <w:top w:val="nil"/>
          <w:left w:val="nil"/>
          <w:bottom w:val="nil"/>
          <w:right w:val="nil"/>
          <w:between w:val="nil"/>
        </w:pBdr>
        <w:spacing w:after="0" w:line="240" w:lineRule="auto"/>
        <w:ind w:left="720" w:hanging="720"/>
        <w:jc w:val="both"/>
        <w:rPr>
          <w:color w:val="000000"/>
        </w:rPr>
      </w:pPr>
      <w:r>
        <w:rPr>
          <w:color w:val="000000"/>
        </w:rPr>
        <w:t>38</w:t>
      </w:r>
      <w:r>
        <w:rPr>
          <w:color w:val="000000"/>
        </w:rPr>
        <w:tab/>
        <w:t>Herman-Edelstein, M.</w:t>
      </w:r>
      <w:r>
        <w:rPr>
          <w:i/>
          <w:color w:val="000000"/>
        </w:rPr>
        <w:t xml:space="preserve"> et al.</w:t>
      </w:r>
      <w:r>
        <w:rPr>
          <w:color w:val="000000"/>
        </w:rPr>
        <w:t xml:space="preserve"> Expression of the SARS-CoV-2 receptorACE2 in human heart is associated with uncontrolled diabetes, obesity, and activation of the renin angiotensin system. </w:t>
      </w:r>
      <w:r>
        <w:rPr>
          <w:i/>
          <w:color w:val="000000"/>
        </w:rPr>
        <w:t xml:space="preserve">Cardiovascular </w:t>
      </w:r>
      <w:proofErr w:type="spellStart"/>
      <w:r>
        <w:rPr>
          <w:i/>
          <w:color w:val="000000"/>
        </w:rPr>
        <w:t>diabetology</w:t>
      </w:r>
      <w:proofErr w:type="spellEnd"/>
      <w:r>
        <w:rPr>
          <w:color w:val="000000"/>
        </w:rPr>
        <w:t xml:space="preserve"> </w:t>
      </w:r>
      <w:r>
        <w:rPr>
          <w:b/>
          <w:color w:val="000000"/>
        </w:rPr>
        <w:t>20</w:t>
      </w:r>
      <w:r>
        <w:rPr>
          <w:color w:val="000000"/>
        </w:rPr>
        <w:t>, 90, doi</w:t>
      </w:r>
      <w:proofErr w:type="gramStart"/>
      <w:r>
        <w:rPr>
          <w:color w:val="000000"/>
        </w:rPr>
        <w:t>:10.1186</w:t>
      </w:r>
      <w:proofErr w:type="gramEnd"/>
      <w:r>
        <w:rPr>
          <w:color w:val="000000"/>
        </w:rPr>
        <w:t>/s12933-021-01275-w (2021).</w:t>
      </w:r>
    </w:p>
    <w:p w14:paraId="0000006F" w14:textId="77777777" w:rsidR="0036428B" w:rsidRDefault="00831D93">
      <w:pPr>
        <w:pBdr>
          <w:top w:val="nil"/>
          <w:left w:val="nil"/>
          <w:bottom w:val="nil"/>
          <w:right w:val="nil"/>
          <w:between w:val="nil"/>
        </w:pBdr>
        <w:spacing w:after="0" w:line="240" w:lineRule="auto"/>
        <w:ind w:left="720" w:hanging="720"/>
        <w:jc w:val="both"/>
        <w:rPr>
          <w:color w:val="000000"/>
        </w:rPr>
      </w:pPr>
      <w:r>
        <w:rPr>
          <w:color w:val="000000"/>
        </w:rPr>
        <w:t>39</w:t>
      </w:r>
      <w:r>
        <w:rPr>
          <w:color w:val="000000"/>
        </w:rPr>
        <w:tab/>
      </w:r>
      <w:proofErr w:type="spellStart"/>
      <w:r>
        <w:rPr>
          <w:color w:val="000000"/>
        </w:rPr>
        <w:t>Prévost</w:t>
      </w:r>
      <w:proofErr w:type="spellEnd"/>
      <w:r>
        <w:rPr>
          <w:color w:val="000000"/>
        </w:rPr>
        <w:t>, J.</w:t>
      </w:r>
      <w:r>
        <w:rPr>
          <w:i/>
          <w:color w:val="000000"/>
        </w:rPr>
        <w:t xml:space="preserve"> et al.</w:t>
      </w:r>
      <w:r>
        <w:rPr>
          <w:color w:val="000000"/>
        </w:rPr>
        <w:t xml:space="preserve"> Impact of temperature on the affinity of SARS-CoV-2 Spike for ACE2. </w:t>
      </w:r>
      <w:proofErr w:type="spellStart"/>
      <w:proofErr w:type="gramStart"/>
      <w:r>
        <w:rPr>
          <w:i/>
          <w:color w:val="000000"/>
        </w:rPr>
        <w:t>bioRxiv</w:t>
      </w:r>
      <w:proofErr w:type="spellEnd"/>
      <w:proofErr w:type="gramEnd"/>
      <w:r>
        <w:rPr>
          <w:color w:val="000000"/>
        </w:rPr>
        <w:t xml:space="preserve"> (2021).</w:t>
      </w:r>
    </w:p>
    <w:p w14:paraId="00000071" w14:textId="7B0AA610" w:rsidR="0036428B" w:rsidRDefault="00831D93">
      <w:pPr>
        <w:pBdr>
          <w:top w:val="nil"/>
          <w:left w:val="nil"/>
          <w:bottom w:val="nil"/>
          <w:right w:val="nil"/>
          <w:between w:val="nil"/>
        </w:pBdr>
        <w:spacing w:after="0" w:line="240" w:lineRule="auto"/>
        <w:ind w:left="720" w:hanging="720"/>
        <w:jc w:val="both"/>
        <w:rPr>
          <w:color w:val="000000"/>
        </w:rPr>
      </w:pPr>
      <w:r>
        <w:rPr>
          <w:color w:val="000000"/>
        </w:rPr>
        <w:t>40</w:t>
      </w:r>
      <w:r>
        <w:rPr>
          <w:color w:val="000000"/>
        </w:rPr>
        <w:tab/>
        <w:t xml:space="preserve">Wang, H., Yuan, Z., </w:t>
      </w:r>
      <w:proofErr w:type="spellStart"/>
      <w:r>
        <w:rPr>
          <w:color w:val="000000"/>
        </w:rPr>
        <w:t>Pavel</w:t>
      </w:r>
      <w:proofErr w:type="spellEnd"/>
      <w:r>
        <w:rPr>
          <w:color w:val="000000"/>
        </w:rPr>
        <w:t xml:space="preserve">, M. A., Hobson, R. &amp; Hansen, S. B. The role of high cholesterol in age-related COVID19 lethality. </w:t>
      </w:r>
      <w:proofErr w:type="spellStart"/>
      <w:r>
        <w:rPr>
          <w:i/>
          <w:color w:val="000000"/>
        </w:rPr>
        <w:t>Biorxiv</w:t>
      </w:r>
      <w:proofErr w:type="spellEnd"/>
      <w:r>
        <w:rPr>
          <w:color w:val="000000"/>
        </w:rPr>
        <w:t xml:space="preserve"> (2020).</w:t>
      </w:r>
    </w:p>
    <w:p w14:paraId="00000072" w14:textId="336ADFE5" w:rsidR="0036428B" w:rsidRDefault="00831D93">
      <w:pPr>
        <w:pBdr>
          <w:top w:val="nil"/>
          <w:left w:val="nil"/>
          <w:bottom w:val="nil"/>
          <w:right w:val="nil"/>
          <w:between w:val="nil"/>
        </w:pBdr>
        <w:spacing w:after="0" w:line="240" w:lineRule="auto"/>
        <w:ind w:left="720" w:hanging="720"/>
        <w:jc w:val="both"/>
        <w:rPr>
          <w:color w:val="000000"/>
        </w:rPr>
      </w:pPr>
      <w:r>
        <w:rPr>
          <w:color w:val="000000"/>
        </w:rPr>
        <w:t>4</w:t>
      </w:r>
      <w:r w:rsidR="008C6D16">
        <w:rPr>
          <w:color w:val="000000"/>
        </w:rPr>
        <w:t>1</w:t>
      </w:r>
      <w:r>
        <w:rPr>
          <w:color w:val="000000"/>
        </w:rPr>
        <w:tab/>
        <w:t>Mohammad, S.</w:t>
      </w:r>
      <w:r>
        <w:rPr>
          <w:i/>
          <w:color w:val="000000"/>
        </w:rPr>
        <w:t xml:space="preserve"> et al.</w:t>
      </w:r>
      <w:r>
        <w:rPr>
          <w:color w:val="000000"/>
        </w:rPr>
        <w:t xml:space="preserve"> Obesity and COVID-19: what makes obese host so vulnerable? </w:t>
      </w:r>
      <w:r>
        <w:rPr>
          <w:i/>
          <w:color w:val="000000"/>
        </w:rPr>
        <w:t>Immunity &amp; Ageing</w:t>
      </w:r>
      <w:r>
        <w:rPr>
          <w:color w:val="000000"/>
        </w:rPr>
        <w:t xml:space="preserve"> </w:t>
      </w:r>
      <w:r>
        <w:rPr>
          <w:b/>
          <w:color w:val="000000"/>
        </w:rPr>
        <w:t>18</w:t>
      </w:r>
      <w:r>
        <w:rPr>
          <w:color w:val="000000"/>
        </w:rPr>
        <w:t>, 1-10 (2021).</w:t>
      </w:r>
    </w:p>
    <w:p w14:paraId="00000073" w14:textId="17A34685" w:rsidR="0036428B" w:rsidRDefault="008C6D16">
      <w:pPr>
        <w:pBdr>
          <w:top w:val="nil"/>
          <w:left w:val="nil"/>
          <w:bottom w:val="nil"/>
          <w:right w:val="nil"/>
          <w:between w:val="nil"/>
        </w:pBdr>
        <w:spacing w:after="0" w:line="240" w:lineRule="auto"/>
        <w:ind w:left="720" w:hanging="720"/>
        <w:jc w:val="both"/>
        <w:rPr>
          <w:color w:val="000000"/>
        </w:rPr>
      </w:pPr>
      <w:r>
        <w:rPr>
          <w:color w:val="000000"/>
        </w:rPr>
        <w:t>42</w:t>
      </w:r>
      <w:r w:rsidR="00831D93">
        <w:rPr>
          <w:color w:val="000000"/>
        </w:rPr>
        <w:tab/>
        <w:t>Fears, A. C.</w:t>
      </w:r>
      <w:r w:rsidR="00831D93">
        <w:rPr>
          <w:i/>
          <w:color w:val="000000"/>
        </w:rPr>
        <w:t xml:space="preserve"> et al.</w:t>
      </w:r>
      <w:r w:rsidR="00831D93">
        <w:rPr>
          <w:color w:val="000000"/>
        </w:rPr>
        <w:t xml:space="preserve"> Persistence of Severe Acute Respiratory Syndrome Coronavirus 2 in Aerosol Suspensions. </w:t>
      </w:r>
      <w:r w:rsidR="00831D93">
        <w:rPr>
          <w:i/>
          <w:color w:val="000000"/>
        </w:rPr>
        <w:t>Emerging infectious diseases</w:t>
      </w:r>
      <w:r w:rsidR="00831D93">
        <w:rPr>
          <w:color w:val="000000"/>
        </w:rPr>
        <w:t xml:space="preserve"> </w:t>
      </w:r>
      <w:r w:rsidR="00831D93">
        <w:rPr>
          <w:b/>
          <w:color w:val="000000"/>
        </w:rPr>
        <w:t>26</w:t>
      </w:r>
      <w:r w:rsidR="00831D93">
        <w:rPr>
          <w:color w:val="000000"/>
        </w:rPr>
        <w:t>, 2168-2171, doi:10.3201/eid2609.201806 (2020).</w:t>
      </w:r>
    </w:p>
    <w:p w14:paraId="00000074" w14:textId="1E74DF33" w:rsidR="0036428B" w:rsidRDefault="009149BB">
      <w:pPr>
        <w:pBdr>
          <w:top w:val="nil"/>
          <w:left w:val="nil"/>
          <w:bottom w:val="nil"/>
          <w:right w:val="nil"/>
          <w:between w:val="nil"/>
        </w:pBdr>
        <w:spacing w:after="0" w:line="240" w:lineRule="auto"/>
        <w:ind w:left="720" w:hanging="720"/>
        <w:jc w:val="both"/>
        <w:rPr>
          <w:color w:val="000000"/>
        </w:rPr>
      </w:pPr>
      <w:r>
        <w:rPr>
          <w:color w:val="000000"/>
        </w:rPr>
        <w:t>43</w:t>
      </w:r>
      <w:r w:rsidR="00831D93">
        <w:rPr>
          <w:color w:val="000000"/>
        </w:rPr>
        <w:tab/>
      </w:r>
      <w:proofErr w:type="spellStart"/>
      <w:r w:rsidR="00831D93">
        <w:rPr>
          <w:color w:val="000000"/>
        </w:rPr>
        <w:t>Habeebullah</w:t>
      </w:r>
      <w:proofErr w:type="spellEnd"/>
      <w:r w:rsidR="00831D93">
        <w:rPr>
          <w:color w:val="000000"/>
        </w:rPr>
        <w:t xml:space="preserve">, T. M., </w:t>
      </w:r>
      <w:proofErr w:type="spellStart"/>
      <w:r w:rsidR="00831D93">
        <w:rPr>
          <w:color w:val="000000"/>
        </w:rPr>
        <w:t>Abd</w:t>
      </w:r>
      <w:proofErr w:type="spellEnd"/>
      <w:r w:rsidR="00831D93">
        <w:rPr>
          <w:color w:val="000000"/>
        </w:rPr>
        <w:t xml:space="preserve"> El-Rahim, I. H. A. &amp; </w:t>
      </w:r>
      <w:proofErr w:type="spellStart"/>
      <w:r w:rsidR="00831D93">
        <w:rPr>
          <w:color w:val="000000"/>
        </w:rPr>
        <w:t>Morsy</w:t>
      </w:r>
      <w:proofErr w:type="spellEnd"/>
      <w:r w:rsidR="00831D93">
        <w:rPr>
          <w:color w:val="000000"/>
        </w:rPr>
        <w:t xml:space="preserve">, E. A. Impact of outdoor and indoor meteorological conditions on the COVID-19 transmission in the western region of Saudi Arabia. </w:t>
      </w:r>
      <w:r w:rsidR="00831D93">
        <w:rPr>
          <w:i/>
          <w:color w:val="000000"/>
        </w:rPr>
        <w:t>J Environ Manage</w:t>
      </w:r>
      <w:r w:rsidR="00831D93">
        <w:rPr>
          <w:color w:val="000000"/>
        </w:rPr>
        <w:t xml:space="preserve"> </w:t>
      </w:r>
      <w:r w:rsidR="00831D93">
        <w:rPr>
          <w:b/>
          <w:color w:val="000000"/>
        </w:rPr>
        <w:t>288</w:t>
      </w:r>
      <w:r w:rsidR="00831D93">
        <w:rPr>
          <w:color w:val="000000"/>
        </w:rPr>
        <w:t>, 112392-112392, doi:10.1016/j.jenvman.2021.112392 (2021).</w:t>
      </w:r>
    </w:p>
    <w:p w14:paraId="00000075" w14:textId="6AA3D7C1" w:rsidR="0036428B" w:rsidRDefault="00831D93">
      <w:pPr>
        <w:pBdr>
          <w:top w:val="nil"/>
          <w:left w:val="nil"/>
          <w:bottom w:val="nil"/>
          <w:right w:val="nil"/>
          <w:between w:val="nil"/>
        </w:pBdr>
        <w:spacing w:after="0" w:line="240" w:lineRule="auto"/>
        <w:ind w:left="720" w:hanging="720"/>
        <w:jc w:val="both"/>
        <w:rPr>
          <w:color w:val="000000"/>
        </w:rPr>
      </w:pPr>
      <w:r>
        <w:rPr>
          <w:color w:val="000000"/>
        </w:rPr>
        <w:t>4</w:t>
      </w:r>
      <w:r w:rsidR="00611AD9">
        <w:rPr>
          <w:color w:val="000000"/>
        </w:rPr>
        <w:t>4</w:t>
      </w:r>
      <w:r>
        <w:rPr>
          <w:color w:val="000000"/>
        </w:rPr>
        <w:tab/>
      </w:r>
      <w:proofErr w:type="spellStart"/>
      <w:r>
        <w:rPr>
          <w:color w:val="000000"/>
        </w:rPr>
        <w:t>Ahlawat</w:t>
      </w:r>
      <w:proofErr w:type="spellEnd"/>
      <w:r>
        <w:rPr>
          <w:color w:val="000000"/>
        </w:rPr>
        <w:t xml:space="preserve">, A., </w:t>
      </w:r>
      <w:proofErr w:type="spellStart"/>
      <w:r>
        <w:rPr>
          <w:color w:val="000000"/>
        </w:rPr>
        <w:t>Wiedensohler</w:t>
      </w:r>
      <w:proofErr w:type="spellEnd"/>
      <w:r>
        <w:rPr>
          <w:color w:val="000000"/>
        </w:rPr>
        <w:t xml:space="preserve">, A. &amp; Mishra, S. K. An Overview on the Role of Relative Humidity in Airborne Transmission of SARS-CoV-2 in Indoor Environments. </w:t>
      </w:r>
      <w:r>
        <w:rPr>
          <w:i/>
          <w:color w:val="000000"/>
        </w:rPr>
        <w:t>Aerosol and Air Quality Research</w:t>
      </w:r>
      <w:r>
        <w:rPr>
          <w:color w:val="000000"/>
        </w:rPr>
        <w:t xml:space="preserve"> </w:t>
      </w:r>
      <w:r>
        <w:rPr>
          <w:b/>
          <w:color w:val="000000"/>
        </w:rPr>
        <w:t>20</w:t>
      </w:r>
      <w:r>
        <w:rPr>
          <w:color w:val="000000"/>
        </w:rPr>
        <w:t>, 1856-1861, doi:10.4209/aaqr.2020.06.0302 (2020).</w:t>
      </w:r>
    </w:p>
    <w:p w14:paraId="00000076" w14:textId="3976DB99" w:rsidR="0036428B" w:rsidRDefault="00831D93">
      <w:pPr>
        <w:pBdr>
          <w:top w:val="nil"/>
          <w:left w:val="nil"/>
          <w:bottom w:val="nil"/>
          <w:right w:val="nil"/>
          <w:between w:val="nil"/>
        </w:pBdr>
        <w:spacing w:after="0" w:line="240" w:lineRule="auto"/>
        <w:ind w:left="720" w:hanging="720"/>
        <w:jc w:val="both"/>
        <w:rPr>
          <w:color w:val="000000"/>
        </w:rPr>
      </w:pPr>
      <w:r>
        <w:rPr>
          <w:color w:val="000000"/>
        </w:rPr>
        <w:t>4</w:t>
      </w:r>
      <w:r w:rsidR="0016753E">
        <w:rPr>
          <w:color w:val="000000"/>
        </w:rPr>
        <w:t>5</w:t>
      </w:r>
      <w:r>
        <w:rPr>
          <w:color w:val="000000"/>
        </w:rPr>
        <w:tab/>
        <w:t xml:space="preserve">Kang, D., </w:t>
      </w:r>
      <w:proofErr w:type="spellStart"/>
      <w:r>
        <w:rPr>
          <w:color w:val="000000"/>
        </w:rPr>
        <w:t>Ellgen</w:t>
      </w:r>
      <w:proofErr w:type="spellEnd"/>
      <w:r>
        <w:rPr>
          <w:color w:val="000000"/>
        </w:rPr>
        <w:t xml:space="preserve">, C. &amp; </w:t>
      </w:r>
      <w:proofErr w:type="spellStart"/>
      <w:r>
        <w:rPr>
          <w:color w:val="000000"/>
        </w:rPr>
        <w:t>Kulstad</w:t>
      </w:r>
      <w:proofErr w:type="spellEnd"/>
      <w:r>
        <w:rPr>
          <w:color w:val="000000"/>
        </w:rPr>
        <w:t xml:space="preserve">, E. Possible effects of air temperature on COVID-19 disease severity and transmission rates. </w:t>
      </w:r>
      <w:r>
        <w:rPr>
          <w:i/>
          <w:color w:val="000000"/>
        </w:rPr>
        <w:t>Journal of Medical Virology</w:t>
      </w:r>
      <w:r>
        <w:rPr>
          <w:color w:val="000000"/>
        </w:rPr>
        <w:t xml:space="preserve"> </w:t>
      </w:r>
      <w:r>
        <w:rPr>
          <w:b/>
          <w:color w:val="000000"/>
        </w:rPr>
        <w:t>93</w:t>
      </w:r>
      <w:r>
        <w:rPr>
          <w:color w:val="000000"/>
        </w:rPr>
        <w:t xml:space="preserve">, 5358-5366, </w:t>
      </w:r>
      <w:proofErr w:type="spellStart"/>
      <w:r>
        <w:rPr>
          <w:color w:val="000000"/>
        </w:rPr>
        <w:t>doi</w:t>
      </w:r>
      <w:proofErr w:type="gramStart"/>
      <w:r>
        <w:rPr>
          <w:color w:val="000000"/>
        </w:rPr>
        <w:t>:</w:t>
      </w:r>
      <w:proofErr w:type="gramEnd"/>
      <w:r w:rsidR="00BA6A75">
        <w:fldChar w:fldCharType="begin"/>
      </w:r>
      <w:r w:rsidR="00BA6A75">
        <w:instrText xml:space="preserve"> HYPERLINK "https://doi.org/10.1002/jmv.27042" \h </w:instrText>
      </w:r>
      <w:r w:rsidR="00BA6A75">
        <w:fldChar w:fldCharType="separate"/>
      </w:r>
      <w:r>
        <w:rPr>
          <w:color w:val="0000FF"/>
          <w:u w:val="single"/>
        </w:rPr>
        <w:t>https</w:t>
      </w:r>
      <w:proofErr w:type="spellEnd"/>
      <w:r>
        <w:rPr>
          <w:color w:val="0000FF"/>
          <w:u w:val="single"/>
        </w:rPr>
        <w:t>://doi.org/10.1002/jmv.27042</w:t>
      </w:r>
      <w:r w:rsidR="00BA6A75">
        <w:rPr>
          <w:color w:val="0000FF"/>
          <w:u w:val="single"/>
        </w:rPr>
        <w:fldChar w:fldCharType="end"/>
      </w:r>
      <w:r>
        <w:rPr>
          <w:color w:val="000000"/>
        </w:rPr>
        <w:t xml:space="preserve"> (2021).</w:t>
      </w:r>
    </w:p>
    <w:p w14:paraId="00000077" w14:textId="6E0087A8" w:rsidR="0036428B" w:rsidRDefault="00831D93">
      <w:pPr>
        <w:pBdr>
          <w:top w:val="nil"/>
          <w:left w:val="nil"/>
          <w:bottom w:val="nil"/>
          <w:right w:val="nil"/>
          <w:between w:val="nil"/>
        </w:pBdr>
        <w:spacing w:after="0" w:line="240" w:lineRule="auto"/>
        <w:ind w:left="720" w:hanging="720"/>
        <w:jc w:val="both"/>
        <w:rPr>
          <w:color w:val="000000"/>
        </w:rPr>
      </w:pPr>
      <w:r>
        <w:rPr>
          <w:color w:val="000000"/>
        </w:rPr>
        <w:t>4</w:t>
      </w:r>
      <w:r w:rsidR="00D70B50">
        <w:rPr>
          <w:color w:val="000000"/>
        </w:rPr>
        <w:t>6</w:t>
      </w:r>
      <w:r>
        <w:rPr>
          <w:color w:val="000000"/>
        </w:rPr>
        <w:tab/>
        <w:t xml:space="preserve">Fairfax, R. E. OSHA policy on indoor air quality: office temperature/humidity and environmental tobacco smoke. </w:t>
      </w:r>
      <w:r>
        <w:rPr>
          <w:i/>
          <w:color w:val="000000"/>
        </w:rPr>
        <w:t>Occupational Safety &amp; Health Administration, Washington, DC</w:t>
      </w:r>
      <w:r>
        <w:rPr>
          <w:color w:val="000000"/>
        </w:rPr>
        <w:t xml:space="preserve"> (2003).</w:t>
      </w:r>
    </w:p>
    <w:p w14:paraId="00000078" w14:textId="6E7DCD1F" w:rsidR="0036428B" w:rsidRDefault="00831D93">
      <w:pPr>
        <w:pBdr>
          <w:top w:val="nil"/>
          <w:left w:val="nil"/>
          <w:bottom w:val="nil"/>
          <w:right w:val="nil"/>
          <w:between w:val="nil"/>
        </w:pBdr>
        <w:spacing w:after="0" w:line="240" w:lineRule="auto"/>
        <w:ind w:left="720" w:hanging="720"/>
        <w:jc w:val="both"/>
        <w:rPr>
          <w:color w:val="000000"/>
        </w:rPr>
      </w:pPr>
      <w:r>
        <w:rPr>
          <w:color w:val="000000"/>
        </w:rPr>
        <w:t>4</w:t>
      </w:r>
      <w:r w:rsidR="00A12048">
        <w:rPr>
          <w:color w:val="000000"/>
        </w:rPr>
        <w:t>7</w:t>
      </w:r>
      <w:r>
        <w:rPr>
          <w:color w:val="000000"/>
        </w:rPr>
        <w:tab/>
      </w:r>
      <w:proofErr w:type="spellStart"/>
      <w:r>
        <w:rPr>
          <w:color w:val="000000"/>
        </w:rPr>
        <w:t>Ratnesar</w:t>
      </w:r>
      <w:proofErr w:type="spellEnd"/>
      <w:r>
        <w:rPr>
          <w:color w:val="000000"/>
        </w:rPr>
        <w:t>-Shumate, S.</w:t>
      </w:r>
      <w:r>
        <w:rPr>
          <w:i/>
          <w:color w:val="000000"/>
        </w:rPr>
        <w:t xml:space="preserve"> et al.</w:t>
      </w:r>
      <w:r>
        <w:rPr>
          <w:color w:val="000000"/>
        </w:rPr>
        <w:t xml:space="preserve"> Simulated Sunlight Rapidly Inactivates SARS-CoV-2 on Surfaces. </w:t>
      </w:r>
      <w:r>
        <w:rPr>
          <w:i/>
          <w:color w:val="000000"/>
        </w:rPr>
        <w:t>The Journal of infectious diseases</w:t>
      </w:r>
      <w:r>
        <w:rPr>
          <w:color w:val="000000"/>
        </w:rPr>
        <w:t xml:space="preserve"> </w:t>
      </w:r>
      <w:r>
        <w:rPr>
          <w:b/>
          <w:color w:val="000000"/>
        </w:rPr>
        <w:t>222</w:t>
      </w:r>
      <w:r>
        <w:rPr>
          <w:color w:val="000000"/>
        </w:rPr>
        <w:t>, 214-222, doi:10.1093/</w:t>
      </w:r>
      <w:proofErr w:type="spellStart"/>
      <w:r>
        <w:rPr>
          <w:color w:val="000000"/>
        </w:rPr>
        <w:t>infdis</w:t>
      </w:r>
      <w:proofErr w:type="spellEnd"/>
      <w:r>
        <w:rPr>
          <w:color w:val="000000"/>
        </w:rPr>
        <w:t>/jiaa274 (2020).</w:t>
      </w:r>
    </w:p>
    <w:p w14:paraId="00000079" w14:textId="213EC2E9" w:rsidR="0036428B" w:rsidRDefault="00831D93">
      <w:pPr>
        <w:pBdr>
          <w:top w:val="nil"/>
          <w:left w:val="nil"/>
          <w:bottom w:val="nil"/>
          <w:right w:val="nil"/>
          <w:between w:val="nil"/>
        </w:pBdr>
        <w:spacing w:after="0" w:line="240" w:lineRule="auto"/>
        <w:ind w:left="720" w:hanging="720"/>
        <w:jc w:val="both"/>
        <w:rPr>
          <w:color w:val="000000"/>
        </w:rPr>
      </w:pPr>
      <w:r>
        <w:rPr>
          <w:color w:val="000000"/>
        </w:rPr>
        <w:t>4</w:t>
      </w:r>
      <w:r w:rsidR="00A12048">
        <w:rPr>
          <w:color w:val="000000"/>
        </w:rPr>
        <w:t>8</w:t>
      </w:r>
      <w:r>
        <w:rPr>
          <w:color w:val="000000"/>
        </w:rPr>
        <w:tab/>
        <w:t xml:space="preserve">Hannah Ritchie, E. M., Lucas </w:t>
      </w:r>
      <w:proofErr w:type="spellStart"/>
      <w:r>
        <w:rPr>
          <w:color w:val="000000"/>
        </w:rPr>
        <w:t>Rodés-Guirao</w:t>
      </w:r>
      <w:proofErr w:type="spellEnd"/>
      <w:r>
        <w:rPr>
          <w:color w:val="000000"/>
        </w:rPr>
        <w:t xml:space="preserve">, Cameron </w:t>
      </w:r>
      <w:proofErr w:type="spellStart"/>
      <w:r>
        <w:rPr>
          <w:color w:val="000000"/>
        </w:rPr>
        <w:t>Appel</w:t>
      </w:r>
      <w:proofErr w:type="spellEnd"/>
      <w:r>
        <w:rPr>
          <w:color w:val="000000"/>
        </w:rPr>
        <w:t xml:space="preserve">, Charlie </w:t>
      </w:r>
      <w:proofErr w:type="spellStart"/>
      <w:r>
        <w:rPr>
          <w:color w:val="000000"/>
        </w:rPr>
        <w:t>Giattino</w:t>
      </w:r>
      <w:proofErr w:type="spellEnd"/>
      <w:r>
        <w:rPr>
          <w:color w:val="000000"/>
        </w:rPr>
        <w:t>, Esteban Ortiz-</w:t>
      </w:r>
      <w:proofErr w:type="spellStart"/>
      <w:r>
        <w:rPr>
          <w:color w:val="000000"/>
        </w:rPr>
        <w:t>Ospina</w:t>
      </w:r>
      <w:proofErr w:type="spellEnd"/>
      <w:r>
        <w:rPr>
          <w:color w:val="000000"/>
        </w:rPr>
        <w:t xml:space="preserve">, Joe </w:t>
      </w:r>
      <w:proofErr w:type="spellStart"/>
      <w:r>
        <w:rPr>
          <w:color w:val="000000"/>
        </w:rPr>
        <w:t>Hasell</w:t>
      </w:r>
      <w:proofErr w:type="spellEnd"/>
      <w:r>
        <w:rPr>
          <w:color w:val="000000"/>
        </w:rPr>
        <w:t xml:space="preserve">, Bobbie Macdonald, Diana </w:t>
      </w:r>
      <w:proofErr w:type="spellStart"/>
      <w:r>
        <w:rPr>
          <w:color w:val="000000"/>
        </w:rPr>
        <w:t>Beltekian</w:t>
      </w:r>
      <w:proofErr w:type="spellEnd"/>
      <w:r>
        <w:rPr>
          <w:color w:val="000000"/>
        </w:rPr>
        <w:t xml:space="preserve"> and Max </w:t>
      </w:r>
      <w:proofErr w:type="spellStart"/>
      <w:r>
        <w:rPr>
          <w:color w:val="000000"/>
        </w:rPr>
        <w:t>Roser</w:t>
      </w:r>
      <w:proofErr w:type="spellEnd"/>
      <w:r>
        <w:rPr>
          <w:color w:val="000000"/>
        </w:rPr>
        <w:t xml:space="preserve">. Coronavirus Pandemic (COVID-19). </w:t>
      </w:r>
      <w:r>
        <w:rPr>
          <w:i/>
          <w:color w:val="000000"/>
        </w:rPr>
        <w:t>Our World in Data</w:t>
      </w:r>
      <w:r>
        <w:rPr>
          <w:color w:val="000000"/>
        </w:rPr>
        <w:t xml:space="preserve"> (2020).</w:t>
      </w:r>
    </w:p>
    <w:p w14:paraId="0000007A" w14:textId="00B9A9A2" w:rsidR="0036428B" w:rsidRDefault="00F50442">
      <w:pPr>
        <w:pBdr>
          <w:top w:val="nil"/>
          <w:left w:val="nil"/>
          <w:bottom w:val="nil"/>
          <w:right w:val="nil"/>
          <w:between w:val="nil"/>
        </w:pBdr>
        <w:spacing w:after="0" w:line="240" w:lineRule="auto"/>
        <w:ind w:left="720" w:hanging="720"/>
        <w:jc w:val="both"/>
        <w:rPr>
          <w:color w:val="000000"/>
        </w:rPr>
      </w:pPr>
      <w:r>
        <w:rPr>
          <w:color w:val="000000"/>
        </w:rPr>
        <w:t>49</w:t>
      </w:r>
      <w:r w:rsidR="00831D93">
        <w:rPr>
          <w:color w:val="000000"/>
        </w:rPr>
        <w:tab/>
        <w:t xml:space="preserve">Sharma, A., Verma, H. K., Joshi, S., Panwar, M. S. &amp; </w:t>
      </w:r>
      <w:proofErr w:type="spellStart"/>
      <w:r w:rsidR="00831D93">
        <w:rPr>
          <w:color w:val="000000"/>
        </w:rPr>
        <w:t>Mandal</w:t>
      </w:r>
      <w:proofErr w:type="spellEnd"/>
      <w:r w:rsidR="00831D93">
        <w:rPr>
          <w:color w:val="000000"/>
        </w:rPr>
        <w:t xml:space="preserve">, C. C. A link between cold environment and cancer. </w:t>
      </w:r>
      <w:proofErr w:type="spellStart"/>
      <w:r w:rsidR="00831D93">
        <w:rPr>
          <w:i/>
          <w:color w:val="000000"/>
        </w:rPr>
        <w:t>Tumor</w:t>
      </w:r>
      <w:proofErr w:type="spellEnd"/>
      <w:r w:rsidR="00831D93">
        <w:rPr>
          <w:i/>
          <w:color w:val="000000"/>
        </w:rPr>
        <w:t xml:space="preserve"> Biology</w:t>
      </w:r>
      <w:r w:rsidR="00831D93">
        <w:rPr>
          <w:color w:val="000000"/>
        </w:rPr>
        <w:t xml:space="preserve"> </w:t>
      </w:r>
      <w:r w:rsidR="00831D93">
        <w:rPr>
          <w:b/>
          <w:color w:val="000000"/>
        </w:rPr>
        <w:t>36</w:t>
      </w:r>
      <w:r w:rsidR="00831D93">
        <w:rPr>
          <w:color w:val="000000"/>
        </w:rPr>
        <w:t>, 5953-5964 (2015).</w:t>
      </w:r>
    </w:p>
    <w:p w14:paraId="0000007B" w14:textId="2D1B231E" w:rsidR="0036428B" w:rsidRDefault="00831D93">
      <w:pPr>
        <w:pBdr>
          <w:top w:val="nil"/>
          <w:left w:val="nil"/>
          <w:bottom w:val="nil"/>
          <w:right w:val="nil"/>
          <w:between w:val="nil"/>
        </w:pBdr>
        <w:spacing w:after="0" w:line="240" w:lineRule="auto"/>
        <w:ind w:left="720" w:hanging="720"/>
        <w:jc w:val="both"/>
        <w:rPr>
          <w:color w:val="000000"/>
        </w:rPr>
      </w:pPr>
      <w:r>
        <w:rPr>
          <w:color w:val="000000"/>
        </w:rPr>
        <w:t>5</w:t>
      </w:r>
      <w:r w:rsidR="00F50442">
        <w:rPr>
          <w:color w:val="000000"/>
        </w:rPr>
        <w:t>0</w:t>
      </w:r>
      <w:r>
        <w:rPr>
          <w:color w:val="000000"/>
        </w:rPr>
        <w:tab/>
      </w:r>
      <w:proofErr w:type="spellStart"/>
      <w:r>
        <w:rPr>
          <w:color w:val="000000"/>
        </w:rPr>
        <w:t>Bandyopadhayaya</w:t>
      </w:r>
      <w:proofErr w:type="spellEnd"/>
      <w:r>
        <w:rPr>
          <w:color w:val="000000"/>
        </w:rPr>
        <w:t xml:space="preserve">, S., Bundel, R., Tyagi, S., Pandey, A. &amp; </w:t>
      </w:r>
      <w:proofErr w:type="spellStart"/>
      <w:r>
        <w:rPr>
          <w:color w:val="000000"/>
        </w:rPr>
        <w:t>Mandal</w:t>
      </w:r>
      <w:proofErr w:type="spellEnd"/>
      <w:r>
        <w:rPr>
          <w:color w:val="000000"/>
        </w:rPr>
        <w:t xml:space="preserve">, C. C. Can the aging influence cold environment mediated cancer risk in the USA female population? </w:t>
      </w:r>
      <w:r>
        <w:rPr>
          <w:i/>
          <w:color w:val="000000"/>
        </w:rPr>
        <w:t>Journal of thermal biology</w:t>
      </w:r>
      <w:r>
        <w:rPr>
          <w:color w:val="000000"/>
        </w:rPr>
        <w:t xml:space="preserve"> </w:t>
      </w:r>
      <w:r>
        <w:rPr>
          <w:b/>
          <w:color w:val="000000"/>
        </w:rPr>
        <w:t>92</w:t>
      </w:r>
      <w:r>
        <w:rPr>
          <w:color w:val="000000"/>
        </w:rPr>
        <w:t>, 102676, doi:10.1016/j.jtherbio.2020.102676 (2020).</w:t>
      </w:r>
    </w:p>
    <w:p w14:paraId="0000007C" w14:textId="0EDD4EB0" w:rsidR="0036428B" w:rsidRDefault="00831D93">
      <w:pPr>
        <w:pBdr>
          <w:top w:val="nil"/>
          <w:left w:val="nil"/>
          <w:bottom w:val="nil"/>
          <w:right w:val="nil"/>
          <w:between w:val="nil"/>
        </w:pBdr>
        <w:spacing w:after="0" w:line="240" w:lineRule="auto"/>
        <w:ind w:left="720" w:hanging="720"/>
        <w:jc w:val="both"/>
        <w:rPr>
          <w:color w:val="000000"/>
        </w:rPr>
      </w:pPr>
      <w:r>
        <w:rPr>
          <w:color w:val="000000"/>
        </w:rPr>
        <w:t>5</w:t>
      </w:r>
      <w:r w:rsidR="00F50442">
        <w:rPr>
          <w:color w:val="000000"/>
        </w:rPr>
        <w:t>1</w:t>
      </w:r>
      <w:r>
        <w:rPr>
          <w:color w:val="000000"/>
        </w:rPr>
        <w:tab/>
        <w:t>Sharma, A.</w:t>
      </w:r>
      <w:r>
        <w:rPr>
          <w:i/>
          <w:color w:val="000000"/>
        </w:rPr>
        <w:t xml:space="preserve"> et al.</w:t>
      </w:r>
      <w:r>
        <w:rPr>
          <w:color w:val="000000"/>
        </w:rPr>
        <w:t xml:space="preserve"> Colder environments are associated with a greater cancer incidence in the female population of the United States. </w:t>
      </w:r>
      <w:r>
        <w:rPr>
          <w:i/>
          <w:color w:val="000000"/>
        </w:rPr>
        <w:t xml:space="preserve">Tumour </w:t>
      </w:r>
      <w:proofErr w:type="gramStart"/>
      <w:r>
        <w:rPr>
          <w:i/>
          <w:color w:val="000000"/>
        </w:rPr>
        <w:t>biology :</w:t>
      </w:r>
      <w:proofErr w:type="gramEnd"/>
      <w:r>
        <w:rPr>
          <w:i/>
          <w:color w:val="000000"/>
        </w:rPr>
        <w:t xml:space="preserve"> the journal of the International Society for </w:t>
      </w:r>
      <w:proofErr w:type="spellStart"/>
      <w:r>
        <w:rPr>
          <w:i/>
          <w:color w:val="000000"/>
        </w:rPr>
        <w:t>Oncodevelopmental</w:t>
      </w:r>
      <w:proofErr w:type="spellEnd"/>
      <w:r>
        <w:rPr>
          <w:i/>
          <w:color w:val="000000"/>
        </w:rPr>
        <w:t xml:space="preserve"> Biology and Medicine</w:t>
      </w:r>
      <w:r>
        <w:rPr>
          <w:color w:val="000000"/>
        </w:rPr>
        <w:t xml:space="preserve"> </w:t>
      </w:r>
      <w:r>
        <w:rPr>
          <w:b/>
          <w:color w:val="000000"/>
        </w:rPr>
        <w:t>39</w:t>
      </w:r>
      <w:r>
        <w:rPr>
          <w:color w:val="000000"/>
        </w:rPr>
        <w:t>, 1010428317724784, doi:10.1177/1010428317724784 (2017).</w:t>
      </w:r>
    </w:p>
    <w:p w14:paraId="0000007D" w14:textId="05451B83" w:rsidR="0036428B" w:rsidRDefault="00831D93">
      <w:pPr>
        <w:pBdr>
          <w:top w:val="nil"/>
          <w:left w:val="nil"/>
          <w:bottom w:val="nil"/>
          <w:right w:val="nil"/>
          <w:between w:val="nil"/>
        </w:pBdr>
        <w:spacing w:line="240" w:lineRule="auto"/>
        <w:ind w:left="720" w:hanging="720"/>
        <w:jc w:val="both"/>
        <w:rPr>
          <w:color w:val="000000"/>
        </w:rPr>
      </w:pPr>
      <w:r>
        <w:rPr>
          <w:color w:val="000000"/>
        </w:rPr>
        <w:t>5</w:t>
      </w:r>
      <w:r w:rsidR="00F50442">
        <w:rPr>
          <w:color w:val="000000"/>
        </w:rPr>
        <w:t>2</w:t>
      </w:r>
      <w:r>
        <w:rPr>
          <w:color w:val="000000"/>
        </w:rPr>
        <w:tab/>
        <w:t xml:space="preserve">Ram, N. &amp; Grimm, K. Using simple and complex growth models to articulate developmental change: Matching theory to method. </w:t>
      </w:r>
      <w:r>
        <w:rPr>
          <w:i/>
          <w:color w:val="000000"/>
        </w:rPr>
        <w:t xml:space="preserve">International Journal of </w:t>
      </w:r>
      <w:proofErr w:type="spellStart"/>
      <w:r>
        <w:rPr>
          <w:i/>
          <w:color w:val="000000"/>
        </w:rPr>
        <w:t>Behavioral</w:t>
      </w:r>
      <w:proofErr w:type="spellEnd"/>
      <w:r>
        <w:rPr>
          <w:i/>
          <w:color w:val="000000"/>
        </w:rPr>
        <w:t xml:space="preserve"> Development</w:t>
      </w:r>
      <w:r>
        <w:rPr>
          <w:color w:val="000000"/>
        </w:rPr>
        <w:t xml:space="preserve"> </w:t>
      </w:r>
      <w:r>
        <w:rPr>
          <w:b/>
          <w:color w:val="000000"/>
        </w:rPr>
        <w:t>31</w:t>
      </w:r>
      <w:r>
        <w:rPr>
          <w:color w:val="000000"/>
        </w:rPr>
        <w:t>, 303-316, doi</w:t>
      </w:r>
      <w:proofErr w:type="gramStart"/>
      <w:r>
        <w:rPr>
          <w:color w:val="000000"/>
        </w:rPr>
        <w:t>:10.1177</w:t>
      </w:r>
      <w:proofErr w:type="gramEnd"/>
      <w:r>
        <w:rPr>
          <w:color w:val="000000"/>
        </w:rPr>
        <w:t>/0165025407077751 (2007).</w:t>
      </w:r>
    </w:p>
    <w:p w14:paraId="0000007E" w14:textId="77777777" w:rsidR="0036428B" w:rsidRDefault="0036428B">
      <w:pPr>
        <w:jc w:val="both"/>
        <w:rPr>
          <w:rFonts w:ascii="Times New Roman" w:eastAsia="Times New Roman" w:hAnsi="Times New Roman" w:cs="Times New Roman"/>
          <w:color w:val="000000"/>
          <w:sz w:val="24"/>
          <w:szCs w:val="24"/>
        </w:rPr>
      </w:pPr>
    </w:p>
    <w:p w14:paraId="0000007F" w14:textId="77777777" w:rsidR="0036428B" w:rsidRDefault="0036428B">
      <w:pPr>
        <w:jc w:val="both"/>
        <w:rPr>
          <w:rFonts w:ascii="Times New Roman" w:eastAsia="Times New Roman" w:hAnsi="Times New Roman" w:cs="Times New Roman"/>
          <w:b/>
          <w:color w:val="000000"/>
          <w:sz w:val="24"/>
          <w:szCs w:val="24"/>
        </w:rPr>
      </w:pPr>
    </w:p>
    <w:p w14:paraId="00000080" w14:textId="77777777" w:rsidR="0036428B" w:rsidRDefault="0036428B">
      <w:pPr>
        <w:jc w:val="both"/>
        <w:rPr>
          <w:rFonts w:ascii="Times New Roman" w:eastAsia="Times New Roman" w:hAnsi="Times New Roman" w:cs="Times New Roman"/>
          <w:b/>
          <w:color w:val="000000"/>
          <w:sz w:val="24"/>
          <w:szCs w:val="24"/>
        </w:rPr>
      </w:pPr>
    </w:p>
    <w:p w14:paraId="00000081" w14:textId="77777777" w:rsidR="0036428B" w:rsidRDefault="00831D93">
      <w:pPr>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Figure legends:</w:t>
      </w:r>
    </w:p>
    <w:p w14:paraId="00000082" w14:textId="77777777" w:rsidR="0036428B" w:rsidRDefault="00831D93">
      <w:pPr>
        <w:spacing w:after="0"/>
        <w:jc w:val="both"/>
        <w:rPr>
          <w:rFonts w:ascii="Times New Roman" w:eastAsia="Times New Roman" w:hAnsi="Times New Roman" w:cs="Times New Roman"/>
          <w:color w:val="0000FF"/>
          <w:sz w:val="24"/>
          <w:szCs w:val="24"/>
        </w:rPr>
      </w:pPr>
      <w:r>
        <w:rPr>
          <w:rFonts w:ascii="Times New Roman" w:eastAsia="Times New Roman" w:hAnsi="Times New Roman" w:cs="Times New Roman"/>
          <w:b/>
          <w:color w:val="000000"/>
          <w:sz w:val="24"/>
          <w:szCs w:val="24"/>
        </w:rPr>
        <w:t xml:space="preserve">Figure 1: </w:t>
      </w:r>
      <w:r>
        <w:rPr>
          <w:rFonts w:ascii="Times New Roman" w:eastAsia="Times New Roman" w:hAnsi="Times New Roman" w:cs="Times New Roman"/>
          <w:color w:val="000000"/>
          <w:sz w:val="24"/>
          <w:szCs w:val="24"/>
        </w:rPr>
        <w:t xml:space="preserve">Geographical distribution of the 75 countries with the highest (A) Total Covid-19 cases per million (B) Average total cholesterol (ATC) (C) BMI and (D) Obesity. Brown </w:t>
      </w:r>
      <w:proofErr w:type="spellStart"/>
      <w:r>
        <w:rPr>
          <w:rFonts w:ascii="Times New Roman" w:eastAsia="Times New Roman" w:hAnsi="Times New Roman" w:cs="Times New Roman"/>
          <w:color w:val="000000"/>
          <w:sz w:val="24"/>
          <w:szCs w:val="24"/>
        </w:rPr>
        <w:t>color</w:t>
      </w:r>
      <w:proofErr w:type="spellEnd"/>
      <w:r>
        <w:rPr>
          <w:rFonts w:ascii="Times New Roman" w:eastAsia="Times New Roman" w:hAnsi="Times New Roman" w:cs="Times New Roman"/>
          <w:color w:val="000000"/>
          <w:sz w:val="24"/>
          <w:szCs w:val="24"/>
        </w:rPr>
        <w:t xml:space="preserve">-marked in the map shows the topmost 75 countries with highest total cases per million, ATC, BMI and obesity. Here, Tropic of Cancer (23.5°N), Tropic of Capricorn (23.5°S) and 0° latitudes are shown on a world map. </w:t>
      </w:r>
      <w:r>
        <w:rPr>
          <w:rFonts w:ascii="Times New Roman" w:eastAsia="Times New Roman" w:hAnsi="Times New Roman" w:cs="Times New Roman"/>
          <w:color w:val="0000FF"/>
          <w:sz w:val="24"/>
          <w:szCs w:val="24"/>
        </w:rPr>
        <w:t xml:space="preserve">The freely available online server (worldmapmaker.com) was used to make world map. </w:t>
      </w:r>
    </w:p>
    <w:p w14:paraId="00000083" w14:textId="77777777" w:rsidR="0036428B" w:rsidRDefault="0036428B">
      <w:pPr>
        <w:spacing w:after="0"/>
        <w:jc w:val="both"/>
        <w:rPr>
          <w:rFonts w:ascii="Times New Roman" w:eastAsia="Times New Roman" w:hAnsi="Times New Roman" w:cs="Times New Roman"/>
          <w:color w:val="000000"/>
          <w:sz w:val="24"/>
          <w:szCs w:val="24"/>
        </w:rPr>
      </w:pPr>
    </w:p>
    <w:p w14:paraId="00000084" w14:textId="77777777" w:rsidR="0036428B" w:rsidRDefault="00831D93">
      <w:pPr>
        <w:tabs>
          <w:tab w:val="center" w:pos="4680"/>
        </w:tabs>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Figure 2: </w:t>
      </w:r>
      <w:r>
        <w:rPr>
          <w:rFonts w:ascii="Times New Roman" w:eastAsia="Times New Roman" w:hAnsi="Times New Roman" w:cs="Times New Roman"/>
          <w:color w:val="000000"/>
          <w:sz w:val="24"/>
          <w:szCs w:val="24"/>
        </w:rPr>
        <w:t>Box plot for total cases per million from March, 2020 to July, 2021</w:t>
      </w:r>
    </w:p>
    <w:p w14:paraId="00000085" w14:textId="77777777" w:rsidR="0036428B" w:rsidRDefault="00831D93">
      <w:pPr>
        <w:tabs>
          <w:tab w:val="center" w:pos="4680"/>
        </w:tabs>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Figure 3: </w:t>
      </w:r>
      <w:r>
        <w:rPr>
          <w:rFonts w:ascii="Times New Roman" w:eastAsia="Times New Roman" w:hAnsi="Times New Roman" w:cs="Times New Roman"/>
          <w:color w:val="000000"/>
          <w:sz w:val="24"/>
          <w:szCs w:val="24"/>
        </w:rPr>
        <w:t>Trajectory plot for total COVID-19 cases per million population of a country from March, 2020 to July, 2021</w:t>
      </w:r>
    </w:p>
    <w:p w14:paraId="00000086" w14:textId="77777777" w:rsidR="0036428B" w:rsidRDefault="00831D93">
      <w:pP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Figure 4: </w:t>
      </w:r>
      <w:r>
        <w:rPr>
          <w:rFonts w:ascii="Times New Roman" w:eastAsia="Times New Roman" w:hAnsi="Times New Roman" w:cs="Times New Roman"/>
          <w:color w:val="000000"/>
          <w:sz w:val="24"/>
          <w:szCs w:val="24"/>
        </w:rPr>
        <w:t>Structure plot for model 8 (multiphase model with temperature + BMI + cholesterol as covariates). Here, C represents the outcome variable; T represents the monthly average environmental temperature (MAET); CH represents cholesterol</w:t>
      </w:r>
      <w:proofErr w:type="gramStart"/>
      <w:r>
        <w:rPr>
          <w:rFonts w:ascii="Times New Roman" w:eastAsia="Times New Roman" w:hAnsi="Times New Roman" w:cs="Times New Roman"/>
          <w:color w:val="000000"/>
          <w:sz w:val="24"/>
          <w:szCs w:val="24"/>
        </w:rPr>
        <w:t xml:space="preserve">; </w:t>
      </w:r>
      <w:proofErr w:type="gramEnd"/>
      <m:oMath>
        <m:sSub>
          <m:sSubPr>
            <m:ctrlPr>
              <w:rPr>
                <w:rFonts w:ascii="Cambria Math" w:eastAsia="Cambria Math" w:hAnsi="Cambria Math" w:cs="Cambria Math"/>
                <w:color w:val="000000"/>
                <w:sz w:val="24"/>
                <w:szCs w:val="24"/>
              </w:rPr>
            </m:ctrlPr>
          </m:sSubPr>
          <m:e>
            <m:r>
              <w:rPr>
                <w:rFonts w:ascii="Cambria Math" w:eastAsia="Cambria Math" w:hAnsi="Cambria Math" w:cs="Cambria Math"/>
                <w:color w:val="000000"/>
                <w:sz w:val="24"/>
                <w:szCs w:val="24"/>
              </w:rPr>
              <m:t>g</m:t>
            </m:r>
          </m:e>
          <m:sub>
            <m:r>
              <w:rPr>
                <w:rFonts w:ascii="Cambria Math" w:eastAsia="Cambria Math" w:hAnsi="Cambria Math" w:cs="Cambria Math"/>
                <w:color w:val="000000"/>
                <w:sz w:val="24"/>
                <w:szCs w:val="24"/>
              </w:rPr>
              <m:t>0</m:t>
            </m:r>
          </m:sub>
        </m:sSub>
      </m:oMath>
      <w:r>
        <w:rPr>
          <w:rFonts w:ascii="Times New Roman" w:eastAsia="Times New Roman" w:hAnsi="Times New Roman" w:cs="Times New Roman"/>
          <w:color w:val="000000"/>
          <w:sz w:val="24"/>
          <w:szCs w:val="24"/>
          <w:vertAlign w:val="subscript"/>
        </w:rPr>
        <w:t xml:space="preserve">, </w:t>
      </w:r>
      <m:oMath>
        <m:sSub>
          <m:sSubPr>
            <m:ctrlPr>
              <w:rPr>
                <w:rFonts w:ascii="Cambria Math" w:eastAsia="Cambria Math" w:hAnsi="Cambria Math" w:cs="Cambria Math"/>
                <w:color w:val="000000"/>
                <w:sz w:val="24"/>
                <w:szCs w:val="24"/>
              </w:rPr>
            </m:ctrlPr>
          </m:sSubPr>
          <m:e>
            <m:r>
              <w:rPr>
                <w:rFonts w:ascii="Cambria Math" w:eastAsia="Cambria Math" w:hAnsi="Cambria Math" w:cs="Cambria Math"/>
                <w:color w:val="000000"/>
                <w:sz w:val="24"/>
                <w:szCs w:val="24"/>
              </w:rPr>
              <m:t>g</m:t>
            </m:r>
          </m:e>
          <m:sub>
            <m:r>
              <w:rPr>
                <w:rFonts w:ascii="Cambria Math" w:eastAsia="Cambria Math" w:hAnsi="Cambria Math" w:cs="Cambria Math"/>
                <w:color w:val="000000"/>
                <w:sz w:val="24"/>
                <w:szCs w:val="24"/>
              </w:rPr>
              <m:t>1</m:t>
            </m:r>
          </m:sub>
        </m:sSub>
      </m:oMath>
      <w:r>
        <w:rPr>
          <w:rFonts w:ascii="Times New Roman" w:eastAsia="Times New Roman" w:hAnsi="Times New Roman" w:cs="Times New Roman"/>
          <w:color w:val="000000"/>
          <w:sz w:val="24"/>
          <w:szCs w:val="24"/>
          <w:vertAlign w:val="subscript"/>
        </w:rPr>
        <w:t xml:space="preserve">, </w:t>
      </w:r>
      <m:oMath>
        <m:sSub>
          <m:sSubPr>
            <m:ctrlPr>
              <w:rPr>
                <w:rFonts w:ascii="Cambria Math" w:eastAsia="Cambria Math" w:hAnsi="Cambria Math" w:cs="Cambria Math"/>
                <w:color w:val="000000"/>
                <w:sz w:val="24"/>
                <w:szCs w:val="24"/>
              </w:rPr>
            </m:ctrlPr>
          </m:sSubPr>
          <m:e>
            <m:r>
              <w:rPr>
                <w:rFonts w:ascii="Cambria Math" w:eastAsia="Cambria Math" w:hAnsi="Cambria Math" w:cs="Cambria Math"/>
                <w:color w:val="000000"/>
                <w:sz w:val="24"/>
                <w:szCs w:val="24"/>
              </w:rPr>
              <m:t>g</m:t>
            </m:r>
          </m:e>
          <m:sub>
            <m:r>
              <w:rPr>
                <w:rFonts w:ascii="Cambria Math" w:eastAsia="Cambria Math" w:hAnsi="Cambria Math" w:cs="Cambria Math"/>
                <w:color w:val="000000"/>
                <w:sz w:val="24"/>
                <w:szCs w:val="24"/>
              </w:rPr>
              <m:t>2</m:t>
            </m:r>
          </m:sub>
        </m:sSub>
      </m:oMath>
      <w:r>
        <w:rPr>
          <w:rFonts w:ascii="Times New Roman" w:eastAsia="Times New Roman" w:hAnsi="Times New Roman" w:cs="Times New Roman"/>
          <w:color w:val="000000"/>
          <w:sz w:val="24"/>
          <w:szCs w:val="24"/>
        </w:rPr>
        <w:t xml:space="preserve"> and </w:t>
      </w:r>
      <m:oMath>
        <m:sSub>
          <m:sSubPr>
            <m:ctrlPr>
              <w:rPr>
                <w:rFonts w:ascii="Cambria Math" w:eastAsia="Cambria Math" w:hAnsi="Cambria Math" w:cs="Cambria Math"/>
                <w:color w:val="000000"/>
                <w:sz w:val="24"/>
                <w:szCs w:val="24"/>
              </w:rPr>
            </m:ctrlPr>
          </m:sSubPr>
          <m:e>
            <m:r>
              <w:rPr>
                <w:rFonts w:ascii="Cambria Math" w:eastAsia="Cambria Math" w:hAnsi="Cambria Math" w:cs="Cambria Math"/>
                <w:color w:val="000000"/>
                <w:sz w:val="24"/>
                <w:szCs w:val="24"/>
              </w:rPr>
              <m:t>g</m:t>
            </m:r>
          </m:e>
          <m:sub>
            <m:r>
              <w:rPr>
                <w:rFonts w:ascii="Cambria Math" w:eastAsia="Cambria Math" w:hAnsi="Cambria Math" w:cs="Cambria Math"/>
                <w:color w:val="000000"/>
                <w:sz w:val="24"/>
                <w:szCs w:val="24"/>
              </w:rPr>
              <m:t>3</m:t>
            </m:r>
          </m:sub>
        </m:sSub>
      </m:oMath>
      <w:r>
        <w:rPr>
          <w:rFonts w:ascii="Times New Roman" w:eastAsia="Times New Roman" w:hAnsi="Times New Roman" w:cs="Times New Roman"/>
          <w:color w:val="000000"/>
          <w:sz w:val="24"/>
          <w:szCs w:val="24"/>
        </w:rPr>
        <w:t xml:space="preserve"> represents the latent variables. The dotted lines show the fixed coefficients and the bold lines </w:t>
      </w:r>
      <w:r>
        <w:rPr>
          <w:rFonts w:ascii="Times New Roman" w:eastAsia="Times New Roman" w:hAnsi="Times New Roman" w:cs="Times New Roman"/>
          <w:sz w:val="24"/>
          <w:szCs w:val="24"/>
        </w:rPr>
        <w:t>show</w:t>
      </w:r>
      <w:r>
        <w:rPr>
          <w:rFonts w:ascii="Times New Roman" w:eastAsia="Times New Roman" w:hAnsi="Times New Roman" w:cs="Times New Roman"/>
          <w:color w:val="000000"/>
          <w:sz w:val="24"/>
          <w:szCs w:val="24"/>
        </w:rPr>
        <w:t xml:space="preserve"> the estimated coefficients.</w:t>
      </w:r>
    </w:p>
    <w:p w14:paraId="00000087" w14:textId="77777777" w:rsidR="0036428B" w:rsidRDefault="0036428B">
      <w:pPr>
        <w:spacing w:after="0"/>
        <w:jc w:val="both"/>
        <w:rPr>
          <w:rFonts w:ascii="Times New Roman" w:eastAsia="Times New Roman" w:hAnsi="Times New Roman" w:cs="Times New Roman"/>
          <w:color w:val="000000"/>
          <w:sz w:val="24"/>
          <w:szCs w:val="24"/>
        </w:rPr>
      </w:pPr>
    </w:p>
    <w:p w14:paraId="00000088" w14:textId="77777777" w:rsidR="0036428B" w:rsidRDefault="0036428B">
      <w:pPr>
        <w:spacing w:after="0"/>
        <w:jc w:val="both"/>
        <w:rPr>
          <w:rFonts w:ascii="Times New Roman" w:eastAsia="Times New Roman" w:hAnsi="Times New Roman" w:cs="Times New Roman"/>
          <w:color w:val="000000"/>
          <w:sz w:val="24"/>
          <w:szCs w:val="24"/>
        </w:rPr>
      </w:pPr>
    </w:p>
    <w:p w14:paraId="00000089" w14:textId="77777777" w:rsidR="0036428B" w:rsidRDefault="00831D93">
      <w:pPr>
        <w:spacing w:after="0"/>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Table legends:</w:t>
      </w:r>
    </w:p>
    <w:p w14:paraId="0000008A" w14:textId="77777777" w:rsidR="0036428B" w:rsidRDefault="0036428B">
      <w:pPr>
        <w:spacing w:after="0"/>
        <w:jc w:val="both"/>
        <w:rPr>
          <w:rFonts w:ascii="Times New Roman" w:eastAsia="Times New Roman" w:hAnsi="Times New Roman" w:cs="Times New Roman"/>
          <w:color w:val="000000"/>
          <w:sz w:val="24"/>
          <w:szCs w:val="24"/>
        </w:rPr>
      </w:pPr>
    </w:p>
    <w:p w14:paraId="0000008B" w14:textId="77777777" w:rsidR="0036428B" w:rsidRDefault="00831D93">
      <w:pPr>
        <w:spacing w:after="0"/>
        <w:jc w:val="both"/>
        <w:rPr>
          <w:rFonts w:ascii="Times New Roman" w:eastAsia="Times New Roman" w:hAnsi="Times New Roman" w:cs="Times New Roman"/>
          <w:color w:val="000000"/>
          <w:sz w:val="24"/>
          <w:szCs w:val="24"/>
          <w:vertAlign w:val="subscript"/>
        </w:rPr>
      </w:pPr>
      <w:r>
        <w:rPr>
          <w:rFonts w:ascii="Times New Roman" w:eastAsia="Times New Roman" w:hAnsi="Times New Roman" w:cs="Times New Roman"/>
          <w:b/>
          <w:color w:val="000000"/>
          <w:sz w:val="24"/>
          <w:szCs w:val="24"/>
        </w:rPr>
        <w:t xml:space="preserve">Table 1: </w:t>
      </w:r>
      <w:r>
        <w:rPr>
          <w:rFonts w:ascii="Times New Roman" w:eastAsia="Times New Roman" w:hAnsi="Times New Roman" w:cs="Times New Roman"/>
          <w:color w:val="000000"/>
          <w:sz w:val="24"/>
          <w:szCs w:val="24"/>
        </w:rPr>
        <w:t xml:space="preserve">Univariate analysis between total COVID-19 cases/million populations of a country and average total cholesterol (ATC) and BMI </w:t>
      </w:r>
    </w:p>
    <w:p w14:paraId="0000008C" w14:textId="77777777" w:rsidR="0036428B" w:rsidRDefault="0036428B">
      <w:pPr>
        <w:spacing w:after="0"/>
        <w:jc w:val="both"/>
        <w:rPr>
          <w:rFonts w:ascii="Times New Roman" w:eastAsia="Times New Roman" w:hAnsi="Times New Roman" w:cs="Times New Roman"/>
          <w:b/>
          <w:color w:val="000000"/>
          <w:sz w:val="24"/>
          <w:szCs w:val="24"/>
        </w:rPr>
      </w:pPr>
    </w:p>
    <w:p w14:paraId="0000008D" w14:textId="77777777" w:rsidR="0036428B" w:rsidRDefault="00831D93">
      <w:pPr>
        <w:ind w:left="270" w:hanging="270"/>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Table 2: </w:t>
      </w:r>
      <w:r>
        <w:rPr>
          <w:rFonts w:ascii="Times New Roman" w:eastAsia="Times New Roman" w:hAnsi="Times New Roman" w:cs="Times New Roman"/>
          <w:color w:val="000000"/>
          <w:sz w:val="24"/>
          <w:szCs w:val="24"/>
        </w:rPr>
        <w:t>Multiphase model determining the correlation between different covariates for all countries</w:t>
      </w:r>
    </w:p>
    <w:p w14:paraId="0000008E" w14:textId="77777777" w:rsidR="0036428B" w:rsidRDefault="00831D93">
      <w:pPr>
        <w:ind w:hanging="27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b/>
          <w:color w:val="000000"/>
          <w:sz w:val="24"/>
          <w:szCs w:val="24"/>
        </w:rPr>
        <w:t xml:space="preserve">Table 3: </w:t>
      </w:r>
      <w:r>
        <w:rPr>
          <w:rFonts w:ascii="Times New Roman" w:eastAsia="Times New Roman" w:hAnsi="Times New Roman" w:cs="Times New Roman"/>
          <w:sz w:val="24"/>
          <w:szCs w:val="24"/>
        </w:rPr>
        <w:t>Estimates for the Multiphase Model having time invariant covariates (TICs) and time-varying covariates (TVCs)</w:t>
      </w:r>
    </w:p>
    <w:sectPr w:rsidR="0036428B">
      <w:footerReference w:type="default" r:id="rId8"/>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EA1434B" w14:textId="77777777" w:rsidR="0067532B" w:rsidRDefault="0067532B">
      <w:pPr>
        <w:spacing w:after="0" w:line="240" w:lineRule="auto"/>
      </w:pPr>
      <w:r>
        <w:separator/>
      </w:r>
    </w:p>
  </w:endnote>
  <w:endnote w:type="continuationSeparator" w:id="0">
    <w:p w14:paraId="09BD284E" w14:textId="77777777" w:rsidR="0067532B" w:rsidRDefault="006753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Gungsuh">
    <w:altName w:val="Times New Roman"/>
    <w:panose1 w:val="02030600000101010101"/>
    <w:charset w:val="00"/>
    <w:family w:val="auto"/>
    <w:pitch w:val="default"/>
  </w:font>
  <w:font w:name="Cambria">
    <w:panose1 w:val="02040503050406030204"/>
    <w:charset w:val="00"/>
    <w:family w:val="roman"/>
    <w:pitch w:val="variable"/>
    <w:sig w:usb0="E00006FF" w:usb1="420024FF" w:usb2="02000000" w:usb3="00000000" w:csb0="0000019F" w:csb1="00000000"/>
  </w:font>
  <w:font w:name="Mangal">
    <w:panose1 w:val="02040503050203030202"/>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00008F" w14:textId="40639CAB" w:rsidR="0036428B" w:rsidRDefault="00831D93">
    <w:pPr>
      <w:pBdr>
        <w:top w:val="nil"/>
        <w:left w:val="nil"/>
        <w:bottom w:val="nil"/>
        <w:right w:val="nil"/>
        <w:between w:val="nil"/>
      </w:pBdr>
      <w:tabs>
        <w:tab w:val="center" w:pos="4513"/>
        <w:tab w:val="right" w:pos="9026"/>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656742">
      <w:rPr>
        <w:noProof/>
        <w:color w:val="000000"/>
      </w:rPr>
      <w:t>17</w:t>
    </w:r>
    <w:r>
      <w:rPr>
        <w:color w:val="000000"/>
      </w:rPr>
      <w:fldChar w:fldCharType="end"/>
    </w:r>
  </w:p>
  <w:p w14:paraId="00000090" w14:textId="77777777" w:rsidR="0036428B" w:rsidRDefault="0036428B">
    <w:pPr>
      <w:pBdr>
        <w:top w:val="nil"/>
        <w:left w:val="nil"/>
        <w:bottom w:val="nil"/>
        <w:right w:val="nil"/>
        <w:between w:val="nil"/>
      </w:pBdr>
      <w:tabs>
        <w:tab w:val="center" w:pos="4513"/>
        <w:tab w:val="right" w:pos="9026"/>
      </w:tabs>
      <w:spacing w:after="0" w:line="240" w:lineRule="auto"/>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47678E3" w14:textId="77777777" w:rsidR="0067532B" w:rsidRDefault="0067532B">
      <w:pPr>
        <w:spacing w:after="0" w:line="240" w:lineRule="auto"/>
      </w:pPr>
      <w:r>
        <w:separator/>
      </w:r>
    </w:p>
  </w:footnote>
  <w:footnote w:type="continuationSeparator" w:id="0">
    <w:p w14:paraId="42CB9C2F" w14:textId="77777777" w:rsidR="0067532B" w:rsidRDefault="0067532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428B"/>
    <w:rsid w:val="0016753E"/>
    <w:rsid w:val="00267AAF"/>
    <w:rsid w:val="0036428B"/>
    <w:rsid w:val="004A54C7"/>
    <w:rsid w:val="004D3D87"/>
    <w:rsid w:val="00611AD9"/>
    <w:rsid w:val="00647EEE"/>
    <w:rsid w:val="00656742"/>
    <w:rsid w:val="0067532B"/>
    <w:rsid w:val="00794A8E"/>
    <w:rsid w:val="007E42BF"/>
    <w:rsid w:val="00831D93"/>
    <w:rsid w:val="00845392"/>
    <w:rsid w:val="008C6D16"/>
    <w:rsid w:val="009149BB"/>
    <w:rsid w:val="0095152B"/>
    <w:rsid w:val="00A12048"/>
    <w:rsid w:val="00B4439F"/>
    <w:rsid w:val="00B54256"/>
    <w:rsid w:val="00B7515A"/>
    <w:rsid w:val="00BA6A75"/>
    <w:rsid w:val="00C0274A"/>
    <w:rsid w:val="00C64529"/>
    <w:rsid w:val="00C87EBB"/>
    <w:rsid w:val="00CB3D7E"/>
    <w:rsid w:val="00CC0181"/>
    <w:rsid w:val="00D02561"/>
    <w:rsid w:val="00D377C4"/>
    <w:rsid w:val="00D70B50"/>
    <w:rsid w:val="00DB5CDB"/>
    <w:rsid w:val="00E5271A"/>
    <w:rsid w:val="00E81340"/>
    <w:rsid w:val="00F05359"/>
    <w:rsid w:val="00F50442"/>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E4DCA4B-9D99-4169-A8E8-346924DEEB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IN" w:eastAsia="en-I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27CAE"/>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customStyle="1" w:styleId="EndNoteBibliographyTitle">
    <w:name w:val="EndNote Bibliography Title"/>
    <w:basedOn w:val="Normal"/>
    <w:link w:val="EndNoteBibliographyTitleChar"/>
    <w:rsid w:val="00733909"/>
    <w:pPr>
      <w:spacing w:after="0"/>
      <w:jc w:val="center"/>
    </w:pPr>
    <w:rPr>
      <w:noProof/>
      <w:lang w:val="en-US"/>
    </w:rPr>
  </w:style>
  <w:style w:type="character" w:customStyle="1" w:styleId="EndNoteBibliographyTitleChar">
    <w:name w:val="EndNote Bibliography Title Char"/>
    <w:basedOn w:val="DefaultParagraphFont"/>
    <w:link w:val="EndNoteBibliographyTitle"/>
    <w:rsid w:val="00733909"/>
    <w:rPr>
      <w:rFonts w:ascii="Calibri" w:hAnsi="Calibri" w:cs="Calibri"/>
      <w:noProof/>
      <w:lang w:val="en-US"/>
    </w:rPr>
  </w:style>
  <w:style w:type="paragraph" w:customStyle="1" w:styleId="EndNoteBibliography">
    <w:name w:val="EndNote Bibliography"/>
    <w:basedOn w:val="Normal"/>
    <w:link w:val="EndNoteBibliographyChar"/>
    <w:rsid w:val="00733909"/>
    <w:pPr>
      <w:spacing w:line="240" w:lineRule="auto"/>
      <w:jc w:val="both"/>
    </w:pPr>
    <w:rPr>
      <w:noProof/>
      <w:lang w:val="en-US"/>
    </w:rPr>
  </w:style>
  <w:style w:type="character" w:customStyle="1" w:styleId="EndNoteBibliographyChar">
    <w:name w:val="EndNote Bibliography Char"/>
    <w:basedOn w:val="DefaultParagraphFont"/>
    <w:link w:val="EndNoteBibliography"/>
    <w:rsid w:val="00733909"/>
    <w:rPr>
      <w:rFonts w:ascii="Calibri" w:hAnsi="Calibri" w:cs="Calibri"/>
      <w:noProof/>
      <w:lang w:val="en-US"/>
    </w:rPr>
  </w:style>
  <w:style w:type="paragraph" w:styleId="Header">
    <w:name w:val="header"/>
    <w:basedOn w:val="Normal"/>
    <w:link w:val="HeaderChar"/>
    <w:uiPriority w:val="99"/>
    <w:unhideWhenUsed/>
    <w:rsid w:val="007A6409"/>
    <w:pPr>
      <w:tabs>
        <w:tab w:val="center" w:pos="4513"/>
        <w:tab w:val="right" w:pos="9026"/>
      </w:tabs>
      <w:spacing w:after="0" w:line="240" w:lineRule="auto"/>
    </w:pPr>
  </w:style>
  <w:style w:type="character" w:customStyle="1" w:styleId="HeaderChar">
    <w:name w:val="Header Char"/>
    <w:basedOn w:val="DefaultParagraphFont"/>
    <w:link w:val="Header"/>
    <w:uiPriority w:val="99"/>
    <w:rsid w:val="007A6409"/>
  </w:style>
  <w:style w:type="paragraph" w:styleId="Footer">
    <w:name w:val="footer"/>
    <w:basedOn w:val="Normal"/>
    <w:link w:val="FooterChar"/>
    <w:uiPriority w:val="99"/>
    <w:unhideWhenUsed/>
    <w:rsid w:val="007A6409"/>
    <w:pPr>
      <w:tabs>
        <w:tab w:val="center" w:pos="4513"/>
        <w:tab w:val="right" w:pos="9026"/>
      </w:tabs>
      <w:spacing w:after="0" w:line="240" w:lineRule="auto"/>
    </w:pPr>
  </w:style>
  <w:style w:type="character" w:customStyle="1" w:styleId="FooterChar">
    <w:name w:val="Footer Char"/>
    <w:basedOn w:val="DefaultParagraphFont"/>
    <w:link w:val="Footer"/>
    <w:uiPriority w:val="99"/>
    <w:rsid w:val="007A6409"/>
  </w:style>
  <w:style w:type="character" w:styleId="PlaceholderText">
    <w:name w:val="Placeholder Text"/>
    <w:basedOn w:val="DefaultParagraphFont"/>
    <w:uiPriority w:val="99"/>
    <w:semiHidden/>
    <w:rsid w:val="00E638BE"/>
    <w:rPr>
      <w:color w:val="808080"/>
    </w:rPr>
  </w:style>
  <w:style w:type="paragraph" w:styleId="BalloonText">
    <w:name w:val="Balloon Text"/>
    <w:basedOn w:val="Normal"/>
    <w:link w:val="BalloonTextChar"/>
    <w:uiPriority w:val="99"/>
    <w:semiHidden/>
    <w:unhideWhenUsed/>
    <w:rsid w:val="00687E2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7E29"/>
    <w:rPr>
      <w:rFonts w:ascii="Tahoma" w:hAnsi="Tahoma" w:cs="Tahoma"/>
      <w:sz w:val="16"/>
      <w:szCs w:val="16"/>
    </w:rPr>
  </w:style>
  <w:style w:type="paragraph" w:styleId="NormalWeb">
    <w:name w:val="Normal (Web)"/>
    <w:basedOn w:val="Normal"/>
    <w:uiPriority w:val="99"/>
    <w:unhideWhenUsed/>
    <w:rsid w:val="00775582"/>
    <w:pPr>
      <w:spacing w:before="100" w:beforeAutospacing="1" w:after="100" w:afterAutospacing="1" w:line="240" w:lineRule="auto"/>
    </w:pPr>
    <w:rPr>
      <w:rFonts w:ascii="Times New Roman" w:eastAsia="Times New Roman" w:hAnsi="Times New Roman" w:cs="Times New Roman"/>
      <w:sz w:val="24"/>
      <w:szCs w:val="24"/>
      <w:lang w:val="en-US" w:bidi="hi-IN"/>
    </w:rPr>
  </w:style>
  <w:style w:type="character" w:styleId="Hyperlink">
    <w:name w:val="Hyperlink"/>
    <w:basedOn w:val="DefaultParagraphFont"/>
    <w:uiPriority w:val="99"/>
    <w:unhideWhenUsed/>
    <w:rsid w:val="00477AD0"/>
    <w:rPr>
      <w:color w:val="0000FF" w:themeColor="hyperlink"/>
      <w:u w:val="single"/>
    </w:rPr>
  </w:style>
  <w:style w:type="character" w:styleId="LineNumber">
    <w:name w:val="line number"/>
    <w:basedOn w:val="DefaultParagraphFont"/>
    <w:uiPriority w:val="99"/>
    <w:semiHidden/>
    <w:unhideWhenUsed/>
    <w:rsid w:val="00ED3BC4"/>
  </w:style>
  <w:style w:type="paragraph" w:styleId="Revision">
    <w:name w:val="Revision"/>
    <w:hidden/>
    <w:uiPriority w:val="99"/>
    <w:semiHidden/>
    <w:rsid w:val="002F1FC8"/>
    <w:pPr>
      <w:spacing w:after="0" w:line="240" w:lineRule="auto"/>
    </w:pPr>
  </w:style>
  <w:style w:type="character" w:styleId="CommentReference">
    <w:name w:val="annotation reference"/>
    <w:basedOn w:val="DefaultParagraphFont"/>
    <w:uiPriority w:val="99"/>
    <w:semiHidden/>
    <w:unhideWhenUsed/>
    <w:rsid w:val="00307D95"/>
    <w:rPr>
      <w:sz w:val="16"/>
      <w:szCs w:val="16"/>
    </w:rPr>
  </w:style>
  <w:style w:type="paragraph" w:styleId="CommentText">
    <w:name w:val="annotation text"/>
    <w:basedOn w:val="Normal"/>
    <w:link w:val="CommentTextChar"/>
    <w:uiPriority w:val="99"/>
    <w:semiHidden/>
    <w:unhideWhenUsed/>
    <w:rsid w:val="00307D95"/>
    <w:pPr>
      <w:spacing w:line="240" w:lineRule="auto"/>
    </w:pPr>
    <w:rPr>
      <w:sz w:val="20"/>
      <w:szCs w:val="20"/>
    </w:rPr>
  </w:style>
  <w:style w:type="character" w:customStyle="1" w:styleId="CommentTextChar">
    <w:name w:val="Comment Text Char"/>
    <w:basedOn w:val="DefaultParagraphFont"/>
    <w:link w:val="CommentText"/>
    <w:uiPriority w:val="99"/>
    <w:semiHidden/>
    <w:rsid w:val="00307D95"/>
    <w:rPr>
      <w:sz w:val="20"/>
      <w:szCs w:val="20"/>
    </w:rPr>
  </w:style>
  <w:style w:type="paragraph" w:styleId="CommentSubject">
    <w:name w:val="annotation subject"/>
    <w:basedOn w:val="CommentText"/>
    <w:next w:val="CommentText"/>
    <w:link w:val="CommentSubjectChar"/>
    <w:uiPriority w:val="99"/>
    <w:semiHidden/>
    <w:unhideWhenUsed/>
    <w:rsid w:val="00307D95"/>
    <w:rPr>
      <w:b/>
      <w:bCs/>
    </w:rPr>
  </w:style>
  <w:style w:type="character" w:customStyle="1" w:styleId="CommentSubjectChar">
    <w:name w:val="Comment Subject Char"/>
    <w:basedOn w:val="CommentTextChar"/>
    <w:link w:val="CommentSubject"/>
    <w:uiPriority w:val="99"/>
    <w:semiHidden/>
    <w:rsid w:val="00307D95"/>
    <w:rPr>
      <w:b/>
      <w:bCs/>
      <w:sz w:val="20"/>
      <w:szCs w:val="20"/>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ccmandal@curaj.ac.in"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qkO896x+A4MmwqL+7yj4IQ7zcPQ==">AMUW2mVZnJEiGjSysE8Q/RXy0og6AeUIBGosI9LKvztP7nB7gZ8YkR6sgf2NOVPGTIBUsFMWsH7wdQOcpXMxeqy6nJUYZetAgTi859fD/VFNQ4MWgGxyxeTqZ1SzyTWNhM3yr16Rg9gcW5oXfPOyl8K2Hl5A2hx43uHyktukAFBfqoQMemCy+xM=</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17</Pages>
  <Words>7049</Words>
  <Characters>40180</Characters>
  <Application>Microsoft Office Word</Application>
  <DocSecurity>0</DocSecurity>
  <Lines>334</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Microsoft account</cp:lastModifiedBy>
  <cp:revision>32</cp:revision>
  <dcterms:created xsi:type="dcterms:W3CDTF">2022-02-23T14:45:00Z</dcterms:created>
  <dcterms:modified xsi:type="dcterms:W3CDTF">2022-03-11T12:19:00Z</dcterms:modified>
</cp:coreProperties>
</file>