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IEC 62443 Compliance Report</w:t>
      </w:r>
    </w:p>
    <w:bookmarkStart w:id="22" w:name="X0c1d5c09728ec4a30bdab69422284fc6cc95ce9"/>
    <w:p>
      <w:pPr>
        <w:pStyle w:val="Heading1"/>
      </w:pPr>
      <w:r>
        <w:t xml:space="preserve">Cisco Secure Workload - IEC 62443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IEC 62443 - Industrial Automation and Control Systems Security</w:t>
      </w:r>
      <w:r>
        <w:br/>
      </w:r>
      <w:r>
        <w:rPr>
          <w:b/>
          <w:bCs/>
        </w:rPr>
        <w:t xml:space="preserve">Primary audience:</w:t>
      </w:r>
      <w:r>
        <w:t xml:space="preserve"> </w:t>
      </w:r>
      <w:r>
        <w:t xml:space="preserve">Industrial, manufacturing, energy, utilities, transportation, and pharmaceutical operators and integrators applying IEC 62443 zones and conduits architecture.</w:t>
      </w:r>
      <w:r>
        <w:br/>
      </w:r>
      <w:r>
        <w:rPr>
          <w:b/>
          <w:bCs/>
        </w:rPr>
        <w:t xml:space="preserve">CSW positioning:</w:t>
      </w:r>
      <w:r>
        <w:t xml:space="preserve"> </w:t>
      </w:r>
      <w:r>
        <w:t xml:space="preserve">IT-side workload segmentation that aligns with zones and conduits architecture; the OT device-layer SR controls are addressed by an OT-native product (Cyber Vision, Claroty, Nozomi).</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IEC 62443 is a multi-part series (e.g. 62443-2-1 for IACS security programmes, 62443-3-2 for zones and conduits / risk assessment, 62443-3-3 for system security requirements, 62443-4-2 for component requirements). This report focuses on the zones-and-conduits and system-security-requirement themes; cite the specific part and edition relevant to the customer’s certification scope.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CSW-IEC-62443-Technical-Runbook.md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IEC-62443</w:t>
      </w:r>
      <w:r>
        <w:br/>
      </w:r>
      <w:r>
        <w:rPr>
          <w:rStyle w:val="VerbatimChar"/>
        </w:rPr>
        <w:t xml:space="preserve">├── IT-Side-Zones (Enterprise-Zone, Operations-Zone-IT-Side)</w:t>
      </w:r>
      <w:r>
        <w:br/>
      </w:r>
      <w:r>
        <w:rPr>
          <w:rStyle w:val="VerbatimChar"/>
        </w:rPr>
        <w:t xml:space="preserve">├── IT-OT-DMZ-IT-Side (Historians, Engineering-Workstations, Jump-Hosts, Patch-Servers, Asset-Servers)</w:t>
      </w:r>
      <w:r>
        <w:br/>
      </w:r>
      <w:r>
        <w:rPr>
          <w:rStyle w:val="VerbatimChar"/>
        </w:rPr>
        <w:t xml:space="preserve">├── Conduits (observed IT-side endpoints of every IT-OT conduit)</w:t>
      </w:r>
      <w:r>
        <w:br/>
      </w:r>
      <w:r>
        <w:rPr>
          <w:rStyle w:val="VerbatimChar"/>
        </w:rPr>
        <w:t xml:space="preserve">└── OT-Side-Zones (NOT instrumented; observed via conduit endpoints)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Zone definition (IT side) and IT-side conduit endpoints</w:t>
      </w:r>
    </w:p>
    <w:p>
      <w:pPr>
        <w:pStyle w:val="Compact"/>
        <w:numPr>
          <w:ilvl w:val="0"/>
          <w:numId w:val="1001"/>
        </w:numPr>
      </w:pPr>
      <w:r>
        <w:t xml:space="preserve">Foundational Requirement-aligned themes on the IT side: Identification and Authentication Control (FR1), Use Control (FR2), System Integrity / monitoring (FR3 / FR6), Data Confidentiality (detection, FR4), Restricted Data Flow (FR5)</w:t>
      </w:r>
    </w:p>
    <w:p>
      <w:pPr>
        <w:pStyle w:val="Compact"/>
        <w:numPr>
          <w:ilvl w:val="0"/>
          <w:numId w:val="1001"/>
        </w:numPr>
      </w:pPr>
      <w:r>
        <w:t xml:space="preserve">Network architecture evidence on the IT side</w:t>
      </w:r>
    </w:p>
    <w:p>
      <w:pPr>
        <w:pStyle w:val="Compact"/>
        <w:numPr>
          <w:ilvl w:val="0"/>
          <w:numId w:val="1001"/>
        </w:numPr>
      </w:pPr>
      <w:r>
        <w:t xml:space="preserve">Vulnerability management with reachability context</w:t>
      </w:r>
    </w:p>
    <w:p>
      <w:pPr>
        <w:pStyle w:val="Compact"/>
        <w:numPr>
          <w:ilvl w:val="0"/>
          <w:numId w:val="1001"/>
        </w:numPr>
      </w:pPr>
      <w:r>
        <w:t xml:space="preserve">Incident response - IT-side forensic input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Component-level (FR / SR) requirements on OT devices (PLC, RTU, IED, HMI)</w:t>
      </w:r>
    </w:p>
    <w:p>
      <w:pPr>
        <w:pStyle w:val="Compact"/>
        <w:numPr>
          <w:ilvl w:val="0"/>
          <w:numId w:val="1002"/>
        </w:numPr>
      </w:pPr>
      <w:r>
        <w:t xml:space="preserve">OT protocol inspection and OT change management</w:t>
      </w:r>
    </w:p>
    <w:p>
      <w:pPr>
        <w:pStyle w:val="Compact"/>
        <w:numPr>
          <w:ilvl w:val="0"/>
          <w:numId w:val="1002"/>
        </w:numPr>
      </w:pPr>
      <w:r>
        <w:t xml:space="preserve">Physical security and personnel controls</w:t>
      </w:r>
    </w:p>
    <w:p>
      <w:pPr>
        <w:pStyle w:val="Compact"/>
        <w:numPr>
          <w:ilvl w:val="0"/>
          <w:numId w:val="1002"/>
        </w:numPr>
      </w:pPr>
      <w:r>
        <w:t xml:space="preserve">Cryptography enforcement on OT links</w:t>
      </w:r>
    </w:p>
    <w:p>
      <w:pPr>
        <w:pStyle w:val="Compact"/>
        <w:numPr>
          <w:ilvl w:val="0"/>
          <w:numId w:val="1002"/>
        </w:numPr>
      </w:pPr>
      <w:r>
        <w:t xml:space="preserve">Safety system controls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Zone and conduit architecture (IT side)</w:t>
            </w:r>
          </w:p>
        </w:tc>
        <w:tc>
          <w:tcPr/>
          <w:p>
            <w:pPr>
              <w:pStyle w:val="Compact"/>
            </w:pPr>
            <w:r>
              <w:t xml:space="preserve">Scope architecture mirroring zones; policy workspace as conduit allowlist</w:t>
            </w:r>
          </w:p>
        </w:tc>
        <w:tc>
          <w:tcPr/>
          <w:p>
            <w:pPr>
              <w:pStyle w:val="Compact"/>
            </w:pPr>
            <w:r>
              <w:t xml:space="preserve">Workspace snapshot + observed conduit flow report</w:t>
            </w:r>
          </w:p>
        </w:tc>
      </w:tr>
      <w:tr>
        <w:tc>
          <w:tcPr/>
          <w:p>
            <w:pPr>
              <w:pStyle w:val="Compact"/>
            </w:pPr>
            <w:r>
              <w:t xml:space="preserve">Restricted Data Flow (FR5, IT side)</w:t>
            </w:r>
          </w:p>
        </w:tc>
        <w:tc>
          <w:tcPr/>
          <w:p>
            <w:pPr>
              <w:pStyle w:val="Compact"/>
            </w:pPr>
            <w:r>
              <w:t xml:space="preserve">Workload-to-workload allowlist between zones; cross-zone deny enforcement</w:t>
            </w:r>
          </w:p>
        </w:tc>
        <w:tc>
          <w:tcPr/>
          <w:p>
            <w:pPr>
              <w:pStyle w:val="Compact"/>
            </w:pPr>
            <w:r>
              <w:t xml:space="preserve">Policy workspace + cross-zone violation log</w:t>
            </w:r>
          </w:p>
        </w:tc>
      </w:tr>
      <w:tr>
        <w:tc>
          <w:tcPr/>
          <w:p>
            <w:pPr>
              <w:pStyle w:val="Compact"/>
            </w:pPr>
            <w:r>
              <w:t xml:space="preserve">System Integrity / Monitoring (FR3 / FR6)</w:t>
            </w:r>
          </w:p>
        </w:tc>
        <w:tc>
          <w:tcPr/>
          <w:p>
            <w:pPr>
              <w:pStyle w:val="Compact"/>
            </w:pPr>
            <w:r>
              <w:t xml:space="preserve">Continuous flow + process telemetry; alerts on unauthorised conduit flow</w:t>
            </w:r>
          </w:p>
        </w:tc>
        <w:tc>
          <w:tcPr/>
          <w:p>
            <w:pPr>
              <w:pStyle w:val="Compact"/>
            </w:pPr>
            <w:r>
              <w:t xml:space="preserve">Alert and anomaly log scoped to IEC-62443</w:t>
            </w:r>
          </w:p>
        </w:tc>
      </w:tr>
      <w:tr>
        <w:tc>
          <w:tcPr/>
          <w:p>
            <w:pPr>
              <w:pStyle w:val="Compact"/>
            </w:pPr>
            <w:r>
              <w:t xml:space="preserve">Use Control (FR2) workload layer</w:t>
            </w:r>
          </w:p>
        </w:tc>
        <w:tc>
          <w:tcPr/>
          <w:p>
            <w:pPr>
              <w:pStyle w:val="Compact"/>
            </w:pPr>
            <w:r>
              <w:t xml:space="preserve">Policy workspace + enforcement / violation log</w:t>
            </w:r>
          </w:p>
        </w:tc>
        <w:tc>
          <w:tcPr/>
          <w:p>
            <w:pPr>
              <w:pStyle w:val="Compact"/>
            </w:pPr>
            <w:r>
              <w:t xml:space="preserve">Workload-to-workload use-control evidence</w:t>
            </w:r>
          </w:p>
        </w:tc>
      </w:tr>
      <w:tr>
        <w:tc>
          <w:tcPr/>
          <w:p>
            <w:pPr>
              <w:pStyle w:val="Compact"/>
            </w:pPr>
            <w:r>
              <w:t xml:space="preserve">Data Confidentiality (FR4) detection</w:t>
            </w:r>
          </w:p>
        </w:tc>
        <w:tc>
          <w:tcPr/>
          <w:p>
            <w:pPr>
              <w:pStyle w:val="Compact"/>
            </w:pPr>
            <w:r>
              <w:t xml:space="preserve">Plaintext-flow detection on regulated paths</w:t>
            </w:r>
          </w:p>
        </w:tc>
        <w:tc>
          <w:tcPr/>
          <w:p>
            <w:pPr>
              <w:pStyle w:val="Compact"/>
            </w:pPr>
            <w:r>
              <w:t xml:space="preserve">Detection input only</w:t>
            </w:r>
          </w:p>
        </w:tc>
      </w:tr>
      <w:tr>
        <w:tc>
          <w:tcPr/>
          <w:p>
            <w:pPr>
              <w:pStyle w:val="Compact"/>
            </w:pPr>
            <w:r>
              <w:t xml:space="preserve">Vulnerability handling</w:t>
            </w:r>
          </w:p>
        </w:tc>
        <w:tc>
          <w:tcPr/>
          <w:p>
            <w:pPr>
              <w:pStyle w:val="Compact"/>
            </w:pPr>
            <w:r>
              <w:t xml:space="preserve">Reachability-weighted CVE on IT-side zone members</w:t>
            </w:r>
          </w:p>
        </w:tc>
        <w:tc>
          <w:tcPr/>
          <w:p>
            <w:pPr>
              <w:pStyle w:val="Compact"/>
            </w:pPr>
            <w:r>
              <w:t xml:space="preserve">Prioritised remediation list with compensating-control register</w:t>
            </w:r>
          </w:p>
        </w:tc>
      </w:tr>
      <w:tr>
        <w:tc>
          <w:tcPr/>
          <w:p>
            <w:pPr>
              <w:pStyle w:val="Compact"/>
            </w:pPr>
            <w:r>
              <w:t xml:space="preserve">Incident response (IT side)</w:t>
            </w:r>
          </w:p>
        </w:tc>
        <w:tc>
          <w:tcPr/>
          <w:p>
            <w:pPr>
              <w:pStyle w:val="Compact"/>
            </w:pPr>
            <w:r>
              <w:t xml:space="preserve">Forensic flow + process telemetry</w:t>
            </w:r>
          </w:p>
        </w:tc>
        <w:tc>
          <w:tcPr/>
          <w:p>
            <w:pPr>
              <w:pStyle w:val="Compact"/>
            </w:pPr>
            <w:r>
              <w:t xml:space="preserve">Investigation pack with timeline and impact scope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Zone inventory (IT side)</w:t>
            </w:r>
          </w:p>
        </w:tc>
        <w:tc>
          <w:tcPr/>
          <w:p>
            <w:pPr>
              <w:pStyle w:val="Compact"/>
            </w:pPr>
            <w:r>
              <w:t xml:space="preserve">Workloads grouped by zone and conduit endpoint</w:t>
            </w:r>
          </w:p>
        </w:tc>
        <w:tc>
          <w:tcPr/>
          <w:p>
            <w:pPr>
              <w:pStyle w:val="Compact"/>
            </w:pPr>
            <w:r>
              <w:t xml:space="preserve">Inventory + scope membership export with iec62443_zone label</w:t>
            </w:r>
          </w:p>
        </w:tc>
        <w:tc>
          <w:tcPr/>
          <w:p>
            <w:pPr>
              <w:pStyle w:val="Compact"/>
            </w:pPr>
            <w:r>
              <w:t xml:space="preserve">Monthly</w:t>
            </w:r>
          </w:p>
        </w:tc>
      </w:tr>
      <w:tr>
        <w:tc>
          <w:tcPr/>
          <w:p>
            <w:pPr>
              <w:pStyle w:val="Compact"/>
            </w:pPr>
            <w:r>
              <w:t xml:space="preserve">Conduit evidence</w:t>
            </w:r>
          </w:p>
        </w:tc>
        <w:tc>
          <w:tcPr/>
          <w:p>
            <w:pPr>
              <w:pStyle w:val="Compact"/>
            </w:pPr>
            <w:r>
              <w:t xml:space="preserve">Observed and approved IT-side conduit flows</w:t>
            </w:r>
          </w:p>
        </w:tc>
        <w:tc>
          <w:tcPr/>
          <w:p>
            <w:pPr>
              <w:pStyle w:val="Compact"/>
            </w:pPr>
            <w:r>
              <w:t xml:space="preserve">ADM workspace export + policy workspace export</w:t>
            </w:r>
          </w:p>
        </w:tc>
        <w:tc>
          <w:tcPr/>
          <w:p>
            <w:pPr>
              <w:pStyle w:val="Compact"/>
            </w:pPr>
            <w:r>
              <w:t xml:space="preserve">Quarterly</w:t>
            </w:r>
          </w:p>
        </w:tc>
      </w:tr>
      <w:tr>
        <w:tc>
          <w:tcPr/>
          <w:p>
            <w:pPr>
              <w:pStyle w:val="Compact"/>
            </w:pPr>
            <w:r>
              <w:t xml:space="preserve">Cross-zone deny evidence</w:t>
            </w:r>
          </w:p>
        </w:tc>
        <w:tc>
          <w:tcPr/>
          <w:p>
            <w:pPr>
              <w:pStyle w:val="Compact"/>
            </w:pPr>
            <w:r>
              <w:t xml:space="preserve">Cross-zone violation log</w:t>
            </w:r>
          </w:p>
        </w:tc>
        <w:tc>
          <w:tcPr/>
          <w:p>
            <w:pPr>
              <w:pStyle w:val="Compact"/>
            </w:pPr>
            <w:r>
              <w:t xml:space="preserve">Policy analysis output</w:t>
            </w:r>
          </w:p>
        </w:tc>
        <w:tc>
          <w:tcPr/>
          <w:p>
            <w:pPr>
              <w:pStyle w:val="Compact"/>
            </w:pPr>
            <w:r>
              <w:t xml:space="preserve">Continuous; reviewed quarterly</w:t>
            </w:r>
          </w:p>
        </w:tc>
      </w:tr>
      <w:tr>
        <w:tc>
          <w:tcPr/>
          <w:p>
            <w:pPr>
              <w:pStyle w:val="Compact"/>
            </w:pPr>
            <w:r>
              <w:t xml:space="preserve">Vulnerability + reachability</w:t>
            </w:r>
          </w:p>
        </w:tc>
        <w:tc>
          <w:tcPr/>
          <w:p>
            <w:pPr>
              <w:pStyle w:val="Compact"/>
            </w:pPr>
            <w:r>
              <w:t xml:space="preserve">CVE list weighted by reach into OT-side zones</w:t>
            </w:r>
          </w:p>
        </w:tc>
        <w:tc>
          <w:tcPr/>
          <w:p>
            <w:pPr>
              <w:pStyle w:val="Compact"/>
            </w:pPr>
            <w:r>
              <w:t xml:space="preserve">Vulnerability report scoped to IEC-62443</w:t>
            </w:r>
          </w:p>
        </w:tc>
        <w:tc>
          <w:tcPr/>
          <w:p>
            <w:pPr>
              <w:pStyle w:val="Compact"/>
            </w:pPr>
            <w:r>
              <w:t xml:space="preserve">Monthly</w:t>
            </w:r>
          </w:p>
        </w:tc>
      </w:tr>
      <w:tr>
        <w:tc>
          <w:tcPr/>
          <w:p>
            <w:pPr>
              <w:pStyle w:val="Compact"/>
            </w:pPr>
            <w:r>
              <w:t xml:space="preserve">Incident sample</w:t>
            </w:r>
          </w:p>
        </w:tc>
        <w:tc>
          <w:tcPr/>
          <w:p>
            <w:pPr>
              <w:pStyle w:val="Compact"/>
            </w:pPr>
            <w:r>
              <w:t xml:space="preserve">One representative IT-side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certify against IEC 62443, parse OT protocols, enforce SR controls on OT components, manage OT change windows, or replace an OT-native product (Cyber Vision, Claroty, Nozomi, Dragos) for OT device discovery and protocol inspection.</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IEC 62443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