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TISAX / VDA ISA Compliance Report</w:t>
      </w:r>
    </w:p>
    <w:bookmarkStart w:id="22" w:name="Xafd3b9e2ec65980feec55d8488686f4fdb7c17e"/>
    <w:p>
      <w:pPr>
        <w:pStyle w:val="Heading1"/>
      </w:pPr>
      <w:r>
        <w:t xml:space="preserve">Cisco Secure Workload - TISAX / VDA ISA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TISAX (Trusted Information Security Assessment Exchange) - assessment of the VDA ISA (Information Security Assessment) catalogue</w:t>
      </w:r>
      <w:r>
        <w:br/>
      </w:r>
      <w:r>
        <w:rPr>
          <w:b/>
          <w:bCs/>
        </w:rPr>
        <w:t xml:space="preserve">Primary audience:</w:t>
      </w:r>
      <w:r>
        <w:t xml:space="preserve"> </w:t>
      </w:r>
      <w:r>
        <w:t xml:space="preserve">Automotive suppliers, OEM partners, and engineering / development service providers preparing for, maintaining, or renewing a TISAX assessment.</w:t>
      </w:r>
      <w:r>
        <w:br/>
      </w:r>
      <w:r>
        <w:rPr>
          <w:b/>
          <w:bCs/>
        </w:rPr>
        <w:t xml:space="preserve">CSW positioning:</w:t>
      </w:r>
      <w:r>
        <w:t xml:space="preserve"> </w:t>
      </w:r>
      <w:r>
        <w:t xml:space="preserve">Information security level evidence, prototype-protection segmentation, data-protection segmentation, and supplier readiness for the ENX/TISAX assessment.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TISAX is the assessment label operated by the ENX Association; VDA ISA is the underlying control catalogue. VDA ISA has multiple published versions (5.x at time of writing). This report references VDA ISA topic areas by name, not specific control numbers, because control numbering may vary across catalogue versions. Validate against the VDA ISA workbook version applicable to your assessment scope and assessment objectives (AL 1 / AL 2 / AL 3 / AL High / AL Very High).</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CSW-TISAX-Technical-Runbook.md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TISAX</w:t>
      </w:r>
      <w:r>
        <w:br/>
      </w:r>
      <w:r>
        <w:rPr>
          <w:rStyle w:val="VerbatimChar"/>
        </w:rPr>
        <w:t xml:space="preserve">├── Information-Security-Scope (Production-Workloads, Engineering-Workloads, Corporate-Adjacent)</w:t>
      </w:r>
      <w:r>
        <w:br/>
      </w:r>
      <w:r>
        <w:rPr>
          <w:rStyle w:val="VerbatimChar"/>
        </w:rPr>
        <w:t xml:space="preserve">├── Prototype-Protection-Scope (only when in assessment scope)</w:t>
      </w:r>
      <w:r>
        <w:br/>
      </w:r>
      <w:r>
        <w:rPr>
          <w:rStyle w:val="VerbatimChar"/>
        </w:rPr>
        <w:t xml:space="preserve">├── Data-Protection-Scope (only when in assessment scope)</w:t>
      </w:r>
      <w:r>
        <w:br/>
      </w:r>
      <w:r>
        <w:rPr>
          <w:rStyle w:val="VerbatimChar"/>
        </w:rPr>
        <w:t xml:space="preserve">├── Security-Services</w:t>
      </w:r>
      <w:r>
        <w:br/>
      </w:r>
      <w:r>
        <w:rPr>
          <w:rStyle w:val="VerbatimChar"/>
        </w:rPr>
        <w:t xml:space="preserve">└── Supplier-Edges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Asset Management (workload inventory, labels, reachability)</w:t>
      </w:r>
    </w:p>
    <w:p>
      <w:pPr>
        <w:pStyle w:val="Compact"/>
        <w:numPr>
          <w:ilvl w:val="0"/>
          <w:numId w:val="1001"/>
        </w:numPr>
      </w:pPr>
      <w:r>
        <w:t xml:space="preserve">Communication Security (workload-level segmentation)</w:t>
      </w:r>
    </w:p>
    <w:p>
      <w:pPr>
        <w:pStyle w:val="Compact"/>
        <w:numPr>
          <w:ilvl w:val="0"/>
          <w:numId w:val="1001"/>
        </w:numPr>
      </w:pPr>
      <w:r>
        <w:t xml:space="preserve">Operations Security (continuous monitoring, vulnerability + reachability)</w:t>
      </w:r>
    </w:p>
    <w:p>
      <w:pPr>
        <w:pStyle w:val="Compact"/>
        <w:numPr>
          <w:ilvl w:val="0"/>
          <w:numId w:val="1001"/>
        </w:numPr>
      </w:pPr>
      <w:r>
        <w:t xml:space="preserve">Identity and Access Management (workload-to-workload layer)</w:t>
      </w:r>
    </w:p>
    <w:p>
      <w:pPr>
        <w:pStyle w:val="Compact"/>
        <w:numPr>
          <w:ilvl w:val="0"/>
          <w:numId w:val="1001"/>
        </w:numPr>
      </w:pPr>
      <w:r>
        <w:t xml:space="preserve">Information Security Incident Management (forensic flow / process telemetry)</w:t>
      </w:r>
    </w:p>
    <w:p>
      <w:pPr>
        <w:pStyle w:val="Compact"/>
        <w:numPr>
          <w:ilvl w:val="0"/>
          <w:numId w:val="1001"/>
        </w:numPr>
      </w:pPr>
      <w:r>
        <w:t xml:space="preserve">Prototype Protection (when in scope - isolation evidence)</w:t>
      </w:r>
    </w:p>
    <w:p>
      <w:pPr>
        <w:pStyle w:val="Compact"/>
        <w:numPr>
          <w:ilvl w:val="0"/>
          <w:numId w:val="1001"/>
        </w:numPr>
      </w:pPr>
      <w:r>
        <w:t xml:space="preserve">Data Protection (when in scope - isolation evidence)</w:t>
      </w:r>
    </w:p>
    <w:p>
      <w:pPr>
        <w:pStyle w:val="Compact"/>
        <w:numPr>
          <w:ilvl w:val="0"/>
          <w:numId w:val="1001"/>
        </w:numPr>
      </w:pPr>
      <w:r>
        <w:t xml:space="preserve">Supplier Relationships (outbound flow visibility)</w:t>
      </w:r>
    </w:p>
    <w:p>
      <w:pPr>
        <w:pStyle w:val="Compact"/>
        <w:numPr>
          <w:ilvl w:val="0"/>
          <w:numId w:val="1001"/>
        </w:numPr>
      </w:pPr>
      <w:r>
        <w:t xml:space="preserve">Compliance (evidence pack inputs)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Information Security Policies and Organisation (governance)</w:t>
      </w:r>
    </w:p>
    <w:p>
      <w:pPr>
        <w:pStyle w:val="Compact"/>
        <w:numPr>
          <w:ilvl w:val="0"/>
          <w:numId w:val="1002"/>
        </w:numPr>
      </w:pPr>
      <w:r>
        <w:t xml:space="preserve">Personnel / HR controls</w:t>
      </w:r>
    </w:p>
    <w:p>
      <w:pPr>
        <w:pStyle w:val="Compact"/>
        <w:numPr>
          <w:ilvl w:val="0"/>
          <w:numId w:val="1002"/>
        </w:numPr>
      </w:pPr>
      <w:r>
        <w:t xml:space="preserve">Physical Security (including prototype physical handling)</w:t>
      </w:r>
    </w:p>
    <w:p>
      <w:pPr>
        <w:pStyle w:val="Compact"/>
        <w:numPr>
          <w:ilvl w:val="0"/>
          <w:numId w:val="1002"/>
        </w:numPr>
      </w:pPr>
      <w:r>
        <w:t xml:space="preserve">System Acquisition, Development, Maintenance (code-level controls)</w:t>
      </w:r>
    </w:p>
    <w:p>
      <w:pPr>
        <w:pStyle w:val="Compact"/>
        <w:numPr>
          <w:ilvl w:val="0"/>
          <w:numId w:val="1002"/>
        </w:numPr>
      </w:pPr>
      <w:r>
        <w:t xml:space="preserve">Cryptography (CSW detects plaintext flows but does not enforce encryption)</w:t>
      </w:r>
    </w:p>
    <w:p>
      <w:pPr>
        <w:pStyle w:val="Compact"/>
        <w:numPr>
          <w:ilvl w:val="0"/>
          <w:numId w:val="1002"/>
        </w:numPr>
      </w:pPr>
      <w:r>
        <w:t xml:space="preserve">Portability and Interoperability</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Asset Management</w:t>
            </w:r>
          </w:p>
        </w:tc>
        <w:tc>
          <w:tcPr/>
          <w:p>
            <w:pPr>
              <w:pStyle w:val="Compact"/>
            </w:pPr>
            <w:r>
              <w:t xml:space="preserve">Workload inventory; scope + label export</w:t>
            </w:r>
          </w:p>
        </w:tc>
        <w:tc>
          <w:tcPr/>
          <w:p>
            <w:pPr>
              <w:pStyle w:val="Compact"/>
            </w:pPr>
            <w:r>
              <w:t xml:space="preserve">Inventory and classification evidence at workload layer</w:t>
            </w:r>
          </w:p>
        </w:tc>
      </w:tr>
      <w:tr>
        <w:tc>
          <w:tcPr/>
          <w:p>
            <w:pPr>
              <w:pStyle w:val="Compact"/>
            </w:pPr>
            <w:r>
              <w:t xml:space="preserve">Communication Security</w:t>
            </w:r>
          </w:p>
        </w:tc>
        <w:tc>
          <w:tcPr/>
          <w:p>
            <w:pPr>
              <w:pStyle w:val="Compact"/>
            </w:pPr>
            <w:r>
              <w:t xml:space="preserve">Policy workspace; ADM-derived allowlist; observed flows</w:t>
            </w:r>
          </w:p>
        </w:tc>
        <w:tc>
          <w:tcPr/>
          <w:p>
            <w:pPr>
              <w:pStyle w:val="Compact"/>
            </w:pPr>
            <w:r>
              <w:t xml:space="preserve">Segmentation evidence (workspace snapshot + observed-vs-approved flow comparison)</w:t>
            </w:r>
          </w:p>
        </w:tc>
      </w:tr>
      <w:tr>
        <w:tc>
          <w:tcPr/>
          <w:p>
            <w:pPr>
              <w:pStyle w:val="Compact"/>
            </w:pPr>
            <w:r>
              <w:t xml:space="preserve">Operations Security</w:t>
            </w:r>
          </w:p>
        </w:tc>
        <w:tc>
          <w:tcPr/>
          <w:p>
            <w:pPr>
              <w:pStyle w:val="Compact"/>
            </w:pPr>
            <w:r>
              <w:t xml:space="preserve">Continuous monitoring; vulnerability + reachability; configuration baseline on policy</w:t>
            </w:r>
          </w:p>
        </w:tc>
        <w:tc>
          <w:tcPr/>
          <w:p>
            <w:pPr>
              <w:pStyle w:val="Compact"/>
            </w:pPr>
            <w:r>
              <w:t xml:space="preserve">Operations control evidence</w:t>
            </w:r>
          </w:p>
        </w:tc>
      </w:tr>
      <w:tr>
        <w:tc>
          <w:tcPr/>
          <w:p>
            <w:pPr>
              <w:pStyle w:val="Compact"/>
            </w:pPr>
            <w:r>
              <w:t xml:space="preserve">Identity and Access Management (workload-to-workload)</w:t>
            </w:r>
          </w:p>
        </w:tc>
        <w:tc>
          <w:tcPr/>
          <w:p>
            <w:pPr>
              <w:pStyle w:val="Compact"/>
            </w:pPr>
            <w:r>
              <w:t xml:space="preserve">Policy workspace + enforcement / violation log</w:t>
            </w:r>
          </w:p>
        </w:tc>
        <w:tc>
          <w:tcPr/>
          <w:p>
            <w:pPr>
              <w:pStyle w:val="Compact"/>
            </w:pPr>
            <w:r>
              <w:t xml:space="preserve">Workload-to-workload privilege evidence (complements identity layer)</w:t>
            </w:r>
          </w:p>
        </w:tc>
      </w:tr>
      <w:tr>
        <w:tc>
          <w:tcPr/>
          <w:p>
            <w:pPr>
              <w:pStyle w:val="Compact"/>
            </w:pPr>
            <w:r>
              <w:t xml:space="preserve">Cryptography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Supplier Relationships</w:t>
            </w:r>
          </w:p>
        </w:tc>
        <w:tc>
          <w:tcPr/>
          <w:p>
            <w:pPr>
              <w:pStyle w:val="Compact"/>
            </w:pPr>
            <w:r>
              <w:t xml:space="preserve">Outbound flow summary to supplier endpoints</w:t>
            </w:r>
          </w:p>
        </w:tc>
        <w:tc>
          <w:tcPr/>
          <w:p>
            <w:pPr>
              <w:pStyle w:val="Compact"/>
            </w:pPr>
            <w:r>
              <w:t xml:space="preserve">Supplier-edge flow report reconciled against supplier register</w:t>
            </w:r>
          </w:p>
        </w:tc>
      </w:tr>
      <w:tr>
        <w:tc>
          <w:tcPr/>
          <w:p>
            <w:pPr>
              <w:pStyle w:val="Compact"/>
            </w:pPr>
            <w:r>
              <w:t xml:space="preserve">Incident Management</w:t>
            </w:r>
          </w:p>
        </w:tc>
        <w:tc>
          <w:tcPr/>
          <w:p>
            <w:pPr>
              <w:pStyle w:val="Compact"/>
            </w:pPr>
            <w:r>
              <w:t xml:space="preserve">Forensic flow + process telemetry</w:t>
            </w:r>
          </w:p>
        </w:tc>
        <w:tc>
          <w:tcPr/>
          <w:p>
            <w:pPr>
              <w:pStyle w:val="Compact"/>
            </w:pPr>
            <w:r>
              <w:t xml:space="preserve">Investigation pack with timeline and impact scope</w:t>
            </w:r>
          </w:p>
        </w:tc>
      </w:tr>
      <w:tr>
        <w:tc>
          <w:tcPr/>
          <w:p>
            <w:pPr>
              <w:pStyle w:val="Compact"/>
            </w:pPr>
            <w:r>
              <w:t xml:space="preserve">Prototype Protection (if in scope)</w:t>
            </w:r>
          </w:p>
        </w:tc>
        <w:tc>
          <w:tcPr/>
          <w:p>
            <w:pPr>
              <w:pStyle w:val="Compact"/>
            </w:pPr>
            <w:r>
              <w:t xml:space="preserve">Isolation evidence for the Prototype-Protection scope</w:t>
            </w:r>
          </w:p>
        </w:tc>
        <w:tc>
          <w:tcPr/>
          <w:p>
            <w:pPr>
              <w:pStyle w:val="Compact"/>
            </w:pPr>
            <w:r>
              <w:t xml:space="preserve">Inbound/outbound reachability summary for prototype workloads</w:t>
            </w:r>
          </w:p>
        </w:tc>
      </w:tr>
      <w:tr>
        <w:tc>
          <w:tcPr/>
          <w:p>
            <w:pPr>
              <w:pStyle w:val="Compact"/>
            </w:pPr>
            <w:r>
              <w:t xml:space="preserve">Data Protection (if in scope)</w:t>
            </w:r>
          </w:p>
        </w:tc>
        <w:tc>
          <w:tcPr/>
          <w:p>
            <w:pPr>
              <w:pStyle w:val="Compact"/>
            </w:pPr>
            <w:r>
              <w:t xml:space="preserve">Isolation evidence for the Personal-Data scope</w:t>
            </w:r>
          </w:p>
        </w:tc>
        <w:tc>
          <w:tcPr/>
          <w:p>
            <w:pPr>
              <w:pStyle w:val="Compact"/>
            </w:pPr>
            <w:r>
              <w:t xml:space="preserve">Inbound/outbound reachability summary for personal-data workloads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Information asset and prototype/data scope mapping</w:t>
            </w:r>
          </w:p>
        </w:tc>
        <w:tc>
          <w:tcPr/>
          <w:p>
            <w:pPr>
              <w:pStyle w:val="Compact"/>
            </w:pPr>
            <w:r>
              <w:t xml:space="preserve">Workloads in the assessment scope by label</w:t>
            </w:r>
          </w:p>
        </w:tc>
        <w:tc>
          <w:tcPr/>
          <w:p>
            <w:pPr>
              <w:pStyle w:val="Compact"/>
            </w:pPr>
            <w:r>
              <w:t xml:space="preserve">Inventory + scope membership export filtered by assessment_objective, prototype, data_class</w:t>
            </w:r>
          </w:p>
        </w:tc>
        <w:tc>
          <w:tcPr/>
          <w:p>
            <w:pPr>
              <w:pStyle w:val="Compact"/>
            </w:pPr>
            <w:r>
              <w:t xml:space="preserve">Monthly</w:t>
            </w:r>
          </w:p>
        </w:tc>
      </w:tr>
      <w:tr>
        <w:tc>
          <w:tcPr/>
          <w:p>
            <w:pPr>
              <w:pStyle w:val="Compact"/>
            </w:pPr>
            <w:r>
              <w:t xml:space="preserve">Segmentation evidence</w:t>
            </w:r>
          </w:p>
        </w:tc>
        <w:tc>
          <w:tcPr/>
          <w:p>
            <w:pPr>
              <w:pStyle w:val="Compact"/>
            </w:pPr>
            <w:r>
              <w:t xml:space="preserve">Workspace snapshot and ADM-derived allowlist</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Supplier egress reconciliation</w:t>
            </w:r>
          </w:p>
        </w:tc>
        <w:tc>
          <w:tcPr/>
          <w:p>
            <w:pPr>
              <w:pStyle w:val="Compact"/>
            </w:pPr>
            <w:r>
              <w:t xml:space="preserve">Outbound flow to supplier endpoints</w:t>
            </w:r>
          </w:p>
        </w:tc>
        <w:tc>
          <w:tcPr/>
          <w:p>
            <w:pPr>
              <w:pStyle w:val="Compact"/>
            </w:pPr>
            <w:r>
              <w:t xml:space="preserve">Flow search filtered to supplier endpoints</w:t>
            </w:r>
          </w:p>
        </w:tc>
        <w:tc>
          <w:tcPr/>
          <w:p>
            <w:pPr>
              <w:pStyle w:val="Compact"/>
            </w:pPr>
            <w:r>
              <w:t xml:space="preserve">Monthly</w:t>
            </w:r>
          </w:p>
        </w:tc>
      </w:tr>
      <w:tr>
        <w:tc>
          <w:tcPr/>
          <w:p>
            <w:pPr>
              <w:pStyle w:val="Compact"/>
            </w:pPr>
            <w:r>
              <w:t xml:space="preserve">Operations evidence</w:t>
            </w:r>
          </w:p>
        </w:tc>
        <w:tc>
          <w:tcPr/>
          <w:p>
            <w:pPr>
              <w:pStyle w:val="Compact"/>
            </w:pPr>
            <w:r>
              <w:t xml:space="preserve">Continuous monitoring and vulnerability data</w:t>
            </w:r>
          </w:p>
        </w:tc>
        <w:tc>
          <w:tcPr/>
          <w:p>
            <w:pPr>
              <w:pStyle w:val="Compact"/>
            </w:pPr>
            <w:r>
              <w:t xml:space="preserve">Vulnerability report + alert log scoped to TISAX</w:t>
            </w:r>
          </w:p>
        </w:tc>
        <w:tc>
          <w:tcPr/>
          <w:p>
            <w:pPr>
              <w:pStyle w:val="Compact"/>
            </w:pPr>
            <w:r>
              <w:t xml:space="preserve">Monthly</w:t>
            </w:r>
          </w:p>
        </w:tc>
      </w:tr>
      <w:tr>
        <w:tc>
          <w:tcPr/>
          <w:p>
            <w:pPr>
              <w:pStyle w:val="Compact"/>
            </w:pPr>
            <w:r>
              <w:t xml:space="preserve">Prototype-Protection isolation (if in scope)</w:t>
            </w:r>
          </w:p>
        </w:tc>
        <w:tc>
          <w:tcPr/>
          <w:p>
            <w:pPr>
              <w:pStyle w:val="Compact"/>
            </w:pPr>
            <w:r>
              <w:t xml:space="preserve">Reachability into the prototype scope</w:t>
            </w:r>
          </w:p>
        </w:tc>
        <w:tc>
          <w:tcPr/>
          <w:p>
            <w:pPr>
              <w:pStyle w:val="Compact"/>
            </w:pPr>
            <w:r>
              <w:t xml:space="preserve">Reach summary for the Prototype-Protection scope</w:t>
            </w:r>
          </w:p>
        </w:tc>
        <w:tc>
          <w:tcPr/>
          <w:p>
            <w:pPr>
              <w:pStyle w:val="Compact"/>
            </w:pPr>
            <w:r>
              <w:t xml:space="preserve">Quarterly</w:t>
            </w:r>
          </w:p>
        </w:tc>
      </w:tr>
      <w:tr>
        <w:tc>
          <w:tcPr/>
          <w:p>
            <w:pPr>
              <w:pStyle w:val="Compact"/>
            </w:pPr>
            <w:r>
              <w:t xml:space="preserve">Data-Protection isolation (if in scope)</w:t>
            </w:r>
          </w:p>
        </w:tc>
        <w:tc>
          <w:tcPr/>
          <w:p>
            <w:pPr>
              <w:pStyle w:val="Compact"/>
            </w:pPr>
            <w:r>
              <w:t xml:space="preserve">Reachability into the personal-data scope</w:t>
            </w:r>
          </w:p>
        </w:tc>
        <w:tc>
          <w:tcPr/>
          <w:p>
            <w:pPr>
              <w:pStyle w:val="Compact"/>
            </w:pPr>
            <w:r>
              <w:t xml:space="preserve">Reach summary for the Data-Protection scope</w:t>
            </w:r>
          </w:p>
        </w:tc>
        <w:tc>
          <w:tcPr/>
          <w:p>
            <w:pPr>
              <w:pStyle w:val="Compact"/>
            </w:pPr>
            <w:r>
              <w:t xml:space="preserve">Quarterly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surveillance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organisational policy, training, supplier assurance contracts, physical security and prototype physical handling, identity lifecycle, cryptography assurance, or the TISAX assessment itself.</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TISAX / VDA ISA Compliance Report</dc:title>
  <dc:creator/>
  <cp:keywords/>
  <dcterms:created xsi:type="dcterms:W3CDTF">2026-05-13T18:07:55Z</dcterms:created>
  <dcterms:modified xsi:type="dcterms:W3CDTF">2026-05-13T18:07:55Z</dcterms:modified>
</cp:coreProperties>
</file>

<file path=docProps/custom.xml><?xml version="1.0" encoding="utf-8"?>
<Properties xmlns="http://schemas.openxmlformats.org/officeDocument/2006/custom-properties" xmlns:vt="http://schemas.openxmlformats.org/officeDocument/2006/docPropsVTypes"/>
</file>