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4ab831b1b724cfda51cf9da0c1d20b11ccef588"/>
    <w:p>
      <w:pPr>
        <w:pStyle w:val="Heading1"/>
      </w:pPr>
      <w:r>
        <w:t xml:space="preserve">Cisco Secure Workload — DORA (Digital Operational Resilience Act)</w:t>
      </w:r>
    </w:p>
    <w:bookmarkStart w:id="9" w:name="X1717568f1a4e356bd68eeff2d3c90ac83c37fa9"/>
    <w:p>
      <w:pPr>
        <w:pStyle w:val="Heading2"/>
      </w:pPr>
      <w:r>
        <w:t xml:space="preserve">Technical Runbook | EU Financial Entities &amp; Critical ICT Third-Party Providers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Regulation (EU) 2022/2554 — DORA |</w:t>
      </w:r>
      <w:r>
        <w:t xml:space="preserve"> </w:t>
      </w:r>
      <w:r>
        <w:rPr>
          <w:b/>
          <w:bCs/>
        </w:rPr>
        <w:t xml:space="preserve">Effective:</w:t>
      </w:r>
      <w:r>
        <w:t xml:space="preserve"> </w:t>
      </w:r>
      <w:r>
        <w:t xml:space="preserve">17 January 2025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EU financial entities in scope of DORA — credit</w:t>
      </w:r>
      <w:r>
        <w:t xml:space="preserve"> </w:t>
      </w:r>
      <w:r>
        <w:t xml:space="preserve">institutions, payment &amp; e-money institutions, investment firms, CCPs,</w:t>
      </w:r>
      <w:r>
        <w:t xml:space="preserve"> </w:t>
      </w:r>
      <w:r>
        <w:t xml:space="preserve">trading venues, insurers, crypto-asset service providers, crowdfunding</w:t>
      </w:r>
      <w:r>
        <w:t xml:space="preserve"> </w:t>
      </w:r>
      <w:r>
        <w:t xml:space="preserve">service providers — and the critical ICT third-party providers (CTPPs)</w:t>
      </w:r>
      <w:r>
        <w:t xml:space="preserve"> </w:t>
      </w:r>
      <w:r>
        <w:t xml:space="preserve">that serve them. Also useful for the security architects and ICT risk</w:t>
      </w:r>
      <w:r>
        <w:t xml:space="preserve"> </w:t>
      </w:r>
      <w:r>
        <w:t xml:space="preserve">officers preparing those organisations for their competent-authority</w:t>
      </w:r>
      <w:r>
        <w:t xml:space="preserve"> </w:t>
      </w:r>
      <w:r>
        <w:t xml:space="preserve">engagement.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8 — ICT Risk Management Framework: can I produce a current</w:t>
      </w:r>
      <w:r>
        <w:rPr>
          <w:i/>
          <w:iCs/>
        </w:rPr>
        <w:t xml:space="preserve"> </w:t>
      </w:r>
      <w:r>
        <w:rPr>
          <w:i/>
          <w:iCs/>
        </w:rPr>
        <w:t xml:space="preserve">inventory view of CSW-covered ICT assets supporting "important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functions" (IBFs), classified by criticality, and reconcile</w:t>
      </w:r>
      <w:r>
        <w:rPr>
          <w:i/>
          <w:iCs/>
        </w:rPr>
        <w:t xml:space="preserve"> </w:t>
      </w:r>
      <w:r>
        <w:rPr>
          <w:i/>
          <w:iCs/>
        </w:rPr>
        <w:t xml:space="preserve">it with the authoritative enterprise ICT asset register?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9(2) — protection and prevention: for each IBF, can I</w:t>
      </w:r>
      <w:r>
        <w:rPr>
          <w:i/>
          <w:iCs/>
        </w:rPr>
        <w:t xml:space="preserve"> </w:t>
      </w:r>
      <w:r>
        <w:rPr>
          <w:i/>
          <w:iCs/>
        </w:rPr>
        <w:t xml:space="preserve">demonstrate that network segmentation between supporting systems is</w:t>
      </w:r>
      <w:r>
        <w:rPr>
          <w:i/>
          <w:iCs/>
        </w:rPr>
        <w:t xml:space="preserve"> </w:t>
      </w:r>
      <w:r>
        <w:rPr>
          <w:i/>
          <w:iCs/>
        </w:rPr>
        <w:t xml:space="preserve">enforced and continuously verified, not just designed?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10 — detection: when an anomalous workload-to-workload flow</w:t>
      </w:r>
      <w:r>
        <w:rPr>
          <w:i/>
          <w:iCs/>
        </w:rPr>
        <w:t xml:space="preserve"> </w:t>
      </w:r>
      <w:r>
        <w:rPr>
          <w:i/>
          <w:iCs/>
        </w:rPr>
        <w:t xml:space="preserve">appears inside an IBF (e.g., a payments service starts talking to a</w:t>
      </w:r>
      <w:r>
        <w:rPr>
          <w:i/>
          <w:iCs/>
        </w:rPr>
        <w:t xml:space="preserve"> </w:t>
      </w:r>
      <w:r>
        <w:rPr>
          <w:i/>
          <w:iCs/>
        </w:rPr>
        <w:t xml:space="preserve">general ledger system it never touched before), is it detected, and</w:t>
      </w:r>
      <w:r>
        <w:rPr>
          <w:i/>
          <w:iCs/>
        </w:rPr>
        <w:t xml:space="preserve"> </w:t>
      </w:r>
      <w:r>
        <w:rPr>
          <w:i/>
          <w:iCs/>
        </w:rPr>
        <w:t xml:space="preserve">what is the artefact?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17 — ICT-related incident management: when a major incident</w:t>
      </w:r>
      <w:r>
        <w:rPr>
          <w:i/>
          <w:iCs/>
        </w:rPr>
        <w:t xml:space="preserve"> </w:t>
      </w:r>
      <w:r>
        <w:rPr>
          <w:i/>
          <w:iCs/>
        </w:rPr>
        <w:t xml:space="preserve">occurs, can I reconstruct the exact process and flow context at the</w:t>
      </w:r>
      <w:r>
        <w:rPr>
          <w:i/>
          <w:iCs/>
        </w:rPr>
        <w:t xml:space="preserve"> </w:t>
      </w:r>
      <w:r>
        <w:rPr>
          <w:i/>
          <w:iCs/>
        </w:rPr>
        <w:t xml:space="preserve">time of compromise to support the 4h/24h/72h/1-month 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cadence under Article 19?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24–25 — digital operational resilience testing (TLPT, threat-</w:t>
      </w:r>
      <w:r>
        <w:rPr>
          <w:i/>
          <w:iCs/>
        </w:rPr>
        <w:t xml:space="preserve"> </w:t>
      </w:r>
      <w:r>
        <w:rPr>
          <w:i/>
          <w:iCs/>
        </w:rPr>
        <w:t xml:space="preserve">led penetration testing): can red teams run TIBER-EU style exercises</w:t>
      </w:r>
      <w:r>
        <w:rPr>
          <w:i/>
          <w:iCs/>
        </w:rPr>
        <w:t xml:space="preserve"> </w:t>
      </w:r>
      <w:r>
        <w:rPr>
          <w:i/>
          <w:iCs/>
        </w:rPr>
        <w:t xml:space="preserve">against my environment, and can I produce the workload-level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(lateral movement attempts, segmentation holds, detections) the</w:t>
      </w:r>
      <w:r>
        <w:rPr>
          <w:i/>
          <w:iCs/>
        </w:rPr>
        <w:t xml:space="preserve"> </w:t>
      </w:r>
      <w:r>
        <w:rPr>
          <w:i/>
          <w:iCs/>
        </w:rPr>
        <w:t xml:space="preserve">testers and the lead competent authority will ask for?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28 — ICT third-party risk: do I actually know which third-</w:t>
      </w:r>
      <w:r>
        <w:rPr>
          <w:i/>
          <w:iCs/>
        </w:rPr>
        <w:t xml:space="preserve"> </w:t>
      </w:r>
      <w:r>
        <w:rPr>
          <w:i/>
          <w:iCs/>
        </w:rPr>
        <w:t xml:space="preserve">party (CTPP) services my critical workloads call out to, on what</w:t>
      </w:r>
      <w:r>
        <w:rPr>
          <w:i/>
          <w:iCs/>
        </w:rPr>
        <w:t xml:space="preserve"> </w:t>
      </w:r>
      <w:r>
        <w:rPr>
          <w:i/>
          <w:iCs/>
        </w:rPr>
        <w:t xml:space="preserve">ports, with what frequency — independent of what the contract says?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my lead competent authority requests under Article 50 the</w:t>
      </w:r>
      <w:r>
        <w:rPr>
          <w:i/>
          <w:iCs/>
        </w:rPr>
        <w:t xml:space="preserve"> </w:t>
      </w:r>
      <w:r>
        <w:rPr>
          <w:i/>
          <w:iCs/>
        </w:rPr>
        <w:t xml:space="preserve">"results of testing" or "register of information" on third-party</w:t>
      </w:r>
      <w:r>
        <w:rPr>
          <w:i/>
          <w:iCs/>
        </w:rPr>
        <w:t xml:space="preserve"> </w:t>
      </w:r>
      <w:r>
        <w:rPr>
          <w:i/>
          <w:iCs/>
        </w:rPr>
        <w:t xml:space="preserve">arrangements, what do I hand over from CSW within one business day?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ICT asset inventory, the list of</w:t>
      </w:r>
      <w:r>
        <w:t xml:space="preserve"> </w:t>
      </w:r>
      <w:r>
        <w:t xml:space="preserve">"important business functions" your management body has approved</w:t>
      </w:r>
      <w:r>
        <w:t xml:space="preserve"> </w:t>
      </w:r>
      <w:r>
        <w:t xml:space="preserve">(Article 8(4)), your current Register of Information for ICT third-</w:t>
      </w:r>
      <w:r>
        <w:t xml:space="preserve"> </w:t>
      </w:r>
      <w:r>
        <w:t xml:space="preserve">party arrangements (Article 28(3)), your incident classification</w:t>
      </w:r>
      <w:r>
        <w:t xml:space="preserve"> </w:t>
      </w:r>
      <w:r>
        <w:t xml:space="preserve">criteria under the RTS on classification of major incidents, and the</w:t>
      </w:r>
      <w:r>
        <w:t xml:space="preserve"> </w:t>
      </w:r>
      <w:r>
        <w:t xml:space="preserve">list of competent and lead authorities applicable to your entity.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an IBF; sections 3–4</w:t>
      </w:r>
      <w:r>
        <w:t xml:space="preserve"> </w:t>
      </w:r>
      <w:r>
        <w:t xml:space="preserve">if you're building the ICT risk management framework artefacts;</w:t>
      </w:r>
      <w:r>
        <w:t xml:space="preserve"> </w:t>
      </w:r>
      <w:r>
        <w:t xml:space="preserve">sections 5–6 if you're preparing for TLPT; section 7 if your incident</w:t>
      </w:r>
      <w:r>
        <w:t xml:space="preserve"> </w:t>
      </w:r>
      <w:r>
        <w:t xml:space="preserve">response programme is the gap; section 9 if third-party visibility is</w:t>
      </w:r>
      <w:r>
        <w:t xml:space="preserve"> </w:t>
      </w:r>
      <w:r>
        <w:t xml:space="preserve">the open item.</w:t>
      </w:r>
    </w:p>
    <w:p>
      <w:pPr>
        <w:pStyle w:val="BodyText"/>
      </w:pPr>
      <w:r>
        <w:rPr>
          <w:b/>
          <w:bCs/>
        </w:rPr>
        <w:t xml:space="preserve">Important.</w:t>
      </w:r>
      <w:r>
        <w:t xml:space="preserve"> </w:t>
      </w:r>
      <w:r>
        <w:t xml:space="preserve">DORA assigns ultimate accountability to the</w:t>
      </w:r>
      <w:r>
        <w:t xml:space="preserve"> </w:t>
      </w:r>
      <w:r>
        <w:rPr>
          <w:i/>
          <w:iCs/>
        </w:rPr>
        <w:t xml:space="preserve">management body</w:t>
      </w:r>
      <w:r>
        <w:t xml:space="preserve"> </w:t>
      </w:r>
      <w:r>
        <w:t xml:space="preserve">(Article 5). Nothing in this runbook substitutes for</w:t>
      </w:r>
      <w:r>
        <w:t xml:space="preserve"> </w:t>
      </w:r>
      <w:r>
        <w:t xml:space="preserve">that governance. CSW gives the management body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it needs</w:t>
      </w:r>
      <w:r>
        <w:t xml:space="preserve"> </w:t>
      </w:r>
      <w:r>
        <w:t xml:space="preserve">to discharge that accountability with confidence; it does not discharge</w:t>
      </w:r>
      <w:r>
        <w:t xml:space="preserve"> </w:t>
      </w:r>
      <w:r>
        <w:t xml:space="preserve">it on the body's behalf.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Art. 8/9 segmentation + ICT asset inventory from live scope</w:t>
      </w:r>
    </w:p>
    <w:p>
      <w:pPr>
        <w:pStyle w:val="Compact"/>
        <w:numPr>
          <w:ilvl w:val="0"/>
          <w:numId w:val="1018"/>
        </w:numPr>
      </w:pPr>
      <w:r>
        <w:t xml:space="preserve">Art. 19 incident dossier templates from flow/process export</w:t>
      </w:r>
    </w:p>
    <w:p>
      <w:pPr>
        <w:pStyle w:val="Compact"/>
        <w:numPr>
          <w:ilvl w:val="0"/>
          <w:numId w:val="1018"/>
        </w:numPr>
      </w:pPr>
      <w:r>
        <w:t xml:space="preserve">Art. 28 third-party egress from observed outbound flows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DORA harmonises the ICT risk management requirements for the EU</w:t>
      </w:r>
      <w:r>
        <w:t xml:space="preserve"> </w:t>
      </w:r>
      <w:r>
        <w:t xml:space="preserve">financial sector across five pillars: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ICT Risk Management</w:t>
      </w:r>
      <w:r>
        <w:t xml:space="preserve"> </w:t>
      </w:r>
      <w:r>
        <w:t xml:space="preserve">(Articles 5–16) — governance, risk</w:t>
      </w:r>
      <w:r>
        <w:t xml:space="preserve"> </w:t>
      </w:r>
      <w:r>
        <w:t xml:space="preserve">framework, asset inventory, protection, detection, response,</w:t>
      </w:r>
      <w:r>
        <w:t xml:space="preserve"> </w:t>
      </w:r>
      <w:r>
        <w:t xml:space="preserve">learning.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ICT-Related Incident Management, Classification &amp; Reporting</w:t>
      </w:r>
      <w:r>
        <w:t xml:space="preserve"> </w:t>
      </w:r>
      <w:r>
        <w:t xml:space="preserve">(Articles 17–23) — single harmonised reporting flow to competent</w:t>
      </w:r>
      <w:r>
        <w:t xml:space="preserve"> </w:t>
      </w:r>
      <w:r>
        <w:t xml:space="preserve">authorities.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Digital Operational Resilience Testing</w:t>
      </w:r>
      <w:r>
        <w:t xml:space="preserve"> </w:t>
      </w:r>
      <w:r>
        <w:t xml:space="preserve">(Articles 24–27) —</w:t>
      </w:r>
      <w:r>
        <w:t xml:space="preserve"> </w:t>
      </w:r>
      <w:r>
        <w:t xml:space="preserve">including TLPT every 3 years for significant entities.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Managing of ICT Third-Party Risk</w:t>
      </w:r>
      <w:r>
        <w:t xml:space="preserve"> </w:t>
      </w:r>
      <w:r>
        <w:t xml:space="preserve">(Articles 28–44) — register of</w:t>
      </w:r>
      <w:r>
        <w:t xml:space="preserve"> </w:t>
      </w:r>
      <w:r>
        <w:t xml:space="preserve">information, contractual provisions, oversight of CTPPs by the ESAs.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Information-Sharing Arrangements</w:t>
      </w:r>
      <w:r>
        <w:t xml:space="preserve"> </w:t>
      </w:r>
      <w:r>
        <w:t xml:space="preserve">(Article 45) — voluntary</w:t>
      </w:r>
      <w:r>
        <w:t xml:space="preserve"> </w:t>
      </w:r>
      <w:r>
        <w:t xml:space="preserve">intelligence exchange between financial entities.</w:t>
      </w:r>
    </w:p>
    <w:p>
      <w:pPr>
        <w:pStyle w:val="FirstParagraph"/>
      </w:pPr>
      <w:r>
        <w:rPr>
          <w:b/>
          <w:bCs/>
        </w:rPr>
        <w:t xml:space="preserve">Where CSW fits.</w:t>
      </w:r>
      <w:r>
        <w:t xml:space="preserve"> </w:t>
      </w:r>
      <w:r>
        <w:t xml:space="preserve">CSW is not an end-to-end DORA solution and does</w:t>
      </w:r>
      <w:r>
        <w:t xml:space="preserve"> </w:t>
      </w:r>
      <w:r>
        <w:t xml:space="preserve">not address Pillars 4 (third-party contracts) or 5 (information</w:t>
      </w:r>
      <w:r>
        <w:t xml:space="preserve"> </w:t>
      </w:r>
      <w:r>
        <w:t xml:space="preserve">sharing) directly. It does, however, provide the workload-level</w:t>
      </w:r>
      <w:r>
        <w:t xml:space="preserve"> </w:t>
      </w:r>
      <w:r>
        <w:t xml:space="preserve">evidence engine that Pillars 1, 2 and 3 increasingly require — and</w:t>
      </w:r>
      <w:r>
        <w:t xml:space="preserve"> </w:t>
      </w:r>
      <w:r>
        <w:t xml:space="preserve">gives you measurable visibility into Pillar 4's</w:t>
      </w:r>
      <w:r>
        <w:t xml:space="preserve"> </w:t>
      </w:r>
      <w:r>
        <w:rPr>
          <w:i/>
          <w:iCs/>
        </w:rPr>
        <w:t xml:space="preserve">technical</w:t>
      </w:r>
      <w:r>
        <w:t xml:space="preserve"> </w:t>
      </w:r>
      <w:r>
        <w:t xml:space="preserve">exposure</w:t>
      </w:r>
      <w:r>
        <w:t xml:space="preserve"> </w:t>
      </w:r>
      <w:r>
        <w:t xml:space="preserve">question ("what is my workload actually talking to that I don't</w:t>
      </w:r>
      <w:r>
        <w:t xml:space="preserve"> </w:t>
      </w:r>
      <w:r>
        <w:t xml:space="preserve">control?").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DORA Pillar</w:t>
            </w:r>
          </w:p>
        </w:tc>
        <w:tc>
          <w:tcPr/>
          <w:p>
            <w:pPr>
              <w:pStyle w:val="Compact"/>
            </w:pPr>
            <w:r>
              <w:t xml:space="preserve">CSW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1 — ICT Risk Management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inputs (Art. 8), segmentation enforcement (Art. 9), behavioural detection (Art. 10), forensic flow data for response &amp; learning (Arts. 11, 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2 — Incident Management</w:t>
            </w:r>
          </w:p>
        </w:tc>
        <w:tc>
          <w:tcPr/>
          <w:p>
            <w:pPr>
              <w:pStyle w:val="Compact"/>
            </w:pPr>
            <w:r>
              <w:t xml:space="preserve">Reconstructable process and flow timeline supporting initial, intermediate and final reports (Art. 19).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3 — Resilience Testing</w:t>
            </w:r>
          </w:p>
        </w:tc>
        <w:tc>
          <w:tcPr/>
          <w:p>
            <w:pPr>
              <w:pStyle w:val="Compact"/>
            </w:pPr>
            <w:r>
              <w:t xml:space="preserve">Workload-level evidence for vulnerability assessments and scenario-based tests (Art. 25(1)); attack-path data and segmentation telemetry for TLPT (Art. 26).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4 — Third-Party Risk</w:t>
            </w:r>
          </w:p>
        </w:tc>
        <w:tc>
          <w:tcPr/>
          <w:p>
            <w:pPr>
              <w:pStyle w:val="Compact"/>
            </w:pPr>
            <w:r>
              <w:t xml:space="preserve">Independent technical view of which third-party endpoints critical workloads call (complements but does not replace contractual register).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5 — Information Sharing</w:t>
            </w:r>
          </w:p>
        </w:tc>
        <w:tc>
          <w:tcPr/>
          <w:p>
            <w:pPr>
              <w:pStyle w:val="Compact"/>
            </w:pPr>
            <w:r>
              <w:t xml:space="preserve">Indicators-of-compromise and behavioural signatures derived from CSW telemetry can feed sectoral sharing arrangements.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cf6ffe65f79d43a872c8fc88ceac097aac5954"/>
    <w:p>
      <w:pPr>
        <w:pStyle w:val="Heading2"/>
      </w:pPr>
      <w:r>
        <w:t xml:space="preserve">2. Scoping — Important Business Functions (IBFs)</w:t>
      </w:r>
    </w:p>
    <w:p>
      <w:pPr>
        <w:pStyle w:val="FirstParagraph"/>
      </w:pPr>
      <w:r>
        <w:t xml:space="preserve">Article 8(4) requires entities to identify and classify ICT systems</w:t>
      </w:r>
      <w:r>
        <w:t xml:space="preserve"> </w:t>
      </w:r>
      <w:r>
        <w:t xml:space="preserve">supporting "important business functions." Everything else in DORA</w:t>
      </w:r>
      <w:r>
        <w:t xml:space="preserve"> </w:t>
      </w:r>
      <w:r>
        <w:t xml:space="preserve">escalates in stringency for these.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Get the management-body-approved IBF list</w:t>
      </w:r>
      <w:r>
        <w:br/>
      </w:r>
      <w:r>
        <w:rPr>
          <w:rStyle w:val="VerbatimChar"/>
        </w:rPr>
        <w:t xml:space="preserve">  → Typical examples (insert your own):</w:t>
      </w:r>
      <w:r>
        <w:br/>
      </w:r>
      <w:r>
        <w:rPr>
          <w:rStyle w:val="VerbatimChar"/>
        </w:rPr>
        <w:t xml:space="preserve">      - Card payment authorisation</w:t>
      </w:r>
      <w:r>
        <w:br/>
      </w:r>
      <w:r>
        <w:rPr>
          <w:rStyle w:val="VerbatimChar"/>
        </w:rPr>
        <w:t xml:space="preserve">      - SEPA credit transfer initiation</w:t>
      </w:r>
      <w:r>
        <w:br/>
      </w:r>
      <w:r>
        <w:rPr>
          <w:rStyle w:val="VerbatimChar"/>
        </w:rPr>
        <w:t xml:space="preserve">      - Securities settlement</w:t>
      </w:r>
      <w:r>
        <w:br/>
      </w:r>
      <w:r>
        <w:rPr>
          <w:rStyle w:val="VerbatimChar"/>
        </w:rPr>
        <w:t xml:space="preserve">      - Custody booking</w:t>
      </w:r>
      <w:r>
        <w:br/>
      </w:r>
      <w:r>
        <w:rPr>
          <w:rStyle w:val="VerbatimChar"/>
        </w:rPr>
        <w:t xml:space="preserve">      - Trading order routing</w:t>
      </w:r>
      <w:r>
        <w:br/>
      </w:r>
      <w:r>
        <w:rPr>
          <w:rStyle w:val="VerbatimChar"/>
        </w:rPr>
        <w:t xml:space="preserve">      - KYC / AML decisioning</w:t>
      </w:r>
      <w:r>
        <w:br/>
      </w:r>
      <w:r>
        <w:br/>
      </w:r>
      <w:r>
        <w:rPr>
          <w:rStyle w:val="VerbatimChar"/>
        </w:rPr>
        <w:t xml:space="preserve">Step 2: Label every workload that supports an IBF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dora_ibf:        true | false</w:t>
      </w:r>
      <w:r>
        <w:br/>
      </w:r>
      <w:r>
        <w:rPr>
          <w:rStyle w:val="VerbatimChar"/>
        </w:rPr>
        <w:t xml:space="preserve">    ibf_name:        [IBF identifier from management body register]</w:t>
      </w:r>
      <w:r>
        <w:br/>
      </w:r>
      <w:r>
        <w:rPr>
          <w:rStyle w:val="VerbatimChar"/>
        </w:rPr>
        <w:t xml:space="preserve">    ibf_criticality: critical | important | supporting</w:t>
      </w:r>
      <w:r>
        <w:br/>
      </w:r>
      <w:r>
        <w:rPr>
          <w:rStyle w:val="VerbatimChar"/>
        </w:rPr>
        <w:t xml:space="preserve">    data_class:      personal | financial | confidential | internal</w:t>
      </w:r>
      <w:r>
        <w:br/>
      </w:r>
      <w:r>
        <w:rPr>
          <w:rStyle w:val="VerbatimChar"/>
        </w:rPr>
        <w:t xml:space="preserve">    entity_legal:    [legal entity in scope of DORA]</w:t>
      </w:r>
      <w:r>
        <w:br/>
      </w:r>
      <w:r>
        <w:br/>
      </w:r>
      <w:r>
        <w:rPr>
          <w:rStyle w:val="VerbatimChar"/>
        </w:rPr>
        <w:t xml:space="preserve">Step 3: Build an IBF Scope per business function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Filter: ibf_name = "card-payment-auth" → Save scope</w:t>
      </w:r>
      <w:r>
        <w:br/>
      </w:r>
      <w:r>
        <w:rPr>
          <w:rStyle w:val="VerbatimChar"/>
        </w:rPr>
        <w:t xml:space="preserve">  Repeat for each IBF</w:t>
      </w:r>
      <w:r>
        <w:br/>
      </w:r>
      <w:r>
        <w:rPr>
          <w:rStyle w:val="VerbatimChar"/>
        </w:rPr>
        <w:t xml:space="preserve">  → This becomes the unit of policy, evidence, and reporting</w:t>
      </w:r>
      <w:r>
        <w:br/>
      </w:r>
      <w:r>
        <w:br/>
      </w:r>
      <w:r>
        <w:rPr>
          <w:rStyle w:val="VerbatimChar"/>
        </w:rPr>
        <w:t xml:space="preserve">Step 4: Validate CSW coverage against the authoritative inventory baseline</w:t>
      </w:r>
      <w:r>
        <w:br/>
      </w:r>
      <w:r>
        <w:rPr>
          <w:rStyle w:val="VerbatimChar"/>
        </w:rPr>
        <w:t xml:space="preserve">  → Cross-check CSW inventory count vs. your CMDB / ServiceNow IBF view</w:t>
      </w:r>
      <w:r>
        <w:br/>
      </w:r>
      <w:r>
        <w:rPr>
          <w:rStyle w:val="VerbatimChar"/>
        </w:rPr>
        <w:t xml:space="preserve">  → Any delta = scoping risk; resolve before formal Art. 8 sign-off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Per-IBF scope export (CSV) with workload count, OS,</w:t>
      </w:r>
      <w:r>
        <w:t xml:space="preserve"> </w:t>
      </w:r>
      <w:r>
        <w:t xml:space="preserve">location, owner, last-seen timestamp.</w:t>
      </w:r>
    </w:p>
    <w:p>
      <w:r>
        <w:pict>
          <v:rect style="width:0;height:1.5pt" o:hralign="center" o:hrstd="t" o:hr="t"/>
        </w:pict>
      </w:r>
    </w:p>
    <w:bookmarkEnd w:id="22"/>
    <w:bookmarkStart w:id="23" w:name="X971e6f2edf5a835cc7befff56d33f3e4b0b445d"/>
    <w:p>
      <w:pPr>
        <w:pStyle w:val="Heading2"/>
      </w:pPr>
      <w:r>
        <w:t xml:space="preserve">3. Article 8 — ICT Asset Inventory</w:t>
      </w:r>
    </w:p>
    <w:p>
      <w:pPr>
        <w:pStyle w:val="FirstParagraph"/>
      </w:pPr>
      <w:r>
        <w:t xml:space="preserve">DORA Article 8(1) requires a current inventory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ICT assets,</w:t>
      </w:r>
      <w:r>
        <w:t xml:space="preserve"> </w:t>
      </w:r>
      <w:r>
        <w:t xml:space="preserve">including their interdependencies. Article 8(6) specifies it must be</w:t>
      </w:r>
      <w:r>
        <w:t xml:space="preserve"> </w:t>
      </w:r>
      <w:r>
        <w:t xml:space="preserve">updated "periodically and on every significant change."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coverage on every supported workload supporting an IBF</w:t>
      </w:r>
      <w:r>
        <w:br/>
      </w:r>
      <w:r>
        <w:rPr>
          <w:rStyle w:val="VerbatimChar"/>
        </w:rPr>
        <w:t xml:space="preserve">  → Linux:   yum/dnf/apt + systemctl enable csw-agent</w:t>
      </w:r>
      <w:r>
        <w:br/>
      </w:r>
      <w:r>
        <w:rPr>
          <w:rStyle w:val="VerbatimChar"/>
        </w:rPr>
        <w:t xml:space="preserve">  → Windows: MSI install + service verification</w:t>
      </w:r>
      <w:r>
        <w:br/>
      </w:r>
      <w:r>
        <w:rPr>
          <w:rStyle w:val="VerbatimChar"/>
        </w:rPr>
        <w:t xml:space="preserve">  → Containers: DaemonSet sensor for K8s; per-node sensor for ECS/AKS/GKE</w:t>
      </w:r>
      <w:r>
        <w:br/>
      </w:r>
      <w:r>
        <w:rPr>
          <w:rStyle w:val="VerbatimChar"/>
        </w:rPr>
        <w:t xml:space="preserve">  → Cloud:   External Orchestrators (AWS/Azure/GCP) for asset metadata</w:t>
      </w:r>
      <w:r>
        <w:br/>
      </w:r>
      <w:r>
        <w:br/>
      </w:r>
      <w:r>
        <w:rPr>
          <w:rStyle w:val="VerbatimChar"/>
        </w:rPr>
        <w:t xml:space="preserve">Step 2: Configure interdependency capture (ADM)</w:t>
      </w:r>
      <w:r>
        <w:br/>
      </w:r>
      <w:r>
        <w:rPr>
          <w:rStyle w:val="VerbatimChar"/>
        </w:rPr>
        <w:t xml:space="preserve">  CSW UI → Defend → Segmentation → ADM Run</w:t>
      </w:r>
      <w:r>
        <w:br/>
      </w:r>
      <w:r>
        <w:rPr>
          <w:rStyle w:val="VerbatimChar"/>
        </w:rPr>
        <w:t xml:space="preserve">  Scope: each IBF Scope (run per-IBF, not all at once)</w:t>
      </w:r>
      <w:r>
        <w:br/>
      </w:r>
      <w:r>
        <w:rPr>
          <w:rStyle w:val="VerbatimChar"/>
        </w:rPr>
        <w:t xml:space="preserve">  Duration: ≥ 14 days to capture month-end batch processes</w:t>
      </w:r>
      <w:r>
        <w:br/>
      </w:r>
      <w:r>
        <w:br/>
      </w:r>
      <w:r>
        <w:rPr>
          <w:rStyle w:val="VerbatimChar"/>
        </w:rPr>
        <w:t xml:space="preserve">Step 3: Schedule continuous inventory drift detection</w:t>
      </w:r>
      <w:r>
        <w:br/>
      </w:r>
      <w:r>
        <w:rPr>
          <w:rStyle w:val="VerbatimChar"/>
        </w:rPr>
        <w:t xml:space="preserve">  CSW UI → Reports → Inventory → Schedule</w:t>
      </w:r>
      <w:r>
        <w:br/>
      </w:r>
      <w:r>
        <w:rPr>
          <w:rStyle w:val="VerbatimChar"/>
        </w:rPr>
        <w:t xml:space="preserve">  Cadence: daily snapshot, weekly delta report</w:t>
      </w:r>
      <w:r>
        <w:br/>
      </w:r>
      <w:r>
        <w:rPr>
          <w:rStyle w:val="VerbatimChar"/>
        </w:rPr>
        <w:t xml:space="preserve">  Owner: ICT Risk function (delegated under Art. 6(4))</w:t>
      </w:r>
      <w:r>
        <w:br/>
      </w:r>
      <w:r>
        <w:br/>
      </w:r>
      <w:r>
        <w:rPr>
          <w:rStyle w:val="VerbatimChar"/>
        </w:rPr>
        <w:t xml:space="preserve">Step 4: Wire the inventory feed to your Register of Information</w:t>
      </w:r>
      <w:r>
        <w:br/>
      </w:r>
      <w:r>
        <w:rPr>
          <w:rStyle w:val="VerbatimChar"/>
        </w:rPr>
        <w:t xml:space="preserve">  → API: /openapi/v1/inventory</w:t>
      </w:r>
      <w:r>
        <w:br/>
      </w:r>
      <w:r>
        <w:rPr>
          <w:rStyle w:val="VerbatimChar"/>
        </w:rPr>
        <w:t xml:space="preserve">  → Use: nightly export → reconcile against management's Register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current CSW inventory export with each covered workload's</w:t>
      </w:r>
      <w:r>
        <w:t xml:space="preserve"> </w:t>
      </w:r>
      <w:r>
        <w:t xml:space="preserve">OS, hostname, IP, agent version, owner labels, last-check-in; (b) ADM</w:t>
      </w:r>
      <w:r>
        <w:t xml:space="preserve"> </w:t>
      </w:r>
      <w:r>
        <w:t xml:space="preserve">dependency graph per IBF; (c) drift report showing additions/removals</w:t>
      </w:r>
      <w:r>
        <w:t xml:space="preserve"> </w:t>
      </w:r>
      <w:r>
        <w:t xml:space="preserve">since the previous management-body review; (d) reconciliation notes for</w:t>
      </w:r>
      <w:r>
        <w:t xml:space="preserve"> </w:t>
      </w:r>
      <w:r>
        <w:t xml:space="preserve">assets outside CSW coverage.</w:t>
      </w:r>
    </w:p>
    <w:p>
      <w:r>
        <w:pict>
          <v:rect style="width:0;height:1.5pt" o:hralign="center" o:hrstd="t" o:hr="t"/>
        </w:pict>
      </w:r>
    </w:p>
    <w:bookmarkEnd w:id="23"/>
    <w:bookmarkStart w:id="24" w:name="X9abdc09db732b825b15cb5c86b697d16844dfee"/>
    <w:p>
      <w:pPr>
        <w:pStyle w:val="Heading2"/>
      </w:pPr>
      <w:r>
        <w:t xml:space="preserve">4. Article 9 — Protection and Prevention</w:t>
      </w:r>
    </w:p>
    <w:p>
      <w:pPr>
        <w:pStyle w:val="FirstParagraph"/>
      </w:pPr>
      <w:r>
        <w:t xml:space="preserve">Article 9(2) calls for "design, procurement and operation" of ICT</w:t>
      </w:r>
      <w:r>
        <w:t xml:space="preserve"> </w:t>
      </w:r>
      <w:r>
        <w:t xml:space="preserve">systems that minimise impact, including segregation, monitoring and</w:t>
      </w:r>
      <w:r>
        <w:t xml:space="preserve"> </w:t>
      </w:r>
      <w:r>
        <w:t xml:space="preserve">resilient configuration.</w:t>
      </w:r>
    </w:p>
    <w:p>
      <w:pPr>
        <w:pStyle w:val="BodyText"/>
      </w:pPr>
      <w:r>
        <w:rPr>
          <w:b/>
          <w:bCs/>
        </w:rPr>
        <w:t xml:space="preserve">CSW Implementation — IBF Segmentation Pattern:</w:t>
      </w:r>
    </w:p>
    <w:p>
      <w:pPr>
        <w:pStyle w:val="SourceCode"/>
      </w:pPr>
      <w:r>
        <w:rPr>
          <w:rStyle w:val="VerbatimChar"/>
        </w:rPr>
        <w:t xml:space="preserve">Step 1: Define the IBF policy workspace</w:t>
      </w:r>
      <w:r>
        <w:br/>
      </w:r>
      <w:r>
        <w:rPr>
          <w:rStyle w:val="VerbatimChar"/>
        </w:rPr>
        <w:t xml:space="preserve">  CSW UI → Defend → Segmentation → New Workspace</w:t>
      </w:r>
      <w:r>
        <w:br/>
      </w:r>
      <w:r>
        <w:rPr>
          <w:rStyle w:val="VerbatimChar"/>
        </w:rPr>
        <w:t xml:space="preserve">  Name: dora-ibf-{ibf_name}</w:t>
      </w:r>
      <w:r>
        <w:br/>
      </w:r>
      <w:r>
        <w:rPr>
          <w:rStyle w:val="VerbatimChar"/>
        </w:rPr>
        <w:t xml:space="preserve">  Scope: ibf_name = {ibf_name}</w:t>
      </w:r>
      <w:r>
        <w:br/>
      </w:r>
      <w:r>
        <w:br/>
      </w:r>
      <w:r>
        <w:rPr>
          <w:rStyle w:val="VerbatimChar"/>
        </w:rPr>
        <w:t xml:space="preserve">Step 2: Use ADM to compute the as-observed policy</w:t>
      </w:r>
      <w:r>
        <w:br/>
      </w:r>
      <w:r>
        <w:rPr>
          <w:rStyle w:val="VerbatimChar"/>
        </w:rPr>
        <w:t xml:space="preserve">  → Run ADM on the workspace; review proposed clusters</w:t>
      </w:r>
      <w:r>
        <w:br/>
      </w:r>
      <w:r>
        <w:rPr>
          <w:rStyle w:val="VerbatimChar"/>
        </w:rPr>
        <w:t xml:space="preserve">  → Reject "noise" clusters; rename clusters to business roles</w:t>
      </w:r>
      <w:r>
        <w:br/>
      </w:r>
      <w:r>
        <w:rPr>
          <w:rStyle w:val="VerbatimChar"/>
        </w:rPr>
        <w:t xml:space="preserve">  → Clusters become policy intents</w:t>
      </w:r>
      <w:r>
        <w:br/>
      </w:r>
      <w:r>
        <w:br/>
      </w:r>
      <w:r>
        <w:rPr>
          <w:rStyle w:val="VerbatimChar"/>
        </w:rPr>
        <w:t xml:space="preserve">Step 3: Layer DORA-aligned hardening rules on top</w:t>
      </w:r>
      <w:r>
        <w:br/>
      </w:r>
      <w:r>
        <w:rPr>
          <w:rStyle w:val="VerbatimChar"/>
        </w:rPr>
        <w:t xml:space="preserve">  DENY:  Any IBF workload → Internet (egress) unless explicitly required</w:t>
      </w:r>
      <w:r>
        <w:br/>
      </w:r>
      <w:r>
        <w:rPr>
          <w:rStyle w:val="VerbatimChar"/>
        </w:rPr>
        <w:t xml:space="preserve">  DENY:  Non-IBF workloads → IBF workloads (cross-IBF lateral)</w:t>
      </w:r>
      <w:r>
        <w:br/>
      </w:r>
      <w:r>
        <w:rPr>
          <w:rStyle w:val="VerbatimChar"/>
        </w:rPr>
        <w:t xml:space="preserve">  DENY:  Plaintext protocols (HTTP/21/23/389) → IBF workloads</w:t>
      </w:r>
      <w:r>
        <w:br/>
      </w:r>
      <w:r>
        <w:rPr>
          <w:rStyle w:val="VerbatimChar"/>
        </w:rPr>
        <w:t xml:space="preserve">  ALLOW: IBF workloads → approved CTPP egress endpoints (whitelist by</w:t>
      </w:r>
      <w:r>
        <w:br/>
      </w:r>
      <w:r>
        <w:rPr>
          <w:rStyle w:val="VerbatimChar"/>
        </w:rPr>
        <w:t xml:space="preserve">         FQDN/IP, with port + frequency constraint where supported)</w:t>
      </w:r>
      <w:r>
        <w:br/>
      </w:r>
      <w:r>
        <w:br/>
      </w:r>
      <w:r>
        <w:rPr>
          <w:rStyle w:val="VerbatimChar"/>
        </w:rPr>
        <w:t xml:space="preserve">Step 4: Run in Simulation for ≥ 30 days</w:t>
      </w:r>
      <w:r>
        <w:br/>
      </w:r>
      <w:r>
        <w:rPr>
          <w:rStyle w:val="VerbatimChar"/>
        </w:rPr>
        <w:t xml:space="preserve">  → Capture and resolve every legitimate-but-blocked flow with the</w:t>
      </w:r>
      <w:r>
        <w:br/>
      </w:r>
      <w:r>
        <w:rPr>
          <w:rStyle w:val="VerbatimChar"/>
        </w:rPr>
        <w:t xml:space="preserve">    application owner; document every exception in the workspace notes</w:t>
      </w:r>
      <w:r>
        <w:br/>
      </w:r>
      <w:r>
        <w:rPr>
          <w:rStyle w:val="VerbatimChar"/>
        </w:rPr>
        <w:t xml:space="preserve">  → This is the artefact that demonstrates "continuous review" required</w:t>
      </w:r>
      <w:r>
        <w:br/>
      </w:r>
      <w:r>
        <w:rPr>
          <w:rStyle w:val="VerbatimChar"/>
        </w:rPr>
        <w:t xml:space="preserve">    under Art. 9(4)(g)</w:t>
      </w:r>
      <w:r>
        <w:br/>
      </w:r>
      <w:r>
        <w:br/>
      </w:r>
      <w:r>
        <w:rPr>
          <w:rStyle w:val="VerbatimChar"/>
        </w:rPr>
        <w:t xml:space="preserve">Step 5: Promote to Enforce; gate with change-management approval</w:t>
      </w:r>
      <w:r>
        <w:br/>
      </w:r>
      <w:r>
        <w:rPr>
          <w:rStyle w:val="VerbatimChar"/>
        </w:rPr>
        <w:t xml:space="preserve">  → Each subsequent change is captured in CSW change history</w:t>
      </w:r>
      <w:r>
        <w:br/>
      </w:r>
      <w:r>
        <w:rPr>
          <w:rStyle w:val="VerbatimChar"/>
        </w:rPr>
        <w:t xml:space="preserve">  → Evidence: enforcement diff report, exported per quarter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policy workspace export per IBF; (b) simulation→</w:t>
      </w:r>
      <w:r>
        <w:t xml:space="preserve"> </w:t>
      </w:r>
      <w:r>
        <w:t xml:space="preserve">enforcement transition log; (c) quarterly enforcement diff report.</w:t>
      </w:r>
    </w:p>
    <w:p>
      <w:r>
        <w:pict>
          <v:rect style="width:0;height:1.5pt" o:hralign="center" o:hrstd="t" o:hr="t"/>
        </w:pict>
      </w:r>
    </w:p>
    <w:bookmarkEnd w:id="24"/>
    <w:bookmarkStart w:id="25" w:name="X15c8c09151a287bc8c423afddd61f120065d4b5"/>
    <w:p>
      <w:pPr>
        <w:pStyle w:val="Heading2"/>
      </w:pPr>
      <w:r>
        <w:t xml:space="preserve">5. Article 10 — Detection</w:t>
      </w:r>
    </w:p>
    <w:p>
      <w:pPr>
        <w:pStyle w:val="FirstParagraph"/>
      </w:pPr>
      <w:r>
        <w:t xml:space="preserve">Article 10 requires detection of "anomalous activities, including</w:t>
      </w:r>
      <w:r>
        <w:t xml:space="preserve"> </w:t>
      </w:r>
      <w:r>
        <w:t xml:space="preserve">ICT network performance issues and ICT-related incidents."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Enable behavioural detections</w:t>
      </w:r>
      <w:r>
        <w:br/>
      </w:r>
      <w:r>
        <w:rPr>
          <w:rStyle w:val="VerbatimChar"/>
        </w:rPr>
        <w:t xml:space="preserve">  CSW UI → Defend → Forensics → Rules</w:t>
      </w:r>
      <w:r>
        <w:br/>
      </w:r>
      <w:r>
        <w:rPr>
          <w:rStyle w:val="VerbatimChar"/>
        </w:rPr>
        <w:t xml:space="preserve">  → Out-of-the-box rules: privilege escalation, persistence, lateral movement</w:t>
      </w:r>
      <w:r>
        <w:br/>
      </w:r>
      <w:r>
        <w:rPr>
          <w:rStyle w:val="VerbatimChar"/>
        </w:rPr>
        <w:t xml:space="preserve">  → Custom rules: encode IBF-specific abuse patterns</w:t>
      </w:r>
      <w:r>
        <w:br/>
      </w:r>
      <w:r>
        <w:rPr>
          <w:rStyle w:val="VerbatimChar"/>
        </w:rPr>
        <w:t xml:space="preserve">      Example: "Process on payment-auth host writes to /etc/shadow"</w:t>
      </w:r>
      <w:r>
        <w:br/>
      </w:r>
      <w:r>
        <w:rPr>
          <w:rStyle w:val="VerbatimChar"/>
        </w:rPr>
        <w:t xml:space="preserve">      Example: "Outbound TLS to non-allowlisted FQDN from settlement host"</w:t>
      </w:r>
      <w:r>
        <w:br/>
      </w:r>
      <w:r>
        <w:br/>
      </w:r>
      <w:r>
        <w:rPr>
          <w:rStyle w:val="VerbatimChar"/>
        </w:rPr>
        <w:t xml:space="preserve">Step 2: Enable Conversation-graph anomaly detection</w:t>
      </w:r>
      <w:r>
        <w:br/>
      </w:r>
      <w:r>
        <w:rPr>
          <w:rStyle w:val="VerbatimChar"/>
        </w:rPr>
        <w:t xml:space="preserve">  → Auto-flag new edges in the IBF dependency graph</w:t>
      </w:r>
      <w:r>
        <w:br/>
      </w:r>
      <w:r>
        <w:rPr>
          <w:rStyle w:val="VerbatimChar"/>
        </w:rPr>
        <w:t xml:space="preserve">  → Auto-flag changes in port/protocol distribution per workload</w:t>
      </w:r>
      <w:r>
        <w:br/>
      </w:r>
      <w:r>
        <w:br/>
      </w:r>
      <w:r>
        <w:rPr>
          <w:rStyle w:val="VerbatimChar"/>
        </w:rPr>
        <w:t xml:space="preserve">Step 3: Wire alerts to your SOC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 HEC, QRadar, Sentinel, Cisco XDR</w:t>
      </w:r>
      <w:r>
        <w:br/>
      </w:r>
      <w:r>
        <w:rPr>
          <w:rStyle w:val="VerbatimChar"/>
        </w:rPr>
        <w:t xml:space="preserve">  → Tag alerts with dora_ibf=true so SOC can prioritise per Art. 17</w:t>
      </w:r>
      <w:r>
        <w:br/>
      </w:r>
      <w:r>
        <w:br/>
      </w:r>
      <w:r>
        <w:rPr>
          <w:rStyle w:val="VerbatimChar"/>
        </w:rPr>
        <w:t xml:space="preserve">Step 4: Track detection latency (an Art. 11(2) lessons-learned input)</w:t>
      </w:r>
      <w:r>
        <w:br/>
      </w:r>
      <w:r>
        <w:rPr>
          <w:rStyle w:val="VerbatimChar"/>
        </w:rPr>
        <w:t xml:space="preserve">  → CSW timestamps every detection; SIEM timestamps acknowledgement</w:t>
      </w:r>
      <w:r>
        <w:br/>
      </w:r>
      <w:r>
        <w:rPr>
          <w:rStyle w:val="VerbatimChar"/>
        </w:rPr>
        <w:t xml:space="preserve">  → Compute MTTD per IBF; report to management body quarterly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detection rule catalogue with last-modified dates;</w:t>
      </w:r>
      <w:r>
        <w:t xml:space="preserve"> </w:t>
      </w:r>
      <w:r>
        <w:t xml:space="preserve">(b) SIEM forwarding configuration; (c) MTTD trend report per IBF.</w:t>
      </w:r>
    </w:p>
    <w:p>
      <w:r>
        <w:pict>
          <v:rect style="width:0;height:1.5pt" o:hralign="center" o:hrstd="t" o:hr="t"/>
        </w:pict>
      </w:r>
    </w:p>
    <w:bookmarkEnd w:id="25"/>
    <w:bookmarkStart w:id="26" w:name="X445614a8d16bfd9b19b88be2f86b84fc544dc0d"/>
    <w:p>
      <w:pPr>
        <w:pStyle w:val="Heading2"/>
      </w:pPr>
      <w:r>
        <w:t xml:space="preserve">6. Article 11 — Response and Recovery</w:t>
      </w:r>
    </w:p>
    <w:p>
      <w:pPr>
        <w:pStyle w:val="FirstParagraph"/>
      </w:pPr>
      <w:r>
        <w:t xml:space="preserve">Article 11(2) requires "comprehensive ICT business continuity policy"</w:t>
      </w:r>
      <w:r>
        <w:t xml:space="preserve"> </w:t>
      </w:r>
      <w:r>
        <w:t xml:space="preserve">including procedures for "containment, eradication and recovery."</w:t>
      </w:r>
    </w:p>
    <w:p>
      <w:pPr>
        <w:pStyle w:val="BodyText"/>
      </w:pPr>
      <w:r>
        <w:rPr>
          <w:b/>
          <w:bCs/>
        </w:rPr>
        <w:t xml:space="preserve">CSW Implementation — Containment Playbook:</w:t>
      </w:r>
    </w:p>
    <w:p>
      <w:pPr>
        <w:pStyle w:val="SourceCode"/>
      </w:pPr>
      <w:r>
        <w:rPr>
          <w:rStyle w:val="VerbatimChar"/>
        </w:rPr>
        <w:t xml:space="preserve">Scenario: SOC declares a confirmed compromise on workload W in IBF X</w:t>
      </w:r>
      <w:r>
        <w:br/>
      </w:r>
      <w:r>
        <w:br/>
      </w:r>
      <w:r>
        <w:rPr>
          <w:rStyle w:val="VerbatimChar"/>
        </w:rPr>
        <w:t xml:space="preserve">Step 1 (T+0): Quarantine W</w:t>
      </w:r>
      <w:r>
        <w:br/>
      </w:r>
      <w:r>
        <w:rPr>
          <w:rStyle w:val="VerbatimChar"/>
        </w:rPr>
        <w:t xml:space="preserve">  CSW UI → Inventory → W → Apply Quarantine Policy</w:t>
      </w:r>
      <w:r>
        <w:br/>
      </w:r>
      <w:r>
        <w:rPr>
          <w:rStyle w:val="VerbatimChar"/>
        </w:rPr>
        <w:t xml:space="preserve">  → Pre-built policy: deny all, allow only IR jump-host on TCP/22</w:t>
      </w:r>
      <w:r>
        <w:br/>
      </w:r>
      <w:r>
        <w:rPr>
          <w:rStyle w:val="VerbatimChar"/>
        </w:rPr>
        <w:t xml:space="preserve">  → Typically applied in seconds without firewall change tickets</w:t>
      </w:r>
      <w:r>
        <w:br/>
      </w:r>
      <w:r>
        <w:br/>
      </w:r>
      <w:r>
        <w:rPr>
          <w:rStyle w:val="VerbatimChar"/>
        </w:rPr>
        <w:t xml:space="preserve">Step 2 (T+0): Pivot to other workloads in IBF X with similar exposure</w:t>
      </w:r>
      <w:r>
        <w:br/>
      </w:r>
      <w:r>
        <w:rPr>
          <w:rStyle w:val="VerbatimChar"/>
        </w:rPr>
        <w:t xml:space="preserve">  → Use CSW vulnerability + process inventory to identify peers running</w:t>
      </w:r>
      <w:r>
        <w:br/>
      </w:r>
      <w:r>
        <w:rPr>
          <w:rStyle w:val="VerbatimChar"/>
        </w:rPr>
        <w:t xml:space="preserve">    the same software/version → preemptively quarantine if criticality</w:t>
      </w:r>
      <w:r>
        <w:br/>
      </w:r>
      <w:r>
        <w:rPr>
          <w:rStyle w:val="VerbatimChar"/>
        </w:rPr>
        <w:t xml:space="preserve">    warrants</w:t>
      </w:r>
      <w:r>
        <w:br/>
      </w:r>
      <w:r>
        <w:br/>
      </w:r>
      <w:r>
        <w:rPr>
          <w:rStyle w:val="VerbatimChar"/>
        </w:rPr>
        <w:t xml:space="preserve">Step 3 (T+5min): Capture forensic baseline</w:t>
      </w:r>
      <w:r>
        <w:br/>
      </w:r>
      <w:r>
        <w:rPr>
          <w:rStyle w:val="VerbatimChar"/>
        </w:rPr>
        <w:t xml:space="preserve">  → CSW historical flow data: all conversations to/from W in last 30 days</w:t>
      </w:r>
      <w:r>
        <w:br/>
      </w:r>
      <w:r>
        <w:rPr>
          <w:rStyle w:val="VerbatimChar"/>
        </w:rPr>
        <w:t xml:space="preserve">  → CSW process snapshot: every process running on W at containment</w:t>
      </w:r>
      <w:r>
        <w:br/>
      </w:r>
      <w:r>
        <w:rPr>
          <w:rStyle w:val="VerbatimChar"/>
        </w:rPr>
        <w:t xml:space="preserve">  → CSW package inventory: every installed package and version</w:t>
      </w:r>
      <w:r>
        <w:br/>
      </w:r>
      <w:r>
        <w:rPr>
          <w:rStyle w:val="VerbatimChar"/>
        </w:rPr>
        <w:t xml:space="preserve">  → Export to incident case; this is the Art. 11(2)(d) "post-incident</w:t>
      </w:r>
      <w:r>
        <w:br/>
      </w:r>
      <w:r>
        <w:rPr>
          <w:rStyle w:val="VerbatimChar"/>
        </w:rPr>
        <w:t xml:space="preserve">    review" raw material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quarantine policy applied (timestamped); (b) forensic</w:t>
      </w:r>
      <w:r>
        <w:t xml:space="preserve"> </w:t>
      </w:r>
      <w:r>
        <w:t xml:space="preserve">export bundle; (c) containment-to-remediation timeline.</w:t>
      </w:r>
    </w:p>
    <w:p>
      <w:r>
        <w:pict>
          <v:rect style="width:0;height:1.5pt" o:hralign="center" o:hrstd="t" o:hr="t"/>
        </w:pict>
      </w:r>
    </w:p>
    <w:bookmarkEnd w:id="26"/>
    <w:bookmarkStart w:id="27" w:name="Xbe4f7905cf58f99a6d8a225d5f9ee98dd54c75b"/>
    <w:p>
      <w:pPr>
        <w:pStyle w:val="Heading2"/>
      </w:pPr>
      <w:r>
        <w:t xml:space="preserve">7. Articles 17–23 — Incident Management, Classification &amp; Reporting</w:t>
      </w:r>
    </w:p>
    <w:p>
      <w:pPr>
        <w:pStyle w:val="FirstParagraph"/>
      </w:pPr>
      <w:r>
        <w:t xml:space="preserve">DORA harmonises incident reporting into one flow with three deadlines</w:t>
      </w:r>
      <w:r>
        <w:t xml:space="preserve"> </w:t>
      </w:r>
      <w:r>
        <w:t xml:space="preserve">under Article 19 (subject to the implementing RTS on incident</w:t>
      </w:r>
      <w:r>
        <w:t xml:space="preserve"> </w:t>
      </w:r>
      <w:r>
        <w:t xml:space="preserve">reporting):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Deadline (typical, confirm against final RTS)</w:t>
            </w:r>
          </w:p>
        </w:tc>
        <w:tc>
          <w:tcPr/>
          <w:p>
            <w:pPr>
              <w:pStyle w:val="Compact"/>
            </w:pPr>
            <w:r>
              <w:t xml:space="preserve">Required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notification</w:t>
            </w:r>
          </w:p>
        </w:tc>
        <w:tc>
          <w:tcPr/>
          <w:p>
            <w:pPr>
              <w:pStyle w:val="Compact"/>
            </w:pPr>
            <w:r>
              <w:t xml:space="preserve">As soon as possible, no later than</w:t>
            </w:r>
            <w:r>
              <w:t xml:space="preserve"> </w:t>
            </w:r>
            <w:r>
              <w:rPr>
                <w:b/>
                <w:bCs/>
              </w:rPr>
              <w:t xml:space="preserve">4 h after classification as major</w:t>
            </w:r>
          </w:p>
        </w:tc>
        <w:tc>
          <w:tcPr/>
          <w:p>
            <w:pPr>
              <w:pStyle w:val="Compact"/>
            </w:pPr>
            <w:r>
              <w:t xml:space="preserve">Nature, type, root cause if known, geographic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 report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72 h</w:t>
            </w:r>
            <w:r>
              <w:t xml:space="preserve"> </w:t>
            </w:r>
            <w:r>
              <w:t xml:space="preserve">of initial</w:t>
            </w:r>
          </w:p>
        </w:tc>
        <w:tc>
          <w:tcPr/>
          <w:p>
            <w:pPr>
              <w:pStyle w:val="Compact"/>
            </w:pPr>
            <w:r>
              <w:t xml:space="preserve">Updated facts, status of containment, impact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report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 month</w:t>
            </w:r>
            <w:r>
              <w:t xml:space="preserve"> </w:t>
            </w:r>
            <w:r>
              <w:t xml:space="preserve">of initial</w:t>
            </w:r>
          </w:p>
        </w:tc>
        <w:tc>
          <w:tcPr/>
          <w:p>
            <w:pPr>
              <w:pStyle w:val="Compact"/>
            </w:pPr>
            <w:r>
              <w:t xml:space="preserve">Root cause analysis, remediation, lessons learned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 — Reporting Evidence:</w:t>
      </w:r>
    </w:p>
    <w:p>
      <w:pPr>
        <w:pStyle w:val="SourceCode"/>
      </w:pPr>
      <w:r>
        <w:rPr>
          <w:rStyle w:val="VerbatimChar"/>
        </w:rPr>
        <w:t xml:space="preserve">For each major incident, assemble from CSW:</w:t>
      </w:r>
      <w:r>
        <w:br/>
      </w:r>
      <w:r>
        <w:br/>
      </w:r>
      <w:r>
        <w:rPr>
          <w:rStyle w:val="VerbatimChar"/>
        </w:rPr>
        <w:t xml:space="preserve">  (a) Affected workload set</w:t>
      </w:r>
      <w:r>
        <w:br/>
      </w:r>
      <w:r>
        <w:rPr>
          <w:rStyle w:val="VerbatimChar"/>
        </w:rPr>
        <w:t xml:space="preserve">      → Inventory query: hostnames, IPs, OS, IBF labels, ownership</w:t>
      </w:r>
      <w:r>
        <w:br/>
      </w:r>
      <w:r>
        <w:rPr>
          <w:rStyle w:val="VerbatimChar"/>
        </w:rPr>
        <w:t xml:space="preserve">  (b) Time-anchored flow record</w:t>
      </w:r>
      <w:r>
        <w:br/>
      </w:r>
      <w:r>
        <w:rPr>
          <w:rStyle w:val="VerbatimChar"/>
        </w:rPr>
        <w:t xml:space="preserve">      → CSW historical conversations: source, destination, port, byte</w:t>
      </w:r>
      <w:r>
        <w:br/>
      </w:r>
      <w:r>
        <w:rPr>
          <w:rStyle w:val="VerbatimChar"/>
        </w:rPr>
        <w:t xml:space="preserve">        counts, timestamps, geographic origin via flow context</w:t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rPr>
          <w:rStyle w:val="VerbatimChar"/>
        </w:rPr>
        <w:t xml:space="preserve">  (d) Software footprint at time of incident</w:t>
      </w:r>
      <w:r>
        <w:br/>
      </w:r>
      <w:r>
        <w:rPr>
          <w:rStyle w:val="VerbatimChar"/>
        </w:rPr>
        <w:t xml:space="preserve">      → Package list, CVE exposure at that moment (not "today")</w:t>
      </w:r>
      <w:r>
        <w:br/>
      </w:r>
      <w:r>
        <w:rPr>
          <w:rStyle w:val="VerbatimChar"/>
        </w:rPr>
        <w:t xml:space="preserve">  (e) Containment evidence</w:t>
      </w:r>
      <w:r>
        <w:br/>
      </w:r>
      <w:r>
        <w:rPr>
          <w:rStyle w:val="VerbatimChar"/>
        </w:rPr>
        <w:t xml:space="preserve">      → Policy applied; flow drop count after policy; time-to-quarantine</w:t>
      </w:r>
      <w:r>
        <w:br/>
      </w:r>
      <w:r>
        <w:rPr>
          <w:rStyle w:val="VerbatimChar"/>
        </w:rPr>
        <w:t xml:space="preserve">  (f) Post-incident control proof</w:t>
      </w:r>
      <w:r>
        <w:br/>
      </w:r>
      <w:r>
        <w:rPr>
          <w:rStyle w:val="VerbatimChar"/>
        </w:rPr>
        <w:t xml:space="preserve">      → Diff between pre-incident segmentation and remediated state</w:t>
      </w:r>
      <w:r>
        <w:br/>
      </w:r>
      <w:r>
        <w:br/>
      </w:r>
      <w:r>
        <w:rPr>
          <w:rStyle w:val="VerbatimChar"/>
        </w:rPr>
        <w:t xml:space="preserve">These six artefacts populate the standard incident report template</w:t>
      </w:r>
      <w:r>
        <w:br/>
      </w:r>
      <w:r>
        <w:rPr>
          <w:rStyle w:val="VerbatimChar"/>
        </w:rPr>
        <w:t xml:space="preserve">your competent authority will accept.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incident dossier per major event; (b) MTTD/MTTR</w:t>
      </w:r>
      <w:r>
        <w:t xml:space="preserve"> </w:t>
      </w:r>
      <w:r>
        <w:t xml:space="preserve">metrics by IBF; (c) annual aggregate incident-trend report (an</w:t>
      </w:r>
      <w:r>
        <w:t xml:space="preserve"> </w:t>
      </w:r>
      <w:r>
        <w:t xml:space="preserve">Art. 13 "learning" input to the management body).</w:t>
      </w:r>
    </w:p>
    <w:p>
      <w:r>
        <w:pict>
          <v:rect style="width:0;height:1.5pt" o:hralign="center" o:hrstd="t" o:hr="t"/>
        </w:pict>
      </w:r>
    </w:p>
    <w:bookmarkEnd w:id="27"/>
    <w:bookmarkStart w:id="28" w:name="X80de995f034ae8f982cbcec08f441312847b18a"/>
    <w:p>
      <w:pPr>
        <w:pStyle w:val="Heading2"/>
      </w:pPr>
      <w:r>
        <w:t xml:space="preserve">8. Articles 24–27 — Digital Operational Resilience Testing</w:t>
      </w:r>
    </w:p>
    <w:p>
      <w:pPr>
        <w:pStyle w:val="FirstParagraph"/>
      </w:pPr>
      <w:r>
        <w:t xml:space="preserve">Article 24 requires a sound and comprehensive testing programme.</w:t>
      </w:r>
      <w:r>
        <w:t xml:space="preserve"> </w:t>
      </w:r>
      <w:r>
        <w:t xml:space="preserve">Article 25(1) lists baseline tests (vulnerability assessments,</w:t>
      </w:r>
      <w:r>
        <w:t xml:space="preserve"> </w:t>
      </w:r>
      <w:r>
        <w:t xml:space="preserve">scenario-based, performance, end-to-end). Article 26 introduces TLPT</w:t>
      </w:r>
      <w:r>
        <w:t xml:space="preserve"> </w:t>
      </w:r>
      <w:r>
        <w:t xml:space="preserve">(threat-led penetration testing) every 3 years for significant</w:t>
      </w:r>
      <w:r>
        <w:t xml:space="preserve"> </w:t>
      </w:r>
      <w:r>
        <w:t xml:space="preserve">entities, modelled on TIBER-EU.</w:t>
      </w:r>
    </w:p>
    <w:p>
      <w:pPr>
        <w:pStyle w:val="BodyText"/>
      </w:pPr>
      <w:r>
        <w:rPr>
          <w:b/>
          <w:bCs/>
        </w:rPr>
        <w:t xml:space="preserve">CSW Implementation — Baseline Test Support (Art. 25):</w:t>
      </w:r>
    </w:p>
    <w:p>
      <w:pPr>
        <w:pStyle w:val="SourceCode"/>
      </w:pPr>
      <w:r>
        <w:rPr>
          <w:rStyle w:val="VerbatimChar"/>
        </w:rPr>
        <w:t xml:space="preserve">Vulnerability assessment:</w:t>
      </w:r>
      <w:r>
        <w:br/>
      </w:r>
      <w:r>
        <w:rPr>
          <w:rStyle w:val="VerbatimChar"/>
        </w:rPr>
        <w:t xml:space="preserve">  → CSW Vulnerability Dashboard: per-workload CVE list with CVSS,</w:t>
      </w:r>
      <w:r>
        <w:br/>
      </w:r>
      <w:r>
        <w:rPr>
          <w:rStyle w:val="VerbatimChar"/>
        </w:rPr>
        <w:t xml:space="preserve">    exploit availability, EPSS score</w:t>
      </w:r>
      <w:r>
        <w:br/>
      </w:r>
      <w:r>
        <w:rPr>
          <w:rStyle w:val="VerbatimChar"/>
        </w:rPr>
        <w:t xml:space="preserve">  → Filter by ibf_ciricality=critical → priority remediation queue</w:t>
      </w:r>
      <w:r>
        <w:br/>
      </w:r>
      <w:r>
        <w:rPr>
          <w:rStyle w:val="VerbatimChar"/>
        </w:rPr>
        <w:t xml:space="preserve">  → Evidence: weekly export tied to remediation ticket IDs</w:t>
      </w:r>
      <w:r>
        <w:br/>
      </w:r>
      <w:r>
        <w:br/>
      </w:r>
      <w:r>
        <w:rPr>
          <w:rStyle w:val="VerbatimChar"/>
        </w:rPr>
        <w:t xml:space="preserve">Scenario-based testing:</w:t>
      </w:r>
      <w:r>
        <w:br/>
      </w:r>
      <w:r>
        <w:rPr>
          <w:rStyle w:val="VerbatimChar"/>
        </w:rPr>
        <w:t xml:space="preserve">  → CSW supports "what-if" policy queries:</w:t>
      </w:r>
      <w:r>
        <w:br/>
      </w:r>
      <w:r>
        <w:rPr>
          <w:rStyle w:val="VerbatimChar"/>
        </w:rPr>
        <w:t xml:space="preserve">      "If host X were compromised, which IBF Y workloads are reachable</w:t>
      </w:r>
      <w:r>
        <w:br/>
      </w:r>
      <w:r>
        <w:rPr>
          <w:rStyle w:val="VerbatimChar"/>
        </w:rPr>
        <w:t xml:space="preserve">       under current policy?"</w:t>
      </w:r>
      <w:r>
        <w:br/>
      </w:r>
      <w:r>
        <w:rPr>
          <w:rStyle w:val="VerbatimChar"/>
        </w:rPr>
        <w:t xml:space="preserve">  → Use to validate segmentation assumptions before tabletop exercises</w:t>
      </w:r>
      <w:r>
        <w:br/>
      </w:r>
      <w:r>
        <w:rPr>
          <w:rStyle w:val="VerbatimChar"/>
        </w:rPr>
        <w:t xml:space="preserve">  → Evidence: pre-test reachability report; post-test reachability report</w:t>
      </w:r>
    </w:p>
    <w:p>
      <w:pPr>
        <w:pStyle w:val="FirstParagraph"/>
      </w:pPr>
      <w:r>
        <w:rPr>
          <w:b/>
          <w:bCs/>
        </w:rPr>
        <w:t xml:space="preserve">CSW Implementation — TLPT Support (Art. 26):</w:t>
      </w:r>
    </w:p>
    <w:p>
      <w:pPr>
        <w:pStyle w:val="SourceCode"/>
      </w:pPr>
      <w:r>
        <w:rPr>
          <w:rStyle w:val="VerbatimChar"/>
        </w:rPr>
        <w:t xml:space="preserve">Pre-engagement (with TIBER-EU lead):</w:t>
      </w:r>
      <w:r>
        <w:br/>
      </w:r>
      <w:r>
        <w:rPr>
          <w:rStyle w:val="VerbatimChar"/>
        </w:rPr>
        <w:t xml:space="preserve">  → Scope selection: provide IBF inventory + dependency graph to red team</w:t>
      </w:r>
      <w:r>
        <w:br/>
      </w:r>
      <w:r>
        <w:rPr>
          <w:rStyle w:val="VerbatimChar"/>
        </w:rPr>
        <w:t xml:space="preserve">  → Threat intel grounding: provide CSW outbound-flow patterns to scope</w:t>
      </w:r>
      <w:r>
        <w:br/>
      </w:r>
      <w:r>
        <w:rPr>
          <w:rStyle w:val="VerbatimChar"/>
        </w:rPr>
        <w:t xml:space="preserve">    realistic attacker pivots</w:t>
      </w:r>
      <w:r>
        <w:br/>
      </w:r>
      <w:r>
        <w:br/>
      </w:r>
      <w:r>
        <w:rPr>
          <w:rStyle w:val="VerbatimChar"/>
        </w:rPr>
        <w:t xml:space="preserve">During engagement:</w:t>
      </w:r>
      <w:r>
        <w:br/>
      </w:r>
      <w:r>
        <w:rPr>
          <w:rStyle w:val="VerbatimChar"/>
        </w:rPr>
        <w:t xml:space="preserve">  → Red team operates blind; no CSW data shared in real time</w:t>
      </w:r>
      <w:r>
        <w:br/>
      </w:r>
      <w:r>
        <w:rPr>
          <w:rStyle w:val="VerbatimChar"/>
        </w:rPr>
        <w:t xml:space="preserve">  → Defenders may be in "purple" mode if pre-agreed; CSW alerts can</w:t>
      </w:r>
      <w:r>
        <w:br/>
      </w:r>
      <w:r>
        <w:rPr>
          <w:rStyle w:val="VerbatimChar"/>
        </w:rPr>
        <w:t xml:space="preserve">    be observed but not acted on without authorised abort</w:t>
      </w:r>
      <w:r>
        <w:br/>
      </w:r>
      <w:r>
        <w:br/>
      </w:r>
      <w:r>
        <w:rPr>
          <w:rStyle w:val="VerbatimChar"/>
        </w:rPr>
        <w:t xml:space="preserve">Post-engagement:</w:t>
      </w:r>
      <w:r>
        <w:br/>
      </w:r>
      <w:r>
        <w:rPr>
          <w:rStyle w:val="VerbatimChar"/>
        </w:rPr>
        <w:t xml:space="preserve">  → CSW timeline reconstruction: every flow attempted by red team,</w:t>
      </w:r>
      <w:r>
        <w:br/>
      </w:r>
      <w:r>
        <w:rPr>
          <w:rStyle w:val="VerbatimChar"/>
        </w:rPr>
        <w:t xml:space="preserve">    every detection generated, every block enforced</w:t>
      </w:r>
      <w:r>
        <w:br/>
      </w:r>
      <w:r>
        <w:rPr>
          <w:rStyle w:val="VerbatimChar"/>
        </w:rPr>
        <w:t xml:space="preserve">  → Gap analysis: which Art. 9 segmentation rules held, which were</w:t>
      </w:r>
      <w:r>
        <w:br/>
      </w:r>
      <w:r>
        <w:rPr>
          <w:rStyle w:val="VerbatimChar"/>
        </w:rPr>
        <w:t xml:space="preserve">    bypassed, which detections fired vs. missed</w:t>
      </w:r>
      <w:r>
        <w:br/>
      </w:r>
      <w:r>
        <w:rPr>
          <w:rStyle w:val="VerbatimChar"/>
        </w:rPr>
        <w:t xml:space="preserve">  → Evidence: full red-team activity reconstruction, comparable to the</w:t>
      </w:r>
      <w:r>
        <w:br/>
      </w:r>
      <w:r>
        <w:rPr>
          <w:rStyle w:val="VerbatimChar"/>
        </w:rPr>
        <w:t xml:space="preserve">    findings report — this is the artefact the lead authority and</w:t>
      </w:r>
      <w:r>
        <w:br/>
      </w:r>
      <w:r>
        <w:rPr>
          <w:rStyle w:val="VerbatimChar"/>
        </w:rPr>
        <w:t xml:space="preserve">    your management body will rely on most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Art. 25 test catalogue with results and remediation</w:t>
      </w:r>
      <w:r>
        <w:t xml:space="preserve"> </w:t>
      </w:r>
      <w:r>
        <w:t xml:space="preserve">status; (b) per-TLPT engagement reconstruction package.</w:t>
      </w:r>
    </w:p>
    <w:p>
      <w:r>
        <w:pict>
          <v:rect style="width:0;height:1.5pt" o:hralign="center" o:hrstd="t" o:hr="t"/>
        </w:pict>
      </w:r>
    </w:p>
    <w:bookmarkEnd w:id="28"/>
    <w:bookmarkStart w:id="29" w:name="Xc4232bd5cf12ee0befb19f12565329f312c3c28"/>
    <w:p>
      <w:pPr>
        <w:pStyle w:val="Heading2"/>
      </w:pPr>
      <w:r>
        <w:t xml:space="preserve">9. Articles 28–30 — ICT Third-Party Risk (Technical Lens)</w:t>
      </w:r>
    </w:p>
    <w:p>
      <w:pPr>
        <w:pStyle w:val="FirstParagraph"/>
      </w:pPr>
      <w:r>
        <w:t xml:space="preserve">DORA Pillar 4 is largely contractual and governance-driven (Articles</w:t>
      </w:r>
      <w:r>
        <w:t xml:space="preserve"> </w:t>
      </w:r>
      <w:r>
        <w:t xml:space="preserve">28(3)–(7), 30 contractual provisions, 31–44 CTPP oversight). CSW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substitute for the Register of Information or for legal review.</w:t>
      </w:r>
      <w:r>
        <w:t xml:space="preserve"> </w:t>
      </w:r>
      <w:r>
        <w:t xml:space="preserve">It does answer the technical companion question:</w:t>
      </w:r>
      <w:r>
        <w:t xml:space="preserve"> </w:t>
      </w:r>
      <w:r>
        <w:rPr>
          <w:i/>
          <w:iCs/>
        </w:rPr>
        <w:t xml:space="preserve">what are my critical</w:t>
      </w:r>
      <w:r>
        <w:rPr>
          <w:i/>
          <w:iCs/>
        </w:rPr>
        <w:t xml:space="preserve"> </w:t>
      </w:r>
      <w:r>
        <w:rPr>
          <w:i/>
          <w:iCs/>
        </w:rPr>
        <w:t xml:space="preserve">workloads actually doing with third parties?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Enumerate third-party egress per IBF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source_scope = ibf_name=X AND destination_ip ∉ internal_ranges</w:t>
      </w:r>
      <w:r>
        <w:br/>
      </w:r>
      <w:r>
        <w:rPr>
          <w:rStyle w:val="VerbatimChar"/>
        </w:rPr>
        <w:t xml:space="preserve">  → Group by destination FQDN/IP; rank by byte count, frequency</w:t>
      </w:r>
      <w:r>
        <w:br/>
      </w:r>
      <w:r>
        <w:rPr>
          <w:rStyle w:val="VerbatimChar"/>
        </w:rPr>
        <w:t xml:space="preserve">  → Output: technical view of third-party dependency per IBF</w:t>
      </w:r>
      <w:r>
        <w:br/>
      </w:r>
      <w:r>
        <w:br/>
      </w:r>
      <w:r>
        <w:rPr>
          <w:rStyle w:val="VerbatimChar"/>
        </w:rPr>
        <w:t xml:space="preserve">Step 2: Reconcile against the Register of Information</w:t>
      </w:r>
      <w:r>
        <w:br/>
      </w:r>
      <w:r>
        <w:rPr>
          <w:rStyle w:val="VerbatimChar"/>
        </w:rPr>
        <w:t xml:space="preserve">  → For each observed third-party endpoint, find the corresponding entry</w:t>
      </w:r>
      <w:r>
        <w:br/>
      </w:r>
      <w:r>
        <w:rPr>
          <w:rStyle w:val="VerbatimChar"/>
        </w:rPr>
        <w:t xml:space="preserve">    in the Register; flag missing / undocumented endpoints</w:t>
      </w:r>
      <w:r>
        <w:br/>
      </w:r>
      <w:r>
        <w:rPr>
          <w:rStyle w:val="VerbatimChar"/>
        </w:rPr>
        <w:t xml:space="preserve">  → This is the *gap* between contracted and actual third-party usage</w:t>
      </w:r>
      <w:r>
        <w:br/>
      </w:r>
      <w:r>
        <w:br/>
      </w:r>
      <w:r>
        <w:rPr>
          <w:rStyle w:val="VerbatimChar"/>
        </w:rPr>
        <w:t xml:space="preserve">Step 3: Enforce egress allow-listing for IBF workloads</w:t>
      </w:r>
      <w:r>
        <w:br/>
      </w:r>
      <w:r>
        <w:rPr>
          <w:rStyle w:val="VerbatimChar"/>
        </w:rPr>
        <w:t xml:space="preserve">  ALLOW: IBF workloads → {Register-listed third-party endpoints only}</w:t>
      </w:r>
      <w:r>
        <w:br/>
      </w:r>
      <w:r>
        <w:rPr>
          <w:rStyle w:val="VerbatimChar"/>
        </w:rPr>
        <w:t xml:space="preserve">  DENY:  IBF workloads → all other external destinations</w:t>
      </w:r>
      <w:r>
        <w:br/>
      </w:r>
      <w:r>
        <w:rPr>
          <w:rStyle w:val="VerbatimChar"/>
        </w:rPr>
        <w:t xml:space="preserve">  → Run in Simulation; resolve gaps; promote to Enforce</w:t>
      </w:r>
      <w:r>
        <w:br/>
      </w:r>
      <w:r>
        <w:rPr>
          <w:rStyle w:val="VerbatimChar"/>
        </w:rPr>
        <w:t xml:space="preserve">  → New third-party usage now requires Register update before deployment</w:t>
      </w:r>
      <w:r>
        <w:br/>
      </w:r>
      <w:r>
        <w:br/>
      </w:r>
      <w:r>
        <w:rPr>
          <w:rStyle w:val="VerbatimChar"/>
        </w:rPr>
        <w:t xml:space="preserve">Step 4: Continuous monitoring</w:t>
      </w:r>
      <w:r>
        <w:br/>
      </w:r>
      <w:r>
        <w:rPr>
          <w:rStyle w:val="VerbatimChar"/>
        </w:rPr>
        <w:t xml:space="preserve">  → CSW alert: "new external destination from IBF workload"</w:t>
      </w:r>
      <w:r>
        <w:br/>
      </w:r>
      <w:r>
        <w:rPr>
          <w:rStyle w:val="VerbatimChar"/>
        </w:rPr>
        <w:t xml:space="preserve">  → Routes to ICT Risk function for Register reconciliation within</w:t>
      </w:r>
      <w:r>
        <w:br/>
      </w:r>
      <w:r>
        <w:rPr>
          <w:rStyle w:val="VerbatimChar"/>
        </w:rPr>
        <w:t xml:space="preserve">    the cadence required under Art. 28(3)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per-IBF third-party flow report; (b) Register-vs-</w:t>
      </w:r>
      <w:r>
        <w:t xml:space="preserve"> </w:t>
      </w:r>
      <w:r>
        <w:t xml:space="preserve">observed delta report; (c) egress policy enforcement diff history.</w:t>
      </w:r>
    </w:p>
    <w:p>
      <w:pPr>
        <w:pStyle w:val="BlockText"/>
      </w:pPr>
      <w:r>
        <w:rPr>
          <w:b/>
          <w:bCs/>
        </w:rPr>
        <w:t xml:space="preserve">Important caveat.</w:t>
      </w:r>
      <w:r>
        <w:t xml:space="preserve"> </w:t>
      </w:r>
      <w:r>
        <w:t xml:space="preserve">A CTPP's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posture is out of scope</w:t>
      </w:r>
      <w:r>
        <w:t xml:space="preserve"> </w:t>
      </w:r>
      <w:r>
        <w:t xml:space="preserve">for CSW unless that CTPP also runs CSW within its environment.</w:t>
      </w:r>
      <w:r>
        <w:t xml:space="preserve"> </w:t>
      </w:r>
      <w:r>
        <w:t xml:space="preserve">Article 30 contractual provisions remain the primary control for</w:t>
      </w:r>
      <w:r>
        <w:t xml:space="preserve"> </w:t>
      </w:r>
      <w:r>
        <w:t xml:space="preserve">CTPP behaviour outside your perimeter.</w:t>
      </w:r>
    </w:p>
    <w:p>
      <w:r>
        <w:pict>
          <v:rect style="width:0;height:1.5pt" o:hralign="center" o:hrstd="t" o:hr="t"/>
        </w:pict>
      </w:r>
    </w:p>
    <w:bookmarkEnd w:id="29"/>
    <w:bookmarkStart w:id="30" w:name="Xc6b6f1272c191b688f083403bb05d481396b592"/>
    <w:p>
      <w:pPr>
        <w:pStyle w:val="Heading2"/>
      </w:pPr>
      <w:r>
        <w:t xml:space="preserve">10. Article 13 — Learning and Evolving</w:t>
      </w:r>
    </w:p>
    <w:p>
      <w:pPr>
        <w:pStyle w:val="FirstParagraph"/>
      </w:pPr>
      <w:r>
        <w:t xml:space="preserve">Article 13 requires a continuous-improvement loop. The combination of</w:t>
      </w:r>
      <w:r>
        <w:t xml:space="preserve"> </w:t>
      </w:r>
      <w:r>
        <w:t xml:space="preserve">incident metrics (§7), test outcomes (§8) and third-party drift</w:t>
      </w:r>
      <w:r>
        <w:t xml:space="preserve"> </w:t>
      </w:r>
      <w:r>
        <w:t xml:space="preserve">findings (§9) produces a quarterly evidence pack the management body</w:t>
      </w:r>
      <w:r>
        <w:t xml:space="preserve"> </w:t>
      </w:r>
      <w:r>
        <w:t xml:space="preserve">can use to discharge its Article 5 accountability.</w:t>
      </w:r>
    </w:p>
    <w:p>
      <w:pPr>
        <w:pStyle w:val="BodyText"/>
      </w:pPr>
      <w:r>
        <w:rPr>
          <w:b/>
          <w:bCs/>
        </w:rPr>
        <w:t xml:space="preserve">Recommended quarterly pack contents:</w:t>
      </w:r>
    </w:p>
    <w:p>
      <w:pPr>
        <w:pStyle w:val="Compact"/>
        <w:numPr>
          <w:ilvl w:val="0"/>
          <w:numId w:val="1020"/>
        </w:numPr>
      </w:pPr>
      <w:r>
        <w:t xml:space="preserve">IBF inventory drift summary</w:t>
      </w:r>
    </w:p>
    <w:p>
      <w:pPr>
        <w:pStyle w:val="Compact"/>
        <w:numPr>
          <w:ilvl w:val="0"/>
          <w:numId w:val="1020"/>
        </w:numPr>
      </w:pPr>
      <w:r>
        <w:t xml:space="preserve">Segmentation policy diff (changes, new exceptions, removed exceptions)</w:t>
      </w:r>
    </w:p>
    <w:p>
      <w:pPr>
        <w:pStyle w:val="Compact"/>
        <w:numPr>
          <w:ilvl w:val="0"/>
          <w:numId w:val="1020"/>
        </w:numPr>
      </w:pPr>
      <w:r>
        <w:t xml:space="preserve">Incident summary with MTTD/MTTR per IBF</w:t>
      </w:r>
    </w:p>
    <w:p>
      <w:pPr>
        <w:pStyle w:val="Compact"/>
        <w:numPr>
          <w:ilvl w:val="0"/>
          <w:numId w:val="1020"/>
        </w:numPr>
      </w:pPr>
      <w:r>
        <w:t xml:space="preserve">Vulnerability backlog aged by criticality</w:t>
      </w:r>
    </w:p>
    <w:p>
      <w:pPr>
        <w:pStyle w:val="Compact"/>
        <w:numPr>
          <w:ilvl w:val="0"/>
          <w:numId w:val="1020"/>
        </w:numPr>
      </w:pPr>
      <w:r>
        <w:t xml:space="preserve">Third-party egress drift summary</w:t>
      </w:r>
    </w:p>
    <w:p>
      <w:pPr>
        <w:pStyle w:val="Compact"/>
        <w:numPr>
          <w:ilvl w:val="0"/>
          <w:numId w:val="1020"/>
        </w:numPr>
      </w:pPr>
      <w:r>
        <w:t xml:space="preserve">Test programme status (Art. 25 baseline + Art. 26 TLPT cycle position)</w:t>
      </w:r>
    </w:p>
    <w:p>
      <w:pPr>
        <w:pStyle w:val="Compact"/>
        <w:numPr>
          <w:ilvl w:val="0"/>
          <w:numId w:val="1020"/>
        </w:numPr>
      </w:pPr>
      <w:r>
        <w:t xml:space="preserve">Open audit/competent-authority findings and remediation status</w:t>
      </w:r>
    </w:p>
    <w:p>
      <w:r>
        <w:pict>
          <v:rect style="width:0;height:1.5pt" o:hralign="center" o:hrstd="t" o:hr="t"/>
        </w:pict>
      </w:r>
    </w:p>
    <w:bookmarkEnd w:id="30"/>
    <w:bookmarkStart w:id="31" w:name="Xd82c3ff3f4d2d053b2c0c1cded375615ed92f37"/>
    <w:p>
      <w:pPr>
        <w:pStyle w:val="Heading2"/>
      </w:pPr>
      <w:r>
        <w:t xml:space="preserve">11. Mapping Table — DORA Article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DORA Article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Governance &amp; accountability</w:t>
            </w:r>
          </w:p>
        </w:tc>
        <w:tc>
          <w:tcPr/>
          <w:p>
            <w:pPr>
              <w:pStyle w:val="Compact"/>
            </w:pPr>
            <w:r>
              <w:t xml:space="preserve">Quarterly evidence pack to management body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ICT risk management framework</w:t>
            </w:r>
          </w:p>
        </w:tc>
        <w:tc>
          <w:tcPr/>
          <w:p>
            <w:pPr>
              <w:pStyle w:val="Compact"/>
            </w:pPr>
            <w:r>
              <w:t xml:space="preserve">Centralised inventory, policy and detection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8(1)–(6)</w:t>
            </w:r>
          </w:p>
        </w:tc>
        <w:tc>
          <w:tcPr/>
          <w:p>
            <w:pPr>
              <w:pStyle w:val="Compact"/>
            </w:pPr>
            <w:r>
              <w:t xml:space="preserve">ICT asset inventory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ADM dependency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9(2)(a)</w:t>
            </w:r>
          </w:p>
        </w:tc>
        <w:tc>
          <w:tcPr/>
          <w:p>
            <w:pPr>
              <w:pStyle w:val="Compact"/>
            </w:pPr>
            <w:r>
              <w:t xml:space="preserve">Network segmentation</w:t>
            </w:r>
          </w:p>
        </w:tc>
        <w:tc>
          <w:tcPr/>
          <w:p>
            <w:pPr>
              <w:pStyle w:val="Compact"/>
            </w:pPr>
            <w:r>
              <w:t xml:space="preserve">Per-IBF segmentation workspaces, simulation→enforce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9(2)(b)</w:t>
            </w:r>
          </w:p>
        </w:tc>
        <w:tc>
          <w:tcPr/>
          <w:p>
            <w:pPr>
              <w:pStyle w:val="Compact"/>
            </w:pPr>
            <w:r>
              <w:t xml:space="preserve">Identification of unauthorised activities</w:t>
            </w:r>
          </w:p>
        </w:tc>
        <w:tc>
          <w:tcPr/>
          <w:p>
            <w:pPr>
              <w:pStyle w:val="Compact"/>
            </w:pPr>
            <w:r>
              <w:t xml:space="preserve">ADM drift, conversation-graph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9(4)(g)</w:t>
            </w:r>
          </w:p>
        </w:tc>
        <w:tc>
          <w:tcPr/>
          <w:p>
            <w:pPr>
              <w:pStyle w:val="Compact"/>
            </w:pPr>
            <w:r>
              <w:t xml:space="preserve">Continuous review of segmentation</w:t>
            </w:r>
          </w:p>
        </w:tc>
        <w:tc>
          <w:tcPr/>
          <w:p>
            <w:pPr>
              <w:pStyle w:val="Compact"/>
            </w:pPr>
            <w:r>
              <w:t xml:space="preserve">Quarterly policy diff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Behavioural rules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Response and recovery</w:t>
            </w:r>
          </w:p>
        </w:tc>
        <w:tc>
          <w:tcPr/>
          <w:p>
            <w:pPr>
              <w:pStyle w:val="Compact"/>
            </w:pPr>
            <w:r>
              <w:t xml:space="preserve">Quarantine policy + forensic export 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Learning and evolving</w:t>
            </w:r>
          </w:p>
        </w:tc>
        <w:tc>
          <w:tcPr/>
          <w:p>
            <w:pPr>
              <w:pStyle w:val="Compact"/>
            </w:pPr>
            <w:r>
              <w:t xml:space="preserve">Quarterly metrics 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Incident management process</w:t>
            </w:r>
          </w:p>
        </w:tc>
        <w:tc>
          <w:tcPr/>
          <w:p>
            <w:pPr>
              <w:pStyle w:val="Compact"/>
            </w:pPr>
            <w:r>
              <w:t xml:space="preserve">Forensic timeline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Classification of incidents</w:t>
            </w:r>
          </w:p>
        </w:tc>
        <w:tc>
          <w:tcPr/>
          <w:p>
            <w:pPr>
              <w:pStyle w:val="Compact"/>
            </w:pPr>
            <w:r>
              <w:t xml:space="preserve">IBF labels + flow context inform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Reporting deadlines (4h / 72h / 1mo)</w:t>
            </w:r>
          </w:p>
        </w:tc>
        <w:tc>
          <w:tcPr/>
          <w:p>
            <w:pPr>
              <w:pStyle w:val="Compact"/>
            </w:pPr>
            <w:r>
              <w:t xml:space="preserve">Six-artefact dossier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Testing programme</w:t>
            </w:r>
          </w:p>
        </w:tc>
        <w:tc>
          <w:tcPr/>
          <w:p>
            <w:pPr>
              <w:pStyle w:val="Compact"/>
            </w:pPr>
            <w:r>
              <w:t xml:space="preserve">Vulnerability + scenario test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25(1)</w:t>
            </w:r>
          </w:p>
        </w:tc>
        <w:tc>
          <w:tcPr/>
          <w:p>
            <w:pPr>
              <w:pStyle w:val="Compact"/>
            </w:pPr>
            <w:r>
              <w:t xml:space="preserve">Baseline tests</w:t>
            </w:r>
          </w:p>
        </w:tc>
        <w:tc>
          <w:tcPr/>
          <w:p>
            <w:pPr>
              <w:pStyle w:val="Compact"/>
            </w:pPr>
            <w:r>
              <w:t xml:space="preserve">CVE dashboard + reachability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TLPT</w:t>
            </w:r>
          </w:p>
        </w:tc>
        <w:tc>
          <w:tcPr/>
          <w:p>
            <w:pPr>
              <w:pStyle w:val="Compact"/>
            </w:pPr>
            <w:r>
              <w:t xml:space="preserve">Red-team activity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28(3)</w:t>
            </w:r>
          </w:p>
        </w:tc>
        <w:tc>
          <w:tcPr/>
          <w:p>
            <w:pPr>
              <w:pStyle w:val="Compact"/>
            </w:pPr>
            <w:r>
              <w:t xml:space="preserve">Register of Information</w:t>
            </w:r>
          </w:p>
        </w:tc>
        <w:tc>
          <w:tcPr/>
          <w:p>
            <w:pPr>
              <w:pStyle w:val="Compact"/>
            </w:pPr>
            <w:r>
              <w:t xml:space="preserve">Third-party egress reconciliation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28(4)</w:t>
            </w:r>
          </w:p>
        </w:tc>
        <w:tc>
          <w:tcPr/>
          <w:p>
            <w:pPr>
              <w:pStyle w:val="Compact"/>
            </w:pPr>
            <w:r>
              <w:t xml:space="preserve">Third-party risk monitoring</w:t>
            </w:r>
          </w:p>
        </w:tc>
        <w:tc>
          <w:tcPr/>
          <w:p>
            <w:pPr>
              <w:pStyle w:val="Compact"/>
            </w:pPr>
            <w:r>
              <w:t xml:space="preserve">Continuous outbound flow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30(2)(c)</w:t>
            </w:r>
          </w:p>
        </w:tc>
        <w:tc>
          <w:tcPr/>
          <w:p>
            <w:pPr>
              <w:pStyle w:val="Compact"/>
            </w:pPr>
            <w:r>
              <w:t xml:space="preserve">Contractual right to monitor</w:t>
            </w:r>
          </w:p>
        </w:tc>
        <w:tc>
          <w:tcPr/>
          <w:p>
            <w:pPr>
              <w:pStyle w:val="Compact"/>
            </w:pPr>
            <w:r>
              <w:t xml:space="preserve">Technical evidence supporting contractual right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f484f02f891276f0bacc2b06d4959830027632b"/>
    <w:p>
      <w:pPr>
        <w:pStyle w:val="Heading2"/>
      </w:pPr>
      <w:r>
        <w:t xml:space="preserve">12. Auditor / Competent-Authority Response Guide</w:t>
      </w:r>
    </w:p>
    <w:p>
      <w:pPr>
        <w:pStyle w:val="FirstParagraph"/>
      </w:pPr>
      <w:r>
        <w:t xml:space="preserve">When asked under Article 50 (information requests)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Authority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IBF asset inventory as of [date]"</w:t>
            </w:r>
          </w:p>
        </w:tc>
        <w:tc>
          <w:tcPr/>
          <w:p>
            <w:pPr>
              <w:pStyle w:val="Compact"/>
            </w:pPr>
            <w:r>
              <w:t xml:space="preserve">CSW inventory snapshot filtered by</w:t>
            </w:r>
            <w:r>
              <w:t xml:space="preserve"> </w:t>
            </w:r>
            <w:r>
              <w:rPr>
                <w:rStyle w:val="VerbatimChar"/>
              </w:rPr>
              <w:t xml:space="preserve">dora_ibf=true</w:t>
            </w:r>
            <w:r>
              <w:t xml:space="preserve">, 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segmentation between IBF A and IBF B"</w:t>
            </w:r>
          </w:p>
        </w:tc>
        <w:tc>
          <w:tcPr/>
          <w:p>
            <w:pPr>
              <w:pStyle w:val="Compact"/>
            </w:pPr>
            <w:r>
              <w:t xml:space="preserve">Workspace export + Simulation run showing zero allowed flows between 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incident timeline for event [ID]"</w:t>
            </w:r>
          </w:p>
        </w:tc>
        <w:tc>
          <w:tcPr/>
          <w:p>
            <w:pPr>
              <w:pStyle w:val="Compact"/>
            </w:pPr>
            <w:r>
              <w:t xml:space="preserve">Six-artefact dossier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how you monitor third-party drift"</w:t>
            </w:r>
          </w:p>
        </w:tc>
        <w:tc>
          <w:tcPr/>
          <w:p>
            <w:pPr>
              <w:pStyle w:val="Compact"/>
            </w:pPr>
            <w:r>
              <w:t xml:space="preserve">Register-vs-observed delta report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TLPT remediation evidence"</w:t>
            </w:r>
          </w:p>
        </w:tc>
        <w:tc>
          <w:tcPr/>
          <w:p>
            <w:pPr>
              <w:pStyle w:val="Compact"/>
            </w:pPr>
            <w:r>
              <w:t xml:space="preserve">Pre/post reachability reports + workspace diff + detection rule additions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Xaac4b8439b2e394a10e51f33ec42930ec3f5bcf"/>
    <w:p>
      <w:pPr>
        <w:pStyle w:val="Heading2"/>
      </w:pPr>
      <w:r>
        <w:t xml:space="preserve">13. Related Frameworks</w:t>
      </w:r>
    </w:p>
    <w:p>
      <w:pPr>
        <w:pStyle w:val="FirstParagraph"/>
      </w:pPr>
      <w:r>
        <w:t xml:space="preserve">DORA shares substantial control surface with: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NIS2</w:t>
      </w:r>
      <w:r>
        <w:t xml:space="preserve"> </w:t>
      </w:r>
      <w:r>
        <w:t xml:space="preserve">— many of the Article 21(2) measures overlap with DORA</w:t>
      </w:r>
      <w:r>
        <w:t xml:space="preserve"> </w:t>
      </w:r>
      <w:r>
        <w:t xml:space="preserve">Pillars 1–2 (see</w:t>
      </w:r>
      <w:r>
        <w:t xml:space="preserve"> </w:t>
      </w:r>
      <w:hyperlink r:id="rId33">
        <w:r>
          <w:rPr>
            <w:rStyle w:val="Hyperlink"/>
          </w:rPr>
          <w:t xml:space="preserve">NIS2 runbook</w:t>
        </w:r>
      </w:hyperlink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map cleanly to DORA</w:t>
      </w:r>
      <w:r>
        <w:t xml:space="preserve"> </w:t>
      </w:r>
      <w:r>
        <w:t xml:space="preserve">Pillar 1 (see</w:t>
      </w:r>
      <w:r>
        <w:t xml:space="preserve"> </w:t>
      </w:r>
      <w:hyperlink r:id="rId34">
        <w:r>
          <w:rPr>
            <w:rStyle w:val="Hyperlink"/>
          </w:rPr>
          <w:t xml:space="preserve">ISO 27001 runbook</w:t>
        </w:r>
      </w:hyperlink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NIST SP 800-207</w:t>
      </w:r>
      <w:r>
        <w:t xml:space="preserve"> </w:t>
      </w:r>
      <w:r>
        <w:t xml:space="preserve">— DORA's segmentation and continuous-monitoring</w:t>
      </w:r>
      <w:r>
        <w:t xml:space="preserve"> </w:t>
      </w:r>
      <w:r>
        <w:t xml:space="preserve">expectations align with the seven ZTA tenets (see</w:t>
      </w:r>
      <w:r>
        <w:t xml:space="preserve"> </w:t>
      </w:r>
      <w:hyperlink r:id="rId35">
        <w:r>
          <w:rPr>
            <w:rStyle w:val="Hyperlink"/>
          </w:rPr>
          <w:t xml:space="preserve">800-207 runbook</w:t>
        </w:r>
      </w:hyperlink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PCI DSS v4.0</w:t>
      </w:r>
      <w:r>
        <w:t xml:space="preserve"> </w:t>
      </w:r>
      <w:r>
        <w:t xml:space="preserve">— for payment-services entities, DORA Pillar 1 and</w:t>
      </w:r>
      <w:r>
        <w:t xml:space="preserve"> </w:t>
      </w:r>
      <w:r>
        <w:t xml:space="preserve">PCI Reqs 1, 7, 10, 11 share evidence (see</w:t>
      </w:r>
      <w:r>
        <w:t xml:space="preserve"> </w:t>
      </w:r>
      <w:hyperlink r:id="rId36">
        <w:r>
          <w:rPr>
            <w:rStyle w:val="Hyperlink"/>
          </w:rPr>
          <w:t xml:space="preserve">PCI runbook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38" w:name="X6d39dee548fe562094e426737d693407d1c0f0f"/>
    <w:p>
      <w:pPr>
        <w:pStyle w:val="Heading2"/>
      </w:pPr>
      <w:r>
        <w:t xml:space="preserve">14. Disclaimer</w:t>
      </w:r>
    </w:p>
    <w:p>
      <w:pPr>
        <w:pStyle w:val="FirstParagraph"/>
      </w:pPr>
      <w:r>
        <w:t xml:space="preserve">This runbook describes how Cisco Secure Workload capabilities can</w:t>
      </w:r>
      <w:r>
        <w:t xml:space="preserve"> </w:t>
      </w:r>
      <w:r>
        <w:t xml:space="preserve">support a DORA 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advice and does not</w:t>
      </w:r>
      <w:r>
        <w:t xml:space="preserve"> </w:t>
      </w:r>
      <w:r>
        <w:t xml:space="preserve">constitute a finding of compliance. Final classification of incidents,</w:t>
      </w:r>
      <w:r>
        <w:t xml:space="preserve"> </w:t>
      </w:r>
      <w:r>
        <w:t xml:space="preserve">identification of "important business functions," determination of</w:t>
      </w:r>
      <w:r>
        <w:t xml:space="preserve"> </w:t>
      </w:r>
      <w:r>
        <w:t xml:space="preserve">TLPT applicability, and contractual obligations under Articles 28–30</w:t>
      </w:r>
      <w:r>
        <w:t xml:space="preserve"> </w:t>
      </w:r>
      <w:r>
        <w:t xml:space="preserve">are the responsibility of the financial entity's management body and</w:t>
      </w:r>
      <w:r>
        <w:t xml:space="preserve"> </w:t>
      </w:r>
      <w:r>
        <w:t xml:space="preserve">its qualified legal and compliance counsel, working with the relevant</w:t>
      </w:r>
      <w:r>
        <w:t xml:space="preserve"> </w:t>
      </w:r>
      <w:r>
        <w:t xml:space="preserve">competent authority. Always validate against the latest published RTS</w:t>
      </w:r>
      <w:r>
        <w:t xml:space="preserve"> </w:t>
      </w:r>
      <w:r>
        <w:t xml:space="preserve">and ITS and against any guidance issued by your lead overseer.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ISO-27001-2022/CSW-ISO27001-Technical-Runbook.md" TargetMode="External" /><Relationship Type="http://schemas.openxmlformats.org/officeDocument/2006/relationships/hyperlink" Id="rId33" Target="../NIS2/CSW-NIS2-Technical-Runbook.md" TargetMode="External" /><Relationship Type="http://schemas.openxmlformats.org/officeDocument/2006/relationships/hyperlink" Id="rId35" Target="../NIST-800-207/CSW-NIST-800-207-Technical-Runbook.md" TargetMode="External" /><Relationship Type="http://schemas.openxmlformats.org/officeDocument/2006/relationships/hyperlink" Id="rId36" Target="../PCI-DSS-v4/CSW-PCI-DSS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ISO-27001-2022/CSW-ISO27001-Technical-Runbook.md" TargetMode="External" /><Relationship Type="http://schemas.openxmlformats.org/officeDocument/2006/relationships/hyperlink" Id="rId33" Target="../NIS2/CSW-NIS2-Technical-Runbook.md" TargetMode="External" /><Relationship Type="http://schemas.openxmlformats.org/officeDocument/2006/relationships/hyperlink" Id="rId35" Target="../NIST-800-207/CSW-NIST-800-207-Technical-Runbook.md" TargetMode="External" /><Relationship Type="http://schemas.openxmlformats.org/officeDocument/2006/relationships/hyperlink" Id="rId36" Target="../PCI-DSS-v4/CSW-PCI-DSS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2026-05-29T22:00:36Z</dcterms:created>
  <dcterms:modified xsi:type="dcterms:W3CDTF">2026-05-29T22:00:36Z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