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Xac3041fc03c2bbca342572605ec7e6d162c28be"/>
    <w:p>
      <w:pPr>
        <w:pStyle w:val="Heading1"/>
      </w:pPr>
      <w:r>
        <w:t xml:space="preserve">Cisco Secure Workload — GDPR Compliance Framework</w:t>
      </w:r>
    </w:p>
    <w:bookmarkStart w:id="9" w:name="Xe64dc14697470992288d93ec5a8d13df7540c5b"/>
    <w:p>
      <w:pPr>
        <w:pStyle w:val="Heading2"/>
      </w:pPr>
      <w:r>
        <w:t xml:space="preserve">Technical Runbook | EU General Data Protection Regulation (2016/679)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Fresh Install, Hybrid Environment (On-Prem + Cloud)</w:t>
      </w:r>
      <w:r>
        <w:br/>
      </w:r>
      <w:r>
        <w:rPr>
          <w:b/>
          <w:bCs/>
        </w:rPr>
        <w:t xml:space="preserve">Legal anchor:</w:t>
      </w:r>
      <w:r>
        <w:t xml:space="preserve"> </w:t>
      </w:r>
      <w:r>
        <w:t xml:space="preserve">Regulation (EU) 2016/679 — this document addresses</w:t>
      </w:r>
      <w:r>
        <w:t xml:space="preserve"> </w:t>
      </w:r>
      <w:r>
        <w:rPr>
          <w:b/>
          <w:bCs/>
        </w:rPr>
        <w:t xml:space="preserve">technical security evidence</w:t>
      </w:r>
      <w:r>
        <w:t xml:space="preserve"> </w:t>
      </w:r>
      <w:r>
        <w:t xml:space="preserve">only;</w:t>
      </w:r>
      <w:r>
        <w:t xml:space="preserve"> </w:t>
      </w:r>
      <w:r>
        <w:rPr>
          <w:b/>
          <w:bCs/>
        </w:rPr>
        <w:t xml:space="preserve">legal interpretation, DPO decisions, legitimate-basis analysis, consent records, and DPIA sign-off</w:t>
      </w:r>
      <w:r>
        <w:t xml:space="preserve"> </w:t>
      </w:r>
      <w:r>
        <w:t xml:space="preserve">remain with qualified legal counsel and the controller.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Data controllers and processors operating in the</w:t>
      </w:r>
      <w:r>
        <w:t xml:space="preserve"> </w:t>
      </w:r>
      <w:r>
        <w:t xml:space="preserve">EU/EEA (or offering goods/services to persons in the Union), including</w:t>
      </w:r>
      <w:r>
        <w:t xml:space="preserve"> </w:t>
      </w:r>
      <w:r>
        <w:t xml:space="preserve">CISOs, privacy engineering teams, DPO</w:t>
      </w:r>
      <w:r>
        <w:t xml:space="preserve"> </w:t>
      </w:r>
      <w:r>
        <w:rPr>
          <w:i/>
          <w:iCs/>
        </w:rPr>
        <w:t xml:space="preserve">liaisons</w:t>
      </w:r>
      <w:r>
        <w:t xml:space="preserve"> </w:t>
      </w:r>
      <w:r>
        <w:t xml:space="preserve">(technical),</w:t>
      </w:r>
      <w:r>
        <w:t xml:space="preserve"> </w:t>
      </w:r>
      <w:r>
        <w:t xml:space="preserve">application owners handling personal data, and internal audit.</w:t>
      </w:r>
    </w:p>
    <w:p>
      <w:pPr>
        <w:pStyle w:val="BodyText"/>
      </w:pPr>
      <w:r>
        <w:rPr>
          <w:b/>
          <w:bCs/>
        </w:rPr>
        <w:t xml:space="preserve">Important limitation.</w:t>
      </w:r>
      <w:r>
        <w:t xml:space="preserve"> </w:t>
      </w:r>
      <w:r>
        <w:t xml:space="preserve">The GDPR is a</w:t>
      </w:r>
      <w:r>
        <w:t xml:space="preserve"> </w:t>
      </w:r>
      <w:r>
        <w:rPr>
          <w:b/>
          <w:bCs/>
        </w:rPr>
        <w:t xml:space="preserve">legal and organizational</w:t>
      </w:r>
      <w:r>
        <w:t xml:space="preserve"> </w:t>
      </w:r>
      <w:r>
        <w:t xml:space="preserve">framework. Cisco Secure Workload (CSW)</w:t>
      </w:r>
      <w:r>
        <w:t xml:space="preserve"> </w:t>
      </w:r>
      <w:r>
        <w:rPr>
          <w:b/>
          <w:bCs/>
        </w:rPr>
        <w:t xml:space="preserve">does not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determine</w:t>
      </w:r>
      <w:r>
        <w:t xml:space="preserve"> </w:t>
      </w:r>
      <w:r>
        <w:rPr>
          <w:b/>
          <w:bCs/>
        </w:rPr>
        <w:t xml:space="preserve">lawful basis</w:t>
      </w:r>
      <w:r>
        <w:t xml:space="preserve"> </w:t>
      </w:r>
      <w:r>
        <w:t xml:space="preserve">for processing;</w:t>
      </w:r>
    </w:p>
    <w:p>
      <w:pPr>
        <w:pStyle w:val="Compact"/>
        <w:numPr>
          <w:ilvl w:val="0"/>
          <w:numId w:val="1001"/>
        </w:numPr>
      </w:pPr>
      <w:r>
        <w:t xml:space="preserve">manage</w:t>
      </w:r>
      <w:r>
        <w:t xml:space="preserve"> </w:t>
      </w:r>
      <w:r>
        <w:rPr>
          <w:b/>
          <w:bCs/>
        </w:rPr>
        <w:t xml:space="preserve">consent</w:t>
      </w:r>
      <w:r>
        <w:t xml:space="preserve"> </w:t>
      </w:r>
      <w:r>
        <w:t xml:space="preserve">banners, cookies, or preference centers;</w:t>
      </w:r>
    </w:p>
    <w:p>
      <w:pPr>
        <w:pStyle w:val="Compact"/>
        <w:numPr>
          <w:ilvl w:val="0"/>
          <w:numId w:val="1001"/>
        </w:numPr>
      </w:pPr>
      <w:r>
        <w:t xml:space="preserve">fulfill</w:t>
      </w:r>
      <w:r>
        <w:t xml:space="preserve"> </w:t>
      </w:r>
      <w:r>
        <w:rPr>
          <w:b/>
          <w:bCs/>
        </w:rPr>
        <w:t xml:space="preserve">data subject rights</w:t>
      </w:r>
      <w:r>
        <w:t xml:space="preserve"> </w:t>
      </w:r>
      <w:r>
        <w:t xml:space="preserve">requests (access, erasure, portability)</w:t>
      </w:r>
      <w:r>
        <w:t xml:space="preserve"> </w:t>
      </w:r>
      <w:r>
        <w:t xml:space="preserve">by itself;</w:t>
      </w:r>
    </w:p>
    <w:p>
      <w:pPr>
        <w:pStyle w:val="Compact"/>
        <w:numPr>
          <w:ilvl w:val="0"/>
          <w:numId w:val="1001"/>
        </w:numPr>
      </w:pPr>
      <w:r>
        <w:t xml:space="preserve">replace</w:t>
      </w:r>
      <w:r>
        <w:t xml:space="preserve"> </w:t>
      </w:r>
      <w:r>
        <w:rPr>
          <w:b/>
          <w:bCs/>
        </w:rPr>
        <w:t xml:space="preserve">Records of Processing Activities (RoPA)</w:t>
      </w:r>
      <w:r>
        <w:t xml:space="preserve"> </w:t>
      </w:r>
      <w:r>
        <w:rPr>
          <w:i/>
          <w:iCs/>
        </w:rPr>
        <w:t xml:space="preserve">narratives</w:t>
      </w:r>
      <w:r>
        <w:t xml:space="preserve"> </w:t>
      </w:r>
      <w:r>
        <w:t xml:space="preserve">—</w:t>
      </w:r>
      <w:r>
        <w:t xml:space="preserve"> </w:t>
      </w:r>
      <w:r>
        <w:t xml:space="preserve">though it can substantiate</w:t>
      </w:r>
      <w:r>
        <w:t xml:space="preserve"> </w:t>
      </w:r>
      <w:r>
        <w:rPr>
          <w:b/>
          <w:bCs/>
        </w:rPr>
        <w:t xml:space="preserve">data flows</w:t>
      </w:r>
      <w:r>
        <w:t xml:space="preserve"> </w:t>
      </w:r>
      <w:r>
        <w:t xml:space="preserve">described there with telemetry.</w:t>
      </w:r>
    </w:p>
    <w:p>
      <w:pPr>
        <w:pStyle w:val="FirstParagraph"/>
      </w:pPr>
      <w:r>
        <w:t xml:space="preserve">CSW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strengthen</w:t>
      </w:r>
      <w:r>
        <w:t xml:space="preserve"> </w:t>
      </w:r>
      <w:r>
        <w:rPr>
          <w:b/>
          <w:bCs/>
        </w:rPr>
        <w:t xml:space="preserve">Article 32</w:t>
      </w:r>
      <w:r>
        <w:t xml:space="preserve"> </w:t>
      </w:r>
      <w:r>
        <w:t xml:space="preserve">security of processing and</w:t>
      </w:r>
      <w:r>
        <w:t xml:space="preserve"> </w:t>
      </w:r>
      <w:r>
        <w:t xml:space="preserve">supplies</w:t>
      </w:r>
      <w:r>
        <w:t xml:space="preserve"> </w:t>
      </w:r>
      <w:r>
        <w:rPr>
          <w:b/>
          <w:bCs/>
        </w:rPr>
        <w:t xml:space="preserve">forensics</w:t>
      </w:r>
      <w:r>
        <w:t xml:space="preserve"> </w:t>
      </w:r>
      <w:r>
        <w:t xml:space="preserve">that support</w:t>
      </w:r>
      <w:r>
        <w:t xml:space="preserve"> </w:t>
      </w:r>
      <w:r>
        <w:rPr>
          <w:b/>
          <w:bCs/>
        </w:rPr>
        <w:t xml:space="preserve">Articles 33–34</w:t>
      </w:r>
      <w:r>
        <w:t xml:space="preserve"> </w:t>
      </w:r>
      <w:r>
        <w:t xml:space="preserve">technical</w:t>
      </w:r>
      <w:r>
        <w:t xml:space="preserve"> </w:t>
      </w:r>
      <w:r>
        <w:t xml:space="preserve">assessment,</w:t>
      </w:r>
      <w:r>
        <w:t xml:space="preserve"> </w:t>
      </w:r>
      <w:r>
        <w:rPr>
          <w:b/>
          <w:bCs/>
        </w:rPr>
        <w:t xml:space="preserve">Article 25</w:t>
      </w:r>
      <w:r>
        <w:t xml:space="preserve"> </w:t>
      </w:r>
      <w:r>
        <w:t xml:space="preserve">technical and organizational measures when</w:t>
      </w:r>
      <w:r>
        <w:t xml:space="preserve"> </w:t>
      </w:r>
      <w:r>
        <w:t xml:space="preserve">paired with governance, and</w:t>
      </w:r>
      <w:r>
        <w:t xml:space="preserve"> </w:t>
      </w:r>
      <w:r>
        <w:rPr>
          <w:b/>
          <w:bCs/>
        </w:rPr>
        <w:t xml:space="preserve">Article 30 / 35 / 28</w:t>
      </w:r>
      <w:r>
        <w:t xml:space="preserve"> </w:t>
      </w:r>
      <w:r>
        <w:t xml:space="preserve">evidence insofar</w:t>
      </w:r>
      <w:r>
        <w:t xml:space="preserve"> </w:t>
      </w:r>
      <w:r>
        <w:t xml:space="preserve">as your DPIA, RoPA, and processor oversight require</w:t>
      </w:r>
      <w:r>
        <w:t xml:space="preserve"> </w:t>
      </w:r>
      <w:r>
        <w:rPr>
          <w:b/>
          <w:bCs/>
        </w:rPr>
        <w:t xml:space="preserve">accurate,</w:t>
      </w:r>
      <w:r>
        <w:rPr>
          <w:b/>
          <w:bCs/>
        </w:rPr>
        <w:t xml:space="preserve"> </w:t>
      </w:r>
      <w:r>
        <w:rPr>
          <w:b/>
          <w:bCs/>
        </w:rPr>
        <w:t xml:space="preserve">verifiable</w:t>
      </w:r>
      <w:r>
        <w:t xml:space="preserve"> </w:t>
      </w:r>
      <w:r>
        <w:t xml:space="preserve">descriptions of how personal data moves and is protected</w:t>
      </w:r>
      <w:r>
        <w:t xml:space="preserve"> </w:t>
      </w:r>
      <w:r>
        <w:t xml:space="preserve">between systems.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Article 5(1)(f) — integrity and confidentiality: Can we show we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implemented appropriate measures to prevent unauthorized</w:t>
      </w:r>
      <w:r>
        <w:rPr>
          <w:i/>
          <w:iCs/>
        </w:rPr>
        <w:t xml:space="preserve"> </w:t>
      </w:r>
      <w:r>
        <w:rPr>
          <w:i/>
          <w:iCs/>
        </w:rPr>
        <w:t xml:space="preserve">processing, loss, or damage, including segmentation and visibility</w:t>
      </w:r>
      <w:r>
        <w:rPr>
          <w:i/>
          <w:iCs/>
        </w:rPr>
        <w:t xml:space="preserve"> </w:t>
      </w:r>
      <w:r>
        <w:rPr>
          <w:i/>
          <w:iCs/>
        </w:rPr>
        <w:t xml:space="preserve">on systems that host or touch personal data?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Article 25 — data protection by design and by default: Can we</w:t>
      </w:r>
      <w:r>
        <w:rPr>
          <w:i/>
          <w:iCs/>
        </w:rPr>
        <w:t xml:space="preserve"> </w:t>
      </w:r>
      <w:r>
        <w:rPr>
          <w:i/>
          <w:iCs/>
        </w:rPr>
        <w:t xml:space="preserve">demonstrate network isolation of personal-data systems and</w:t>
      </w:r>
      <w:r>
        <w:rPr>
          <w:i/>
          <w:iCs/>
        </w:rPr>
        <w:t xml:space="preserve"> </w:t>
      </w:r>
      <w:r>
        <w:rPr>
          <w:i/>
          <w:iCs/>
        </w:rPr>
        <w:t xml:space="preserve">least-privilege connectivity derived from observed need, not</w:t>
      </w:r>
      <w:r>
        <w:rPr>
          <w:i/>
          <w:iCs/>
        </w:rPr>
        <w:t xml:space="preserve"> </w:t>
      </w:r>
      <w:r>
        <w:rPr>
          <w:i/>
          <w:iCs/>
        </w:rPr>
        <w:t xml:space="preserve">assumed trust?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Article 30 — records of processing: Can we corroborate RoPa data</w:t>
      </w:r>
      <w:r>
        <w:rPr>
          <w:i/>
          <w:iCs/>
        </w:rPr>
        <w:t xml:space="preserve"> </w:t>
      </w:r>
      <w:r>
        <w:rPr>
          <w:i/>
          <w:iCs/>
        </w:rPr>
        <w:t xml:space="preserve">flows (which systems exchange personal data, with whom, across which</w:t>
      </w:r>
      <w:r>
        <w:rPr>
          <w:i/>
          <w:iCs/>
        </w:rPr>
        <w:t xml:space="preserve"> </w:t>
      </w:r>
      <w:r>
        <w:rPr>
          <w:i/>
          <w:iCs/>
        </w:rPr>
        <w:t xml:space="preserve">boundaries) using objective telemetry?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Article 32 — security of processing: Can we evidence encryption</w:t>
      </w:r>
      <w:r>
        <w:rPr>
          <w:i/>
          <w:iCs/>
        </w:rPr>
        <w:t xml:space="preserve"> </w:t>
      </w:r>
      <w:r>
        <w:rPr>
          <w:i/>
          <w:iCs/>
        </w:rPr>
        <w:t xml:space="preserve">posture in transit where relevant, segmentation enforcement,</w:t>
      </w:r>
      <w:r>
        <w:rPr>
          <w:i/>
          <w:iCs/>
        </w:rPr>
        <w:t xml:space="preserve"> </w:t>
      </w:r>
      <w:r>
        <w:rPr>
          <w:i/>
          <w:iCs/>
        </w:rPr>
        <w:t xml:space="preserve">vulnerability visibility on workloads processing personal data, and</w:t>
      </w:r>
      <w:r>
        <w:rPr>
          <w:i/>
          <w:iCs/>
        </w:rPr>
        <w:t xml:space="preserve"> </w:t>
      </w:r>
      <w:r>
        <w:rPr>
          <w:i/>
          <w:iCs/>
        </w:rPr>
        <w:t xml:space="preserve">monitoring?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Articles 33–34 — breach notification: If a personal data breach</w:t>
      </w:r>
      <w:r>
        <w:rPr>
          <w:i/>
          <w:iCs/>
        </w:rPr>
        <w:t xml:space="preserve"> </w:t>
      </w:r>
      <w:r>
        <w:rPr>
          <w:i/>
          <w:iCs/>
        </w:rPr>
        <w:t xml:space="preserve">occurs, can we reconstruct timeline, scope of affected systems, and</w:t>
      </w:r>
      <w:r>
        <w:rPr>
          <w:i/>
          <w:iCs/>
        </w:rPr>
        <w:t xml:space="preserve"> </w:t>
      </w:r>
      <w:r>
        <w:rPr>
          <w:i/>
          <w:iCs/>
        </w:rPr>
        <w:t xml:space="preserve">exfiltration/lateral paths to inform supervisory authority and</w:t>
      </w:r>
      <w:r>
        <w:rPr>
          <w:i/>
          <w:iCs/>
        </w:rPr>
        <w:t xml:space="preserve"> </w:t>
      </w:r>
      <w:r>
        <w:rPr>
          <w:i/>
          <w:iCs/>
        </w:rPr>
        <w:t xml:space="preserve">data-subject communication?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Article 35 — DPIA: Can ADM and flow history support our analysis of</w:t>
      </w:r>
      <w:r>
        <w:rPr>
          <w:i/>
          <w:iCs/>
        </w:rPr>
        <w:t xml:space="preserve"> </w:t>
      </w:r>
      <w:r>
        <w:rPr>
          <w:i/>
          <w:iCs/>
        </w:rPr>
        <w:t xml:space="preserve">necessity, proportionality, and residual risks for a new processing</w:t>
      </w:r>
      <w:r>
        <w:rPr>
          <w:i/>
          <w:iCs/>
        </w:rPr>
        <w:t xml:space="preserve"> </w:t>
      </w:r>
      <w:r>
        <w:rPr>
          <w:i/>
          <w:iCs/>
        </w:rPr>
        <w:t xml:space="preserve">operation?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Article 28 — processor / sub-processor oversight: Can we monitor</w:t>
      </w:r>
      <w:r>
        <w:rPr>
          <w:i/>
          <w:iCs/>
        </w:rPr>
        <w:t xml:space="preserve"> </w:t>
      </w:r>
      <w:r>
        <w:rPr>
          <w:i/>
          <w:iCs/>
        </w:rPr>
        <w:t xml:space="preserve">and enforce egress paths from our environment to processors'</w:t>
      </w:r>
      <w:r>
        <w:rPr>
          <w:i/>
          <w:iCs/>
        </w:rPr>
        <w:t xml:space="preserve"> </w:t>
      </w:r>
      <w:r>
        <w:rPr>
          <w:i/>
          <w:iCs/>
        </w:rPr>
        <w:t xml:space="preserve">endpoints and detect deviations?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GDPR Article 30 inventory (even draft),</w:t>
      </w:r>
      <w:r>
        <w:t xml:space="preserve"> </w:t>
      </w:r>
      <w:r>
        <w:t xml:space="preserve">processing purposes per activity, data categories,</w:t>
      </w:r>
      <w:r>
        <w:t xml:space="preserve"> </w:t>
      </w:r>
      <w:r>
        <w:rPr>
          <w:b/>
          <w:bCs/>
        </w:rPr>
        <w:t xml:space="preserve">Article 28 /</w:t>
      </w:r>
      <w:r>
        <w:rPr>
          <w:b/>
          <w:bCs/>
        </w:rPr>
        <w:t xml:space="preserve"> </w:t>
      </w:r>
      <w:r>
        <w:rPr>
          <w:b/>
          <w:bCs/>
        </w:rPr>
        <w:t xml:space="preserve">DPAs</w:t>
      </w:r>
      <w:r>
        <w:t xml:space="preserve"> </w:t>
      </w:r>
      <w:r>
        <w:t xml:space="preserve">listing subprocessors, network diagrams, classification of</w:t>
      </w:r>
      <w:r>
        <w:t xml:space="preserve"> </w:t>
      </w:r>
      <w:r>
        <w:rPr>
          <w:b/>
          <w:bCs/>
        </w:rPr>
        <w:t xml:space="preserve">systems that process personal data</w:t>
      </w:r>
      <w:r>
        <w:t xml:space="preserve"> </w:t>
      </w:r>
      <w:r>
        <w:t xml:space="preserve">(including pseudonymised</w:t>
      </w:r>
      <w:r>
        <w:t xml:space="preserve"> </w:t>
      </w:r>
      <w:r>
        <w:t xml:space="preserve">datasets), and legal guidance on</w:t>
      </w:r>
      <w:r>
        <w:t xml:space="preserve"> </w:t>
      </w:r>
      <w:r>
        <w:rPr>
          <w:b/>
          <w:bCs/>
        </w:rPr>
        <w:t xml:space="preserve">Schrems II / transfer tools</w:t>
      </w:r>
      <w:r>
        <w:t xml:space="preserve"> </w:t>
      </w:r>
      <w:r>
        <w:t xml:space="preserve">if US</w:t>
      </w:r>
      <w:r>
        <w:t xml:space="preserve"> </w:t>
      </w:r>
      <w:r>
        <w:t xml:space="preserve">cloud regions are in scope.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Sections 1–2 for scope; 3–5 to deploy sensors and</w:t>
      </w:r>
      <w:r>
        <w:t xml:space="preserve"> </w:t>
      </w:r>
      <w:r>
        <w:t xml:space="preserve">build personal-data scopes; 6–7 for segregation by design; 8 for</w:t>
      </w:r>
      <w:r>
        <w:t xml:space="preserve"> </w:t>
      </w:r>
      <w:r>
        <w:t xml:space="preserve">control mapping; 9–10 for breach readiness and exports;</w:t>
      </w:r>
      <w:r>
        <w:t xml:space="preserve"> </w:t>
      </w:r>
      <w:r>
        <w:rPr>
          <w:b/>
          <w:bCs/>
        </w:rPr>
        <w:t xml:space="preserve">Boundaries</w:t>
      </w:r>
      <w:r>
        <w:t xml:space="preserve"> </w:t>
      </w:r>
      <w:r>
        <w:t xml:space="preserve">before claiming GDPR</w:t>
      </w:r>
      <w:r>
        <w:t xml:space="preserve"> </w:t>
      </w:r>
      <w:r>
        <w:rPr>
          <w:i/>
          <w:iCs/>
        </w:rPr>
        <w:t xml:space="preserve">compliance</w:t>
      </w:r>
      <w:r>
        <w:t xml:space="preserve"> </w:t>
      </w:r>
      <w:r>
        <w:t xml:space="preserve">from CSW alone.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3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4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5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7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8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9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1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2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3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5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6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7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9"/>
        </w:numPr>
      </w:pPr>
      <w:r>
        <w:t xml:space="preserve">Art. 32 security-of-processing from enforcement + logging</w:t>
      </w:r>
    </w:p>
    <w:p>
      <w:pPr>
        <w:pStyle w:val="Compact"/>
        <w:numPr>
          <w:ilvl w:val="0"/>
          <w:numId w:val="1019"/>
        </w:numPr>
      </w:pPr>
      <w:r>
        <w:t xml:space="preserve">Art. 30 RoPA support via data-flow mapping</w:t>
      </w:r>
    </w:p>
    <w:p>
      <w:pPr>
        <w:pStyle w:val="Compact"/>
        <w:numPr>
          <w:ilvl w:val="0"/>
          <w:numId w:val="1019"/>
        </w:numPr>
      </w:pPr>
      <w:r>
        <w:t xml:space="preserve">Art. 33/34 breach timeline from flow search exports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2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 GDPR unifies data protection rules across the EU/EEA and governs</w:t>
      </w:r>
      <w:r>
        <w:t xml:space="preserve"> </w:t>
      </w:r>
      <w:r>
        <w:t xml:space="preserve">the processing of</w:t>
      </w:r>
      <w:r>
        <w:t xml:space="preserve"> </w:t>
      </w:r>
      <w:r>
        <w:rPr>
          <w:b/>
          <w:bCs/>
        </w:rPr>
        <w:t xml:space="preserve">personal data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special categories</w:t>
      </w:r>
      <w:r>
        <w:t xml:space="preserve"> </w:t>
      </w:r>
      <w:r>
        <w:t xml:space="preserve">where</w:t>
      </w:r>
      <w:r>
        <w:t xml:space="preserve"> </w:t>
      </w:r>
      <w:r>
        <w:t xml:space="preserve">applicable. Controllers must implement</w:t>
      </w:r>
      <w:r>
        <w:t xml:space="preserve"> </w:t>
      </w:r>
      <w:r>
        <w:rPr>
          <w:b/>
          <w:bCs/>
        </w:rPr>
        <w:t xml:space="preserve">appropriate technical and</w:t>
      </w:r>
      <w:r>
        <w:rPr>
          <w:b/>
          <w:bCs/>
        </w:rPr>
        <w:t xml:space="preserve"> </w:t>
      </w:r>
      <w:r>
        <w:rPr>
          <w:b/>
          <w:bCs/>
        </w:rPr>
        <w:t xml:space="preserve">organizational measures (TOMs)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Article 32</w:t>
      </w:r>
      <w:r>
        <w:t xml:space="preserve">, ensure</w:t>
      </w:r>
      <w:r>
        <w:t xml:space="preserve"> </w:t>
      </w:r>
      <w:r>
        <w:rPr>
          <w:b/>
          <w:bCs/>
        </w:rPr>
        <w:t xml:space="preserve">integrity and confidentiality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Article 5(1)(f)</w:t>
      </w:r>
      <w:r>
        <w:t xml:space="preserve">, and</w:t>
      </w:r>
      <w:r>
        <w:t xml:space="preserve"> </w:t>
      </w:r>
      <w:r>
        <w:t xml:space="preserve">embed</w:t>
      </w:r>
      <w:r>
        <w:t xml:space="preserve"> </w:t>
      </w:r>
      <w:r>
        <w:rPr>
          <w:b/>
          <w:bCs/>
        </w:rPr>
        <w:t xml:space="preserve">data protection by design and by default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Article 25</w:t>
      </w:r>
      <w:r>
        <w:t xml:space="preserve">.</w:t>
      </w:r>
    </w:p>
    <w:p>
      <w:pPr>
        <w:pStyle w:val="BodyText"/>
      </w:pPr>
      <w:r>
        <w:t xml:space="preserve">CSW contributes to the</w:t>
      </w:r>
      <w:r>
        <w:t xml:space="preserve"> </w:t>
      </w:r>
      <w:r>
        <w:rPr>
          <w:b/>
          <w:bCs/>
        </w:rPr>
        <w:t xml:space="preserve">technical layer</w:t>
      </w:r>
      <w:r>
        <w:t xml:space="preserve"> </w:t>
      </w:r>
      <w:r>
        <w:t xml:space="preserve">of those obligations by</w:t>
      </w:r>
      <w:r>
        <w:t xml:space="preserve"> </w:t>
      </w:r>
      <w:r>
        <w:t xml:space="preserve">providing workload inventory,</w:t>
      </w:r>
      <w:r>
        <w:t xml:space="preserve"> </w:t>
      </w:r>
      <w:r>
        <w:rPr>
          <w:b/>
          <w:bCs/>
        </w:rPr>
        <w:t xml:space="preserve">microsegmentation</w:t>
      </w:r>
      <w:r>
        <w:t xml:space="preserve">, detection of</w:t>
      </w:r>
      <w:r>
        <w:t xml:space="preserve"> </w:t>
      </w:r>
      <w:r>
        <w:rPr>
          <w:b/>
          <w:bCs/>
        </w:rPr>
        <w:t xml:space="preserve">cleartext or risky protocols</w:t>
      </w:r>
      <w:r>
        <w:t xml:space="preserve">,</w:t>
      </w:r>
      <w:r>
        <w:t xml:space="preserve"> </w:t>
      </w:r>
      <w:r>
        <w:rPr>
          <w:b/>
          <w:bCs/>
        </w:rPr>
        <w:t xml:space="preserve">application dependency mapping</w:t>
      </w:r>
      <w:r>
        <w:rPr>
          <w:b/>
          <w:bCs/>
        </w:rPr>
        <w:t xml:space="preserve"> </w:t>
      </w:r>
      <w:r>
        <w:rPr>
          <w:b/>
          <w:bCs/>
        </w:rPr>
        <w:t xml:space="preserve">(ADM)</w:t>
      </w:r>
      <w:r>
        <w:t xml:space="preserve">, vulnerability context,</w:t>
      </w:r>
      <w:r>
        <w:t xml:space="preserve"> </w:t>
      </w:r>
      <w:r>
        <w:rPr>
          <w:b/>
          <w:bCs/>
        </w:rPr>
        <w:t xml:space="preserve">continuous monitoring</w:t>
      </w:r>
      <w:r>
        <w:t xml:space="preserve">, and</w:t>
      </w:r>
      <w:r>
        <w:t xml:space="preserve"> </w:t>
      </w:r>
      <w:r>
        <w:rPr>
          <w:b/>
          <w:bCs/>
        </w:rPr>
        <w:t xml:space="preserve">forensic flow/process data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breach assessment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DPIA</w:t>
      </w:r>
      <w:r>
        <w:t xml:space="preserve"> </w:t>
      </w:r>
      <w:r>
        <w:t xml:space="preserve">inputs — always</w:t>
      </w:r>
      <w:r>
        <w:t xml:space="preserve"> </w:t>
      </w:r>
      <w:r>
        <w:rPr>
          <w:b/>
          <w:bCs/>
        </w:rPr>
        <w:t xml:space="preserve">in conjunction</w:t>
      </w:r>
      <w:r>
        <w:t xml:space="preserve"> </w:t>
      </w:r>
      <w:r>
        <w:t xml:space="preserve">with encryption products, IAM, DLP,</w:t>
      </w:r>
      <w:r>
        <w:t xml:space="preserve"> </w:t>
      </w:r>
      <w:r>
        <w:t xml:space="preserve">identity governance, contracts, and privacy programme operations.</w:t>
      </w:r>
    </w:p>
    <w:bookmarkStart w:id="21" w:name="Xe2d63944fa0494907d330e1a38bca41dfb41efb"/>
    <w:p>
      <w:pPr>
        <w:pStyle w:val="Heading3"/>
      </w:pPr>
      <w:r>
        <w:t xml:space="preserve">GDPR articles → CSW capabilities (high level)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GDPR article / theme</w:t>
            </w:r>
          </w:p>
        </w:tc>
        <w:tc>
          <w:tcPr/>
          <w:p>
            <w:pPr>
              <w:pStyle w:val="Compact"/>
            </w:pPr>
            <w:r>
              <w:t xml:space="preserve">Typical compliance questions</w:t>
            </w:r>
          </w:p>
        </w:tc>
        <w:tc>
          <w:tcPr/>
          <w:p>
            <w:pPr>
              <w:pStyle w:val="Compact"/>
            </w:pPr>
            <w:r>
              <w:t xml:space="preserve">Relevant CSW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5(1)(f)</w:t>
            </w:r>
            <w:r>
              <w:t xml:space="preserve"> </w:t>
            </w:r>
            <w:r>
              <w:t xml:space="preserve">— Integrity &amp; confidentiality</w:t>
            </w:r>
          </w:p>
        </w:tc>
        <w:tc>
          <w:tcPr/>
          <w:p>
            <w:pPr>
              <w:pStyle w:val="Compact"/>
            </w:pPr>
            <w:r>
              <w:t xml:space="preserve">Are personal data systems protected against unauthorized use, loss, or damage?</w:t>
            </w:r>
          </w:p>
        </w:tc>
        <w:tc>
          <w:tcPr/>
          <w:p>
            <w:pPr>
              <w:pStyle w:val="Compact"/>
            </w:pPr>
            <w:r>
              <w:t xml:space="preserve">Segmentation; flow visibility; cleartext / risky-flow detection;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25</w:t>
            </w:r>
            <w:r>
              <w:t xml:space="preserve"> </w:t>
            </w:r>
            <w:r>
              <w:t xml:space="preserve">— Data protection by design &amp; by default</w:t>
            </w:r>
          </w:p>
        </w:tc>
        <w:tc>
          <w:tcPr/>
          <w:p>
            <w:pPr>
              <w:pStyle w:val="Compact"/>
            </w:pPr>
            <w:r>
              <w:t xml:space="preserve">Are we minimizing exposure by default (network &amp; access paths)?</w:t>
            </w:r>
          </w:p>
        </w:tc>
        <w:tc>
          <w:tcPr/>
          <w:p>
            <w:pPr>
              <w:pStyle w:val="Compact"/>
            </w:pPr>
            <w:r>
              <w:t xml:space="preserve">Scopes isolating personal-data tiers; default deny; ADM-driven least privilege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30</w:t>
            </w:r>
            <w:r>
              <w:t xml:space="preserve"> </w:t>
            </w:r>
            <w:r>
              <w:t xml:space="preserve">— Records of processing activities</w:t>
            </w:r>
          </w:p>
        </w:tc>
        <w:tc>
          <w:tcPr/>
          <w:p>
            <w:pPr>
              <w:pStyle w:val="Compact"/>
            </w:pPr>
            <w:r>
              <w:t xml:space="preserve">Are documented flows accurate vs reality?</w:t>
            </w:r>
          </w:p>
        </w:tc>
        <w:tc>
          <w:tcPr/>
          <w:p>
            <w:pPr>
              <w:pStyle w:val="Compact"/>
            </w:pPr>
            <w:r>
              <w:t xml:space="preserve">ADM clusters; flow exports cross-checking RoPA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32</w:t>
            </w:r>
            <w:r>
              <w:t xml:space="preserve"> </w:t>
            </w:r>
            <w:r>
              <w:t xml:space="preserve">— Security of processing</w:t>
            </w:r>
          </w:p>
        </w:tc>
        <w:tc>
          <w:tcPr/>
          <w:p>
            <w:pPr>
              <w:pStyle w:val="Compact"/>
            </w:pPr>
            <w:r>
              <w:t xml:space="preserve">Confidentiality, integrity, availability, resilience — evidenced how?</w:t>
            </w:r>
          </w:p>
        </w:tc>
        <w:tc>
          <w:tcPr/>
          <w:p>
            <w:pPr>
              <w:pStyle w:val="Compact"/>
            </w:pPr>
            <w:r>
              <w:t xml:space="preserve">Enforcement policies; patch/vuln reports; monitoring; resilience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33–34</w:t>
            </w:r>
            <w:r>
              <w:t xml:space="preserve"> </w:t>
            </w:r>
            <w:r>
              <w:t xml:space="preserve">— Breach notification &amp; communication</w:t>
            </w:r>
          </w:p>
        </w:tc>
        <w:tc>
          <w:tcPr/>
          <w:p>
            <w:pPr>
              <w:pStyle w:val="Compact"/>
            </w:pPr>
            <w:r>
              <w:t xml:space="preserve">What happened, when, which systems, extent?</w:t>
            </w:r>
          </w:p>
        </w:tc>
        <w:tc>
          <w:tcPr/>
          <w:p>
            <w:pPr>
              <w:pStyle w:val="Compact"/>
            </w:pPr>
            <w:r>
              <w:t xml:space="preserve">Time-bounded flow + process forensics; scope membership proofs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35</w:t>
            </w:r>
            <w:r>
              <w:t xml:space="preserve"> </w:t>
            </w:r>
            <w:r>
              <w:t xml:space="preserve">— DPIA (where required)</w:t>
            </w:r>
          </w:p>
        </w:tc>
        <w:tc>
          <w:tcPr/>
          <w:p>
            <w:pPr>
              <w:pStyle w:val="Compact"/>
            </w:pPr>
            <w:r>
              <w:t xml:space="preserve">What are processing risks &amp; mitigations?</w:t>
            </w:r>
          </w:p>
        </w:tc>
        <w:tc>
          <w:tcPr/>
          <w:p>
            <w:pPr>
              <w:pStyle w:val="Compact"/>
            </w:pPr>
            <w:r>
              <w:t xml:space="preserve">ADM + flow history; policy baseline; before/after for new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28</w:t>
            </w:r>
            <w:r>
              <w:t xml:space="preserve"> </w:t>
            </w:r>
            <w:r>
              <w:t xml:space="preserve">— Processor &amp; sub-processor terms</w:t>
            </w:r>
          </w:p>
        </w:tc>
        <w:tc>
          <w:tcPr/>
          <w:p>
            <w:pPr>
              <w:pStyle w:val="Compact"/>
            </w:pPr>
            <w:r>
              <w:t xml:space="preserve">Is processing only occurring to documented endpoints?</w:t>
            </w:r>
          </w:p>
        </w:tc>
        <w:tc>
          <w:tcPr/>
          <w:p>
            <w:pPr>
              <w:pStyle w:val="Compact"/>
            </w:pPr>
            <w:r>
              <w:t xml:space="preserve">Egress monitoring; alerts on new external destinations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FirstParagraph"/>
      </w:pPr>
      <w:r>
        <w:t xml:space="preserve">Before deploying CSW where personal data is processed: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Lawful basis &amp; DPIA status</w:t>
      </w:r>
      <w:r>
        <w:t xml:space="preserve"> </w:t>
      </w:r>
      <w:r>
        <w:t xml:space="preserve">documented per processing activity</w:t>
      </w:r>
      <w:r>
        <w:t xml:space="preserve"> </w:t>
      </w:r>
      <w:r>
        <w:t xml:space="preserve">(legal owner: DPO / counsel)</w:t>
      </w:r>
    </w:p>
    <w:p>
      <w:pPr>
        <w:pStyle w:val="Compact"/>
        <w:numPr>
          <w:ilvl w:val="0"/>
          <w:numId w:val="1021"/>
        </w:numPr>
      </w:pPr>
      <w:r>
        <w:t xml:space="preserve">CSW cluster residency reviewed against</w:t>
      </w:r>
      <w:r>
        <w:t xml:space="preserve"> </w:t>
      </w:r>
      <w:r>
        <w:rPr>
          <w:b/>
          <w:bCs/>
        </w:rPr>
        <w:t xml:space="preserve">data transfer</w:t>
      </w:r>
      <w:r>
        <w:t xml:space="preserve"> </w:t>
      </w:r>
      <w:r>
        <w:t xml:space="preserve">decisions (EU-only vs approved SCCs / IDTA, etc.)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DPA</w:t>
      </w:r>
      <w:r>
        <w:t xml:space="preserve"> </w:t>
      </w:r>
      <w:r>
        <w:t xml:space="preserve">in place with Cisco where CSW processes personal data on</w:t>
      </w:r>
      <w:r>
        <w:t xml:space="preserve"> </w:t>
      </w:r>
      <w:r>
        <w:t xml:space="preserve">behalf of controller (typical SaaS scenario — verify with procurement/legal)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Inventory</w:t>
      </w:r>
      <w:r>
        <w:t xml:space="preserve"> </w:t>
      </w:r>
      <w:r>
        <w:t xml:space="preserve">of controllers' systems processing personal data —</w:t>
      </w:r>
      <w:r>
        <w:t xml:space="preserve"> </w:t>
      </w:r>
      <w:r>
        <w:t xml:space="preserve">minimum: HRIS, CRM, marketing automation, auth directories, analytics</w:t>
      </w:r>
      <w:r>
        <w:t xml:space="preserve"> </w:t>
      </w:r>
      <w:r>
        <w:t xml:space="preserve">warehouses, backups</w:t>
      </w:r>
    </w:p>
    <w:p>
      <w:pPr>
        <w:pStyle w:val="Compact"/>
        <w:numPr>
          <w:ilvl w:val="0"/>
          <w:numId w:val="1024"/>
        </w:numPr>
      </w:pPr>
      <w:r>
        <w:t xml:space="preserve">Cloud connectors configured for</w:t>
      </w:r>
      <w:r>
        <w:t xml:space="preserve"> </w:t>
      </w:r>
      <w:r>
        <w:rPr>
          <w:b/>
          <w:bCs/>
        </w:rPr>
        <w:t xml:space="preserve">AWS/Azure/GCP</w:t>
      </w:r>
      <w:r>
        <w:t xml:space="preserve"> </w:t>
      </w:r>
      <w:r>
        <w:t xml:space="preserve">workloads</w:t>
      </w:r>
      <w:r>
        <w:t xml:space="preserve"> </w:t>
      </w:r>
      <w:r>
        <w:t xml:space="preserve">hosting personal data</w:t>
      </w:r>
    </w:p>
    <w:p>
      <w:pPr>
        <w:pStyle w:val="Compact"/>
        <w:numPr>
          <w:ilvl w:val="0"/>
          <w:numId w:val="1025"/>
        </w:numPr>
      </w:pPr>
      <w:r>
        <w:t xml:space="preserve">Stakeholders:</w:t>
      </w:r>
      <w:r>
        <w:t xml:space="preserve"> </w:t>
      </w:r>
      <w:r>
        <w:rPr>
          <w:b/>
          <w:bCs/>
        </w:rPr>
        <w:t xml:space="preserve">CISO</w:t>
      </w:r>
      <w:r>
        <w:t xml:space="preserve">,</w:t>
      </w:r>
      <w:r>
        <w:t xml:space="preserve"> </w:t>
      </w:r>
      <w:r>
        <w:rPr>
          <w:b/>
          <w:bCs/>
        </w:rPr>
        <w:t xml:space="preserve">DPO/liaison</w:t>
      </w:r>
      <w:r>
        <w:t xml:space="preserve">,</w:t>
      </w:r>
      <w:r>
        <w:t xml:space="preserve"> </w:t>
      </w:r>
      <w:r>
        <w:rPr>
          <w:b/>
          <w:bCs/>
        </w:rPr>
        <w:t xml:space="preserve">data owners</w:t>
      </w:r>
      <w:r>
        <w:t xml:space="preserve">,</w:t>
      </w:r>
      <w:r>
        <w:t xml:space="preserve"> </w:t>
      </w:r>
      <w:r>
        <w:rPr>
          <w:b/>
          <w:bCs/>
        </w:rPr>
        <w:t xml:space="preserve">processor account managers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Data minimization</w:t>
      </w:r>
      <w:r>
        <w:t xml:space="preserve"> </w:t>
      </w:r>
      <w:r>
        <w:t xml:space="preserve">principles applied to telemetry — confirm</w:t>
      </w:r>
      <w:r>
        <w:t xml:space="preserve"> </w:t>
      </w:r>
      <w:r>
        <w:t xml:space="preserve">whether flow metadata alone suffices for your DPIA (avoid collecting</w:t>
      </w:r>
      <w:r>
        <w:t xml:space="preserve"> </w:t>
      </w:r>
      <w:r>
        <w:t xml:space="preserve">unnecessary payload content in ancillary tools)</w:t>
      </w:r>
    </w:p>
    <w:p>
      <w:r>
        <w:pict>
          <v:rect style="width:0;height:1.5pt" o:hralign="center" o:hrstd="t" o:hr="t"/>
        </w:pict>
      </w:r>
    </w:p>
    <w:bookmarkEnd w:id="23"/>
    <w:bookmarkStart w:id="27" w:name="Xb2ed0b8df7dcaa445650af34cb5a6c449cd2e62"/>
    <w:p>
      <w:pPr>
        <w:pStyle w:val="Heading2"/>
      </w:pPr>
      <w:r>
        <w:t xml:space="preserve">3. Phase 1 — Sensor Deployment (Days 1–5)</w:t>
      </w:r>
    </w:p>
    <w:bookmarkStart w:id="24" w:name="Xd67b8b2b5e2cecfd76212475131e2790fbc3458"/>
    <w:p>
      <w:pPr>
        <w:pStyle w:val="Heading3"/>
      </w:pPr>
      <w:r>
        <w:t xml:space="preserve">3.1 Personal-data processing tiers</w:t>
      </w:r>
    </w:p>
    <w:p>
      <w:pPr>
        <w:pStyle w:val="FirstParagraph"/>
      </w:pPr>
      <w:r>
        <w:t xml:space="preserve">Deploy sensors on</w:t>
      </w:r>
      <w:r>
        <w:t xml:space="preserve"> </w:t>
      </w:r>
      <w:r>
        <w:rPr>
          <w:b/>
          <w:bCs/>
        </w:rPr>
        <w:t xml:space="preserve">every workload</w:t>
      </w:r>
      <w:r>
        <w:t xml:space="preserve"> </w:t>
      </w:r>
      <w:r>
        <w:t xml:space="preserve">that stores, transforms, or</w:t>
      </w:r>
      <w:r>
        <w:t xml:space="preserve"> </w:t>
      </w:r>
      <w:r>
        <w:t xml:space="preserve">transmits personal data for in-scope activities: application servers,</w:t>
      </w:r>
      <w:r>
        <w:t xml:space="preserve"> </w:t>
      </w:r>
      <w:r>
        <w:t xml:space="preserve">databases, ETL workers, identity services, backup agents on app hosts,</w:t>
      </w:r>
      <w:r>
        <w:t xml:space="preserve"> </w:t>
      </w:r>
      <w:r>
        <w:t xml:space="preserve">microservices in Kubernetes worker nodes (per supported patterns), etc.</w:t>
      </w:r>
    </w:p>
    <w:p>
      <w:pPr>
        <w:pStyle w:val="SourceCode"/>
      </w:pPr>
      <w:r>
        <w:rPr>
          <w:rStyle w:val="CommentTok"/>
        </w:rPr>
        <w:t xml:space="preserve"># 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rpm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    </w:t>
      </w:r>
      <w:r>
        <w:rPr>
          <w:rStyle w:val="CommentTok"/>
        </w:rPr>
        <w:t xml:space="preserve"># RHEL family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    </w:t>
      </w:r>
      <w:r>
        <w:rPr>
          <w:rStyle w:val="CommentTok"/>
        </w:rPr>
        <w:t xml:space="preserve"># Debian/Ubuntu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csw-agent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csw-agent</w:t>
      </w:r>
    </w:p>
    <w:p>
      <w:pPr>
        <w:pStyle w:val="SourceCode"/>
      </w:pPr>
      <w:r>
        <w:rPr>
          <w:rStyle w:val="CommentTok"/>
        </w:rPr>
        <w:t xml:space="preserve"># Windows Server / worker roles processing personal data</w:t>
      </w:r>
      <w:r>
        <w:br/>
      </w:r>
      <w:r>
        <w:rPr>
          <w:rStyle w:val="NormalTok"/>
        </w:rPr>
        <w:t xml:space="preserve">msiexec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"\\repo\tet-sensor-&lt;version&gt;.msi"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qn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tet</w:t>
      </w:r>
      <w:r>
        <w:rPr>
          <w:rStyle w:val="OperatorTok"/>
        </w:rPr>
        <w:t xml:space="preserve">*,*</w:t>
      </w:r>
      <w:r>
        <w:rPr>
          <w:rStyle w:val="NormalTok"/>
        </w:rPr>
        <w:t xml:space="preserve">csw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SilentlyContinue</w:t>
      </w:r>
    </w:p>
    <w:p>
      <w:pPr>
        <w:pStyle w:val="FirstParagraph"/>
      </w:pPr>
      <w:r>
        <w:rPr>
          <w:b/>
          <w:bCs/>
        </w:rPr>
        <w:t xml:space="preserve">Initial settings: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Monitoring Only</w:t>
      </w:r>
      <w:r>
        <w:t xml:space="preserve"> </w:t>
      </w:r>
      <w:r>
        <w:t xml:space="preserve">until ADM + DPIA-aligned review complete</w:t>
      </w:r>
    </w:p>
    <w:p>
      <w:pPr>
        <w:pStyle w:val="Compact"/>
        <w:numPr>
          <w:ilvl w:val="0"/>
          <w:numId w:val="1027"/>
        </w:numPr>
      </w:pPr>
      <w:r>
        <w:t xml:space="preserve">Tag early:</w:t>
      </w:r>
      <w:r>
        <w:t xml:space="preserve"> </w:t>
      </w:r>
      <w:r>
        <w:rPr>
          <w:rStyle w:val="VerbatimChar"/>
        </w:rPr>
        <w:t xml:space="preserve">gdpr:in-scope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ropa-id:&lt;activity&gt;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data-class:personal</w:t>
      </w:r>
    </w:p>
    <w:bookmarkEnd w:id="24"/>
    <w:bookmarkStart w:id="25" w:name="Xf40167bfbeccba7782da80e9ca462280a30118e"/>
    <w:p>
      <w:pPr>
        <w:pStyle w:val="Heading3"/>
      </w:pPr>
      <w:r>
        <w:t xml:space="preserve">3.2 Cloud personal-data estates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Connect cloud accounts processing EU data subjects</w:t>
      </w:r>
      <w:r>
        <w:br/>
      </w:r>
      <w:r>
        <w:rPr>
          <w:rStyle w:val="VerbatimChar"/>
        </w:rPr>
        <w:t xml:space="preserve">  → Map tags (cost center, env, `contains-pii`) into scopes</w:t>
      </w:r>
      <w:r>
        <w:br/>
      </w:r>
      <w:r>
        <w:rPr>
          <w:rStyle w:val="VerbatimChar"/>
        </w:rPr>
        <w:t xml:space="preserve">  → Enable flow visibility where supported</w:t>
      </w:r>
    </w:p>
    <w:bookmarkEnd w:id="25"/>
    <w:bookmarkStart w:id="26" w:name="Xbf64673a39e559956378fa0a164d0454987bd57"/>
    <w:p>
      <w:pPr>
        <w:pStyle w:val="Heading3"/>
      </w:pPr>
      <w:r>
        <w:t xml:space="preserve">3.3 Validation</w:t>
      </w:r>
    </w:p>
    <w:p>
      <w:pPr>
        <w:pStyle w:val="SourceCode"/>
      </w:pPr>
      <w:r>
        <w:rPr>
          <w:rStyle w:val="VerbatimChar"/>
        </w:rPr>
        <w:t xml:space="preserve">CSW UI → Manage → Agents</w:t>
      </w:r>
      <w:r>
        <w:br/>
      </w:r>
      <w:r>
        <w:rPr>
          <w:rStyle w:val="VerbatimChar"/>
        </w:rPr>
        <w:t xml:space="preserve">  → 100% coverage target for in-scope personal-data scopes</w:t>
      </w:r>
      <w:r>
        <w:br/>
      </w:r>
      <w:r>
        <w:rPr>
          <w:rStyle w:val="VerbatimChar"/>
        </w:rPr>
        <w:t xml:space="preserve">  → Escalate uncovered VMs/containers via change process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4030147e3b242ca09195af92a3999bf082888f6"/>
    <w:p>
      <w:pPr>
        <w:pStyle w:val="Heading2"/>
      </w:pPr>
      <w:r>
        <w:t xml:space="preserve">4. Phase 2 — Scope &amp; Inventory Design (Days 6–12)</w:t>
      </w:r>
    </w:p>
    <w:bookmarkStart w:id="28" w:name="Xd38f0726510d0327743da90dce3c55f2f2ea97d"/>
    <w:p>
      <w:pPr>
        <w:pStyle w:val="Heading3"/>
      </w:pPr>
      <w:r>
        <w:t xml:space="preserve">4.1 Scope hierarchy aligned to processing activities</w:t>
      </w:r>
    </w:p>
    <w:p>
      <w:pPr>
        <w:pStyle w:val="FirstParagraph"/>
      </w:pPr>
      <w:r>
        <w:t xml:space="preserve">Tie scopes to</w:t>
      </w:r>
      <w:r>
        <w:t xml:space="preserve"> </w:t>
      </w:r>
      <w:r>
        <w:rPr>
          <w:b/>
          <w:bCs/>
        </w:rPr>
        <w:t xml:space="preserve">RoPA activity IDs</w:t>
      </w:r>
      <w:r>
        <w:t xml:space="preserve"> </w:t>
      </w:r>
      <w:r>
        <w:t xml:space="preserve">— not only to network zones.</w:t>
      </w:r>
    </w:p>
    <w:p>
      <w:pPr>
        <w:pStyle w:val="SourceCode"/>
      </w:pPr>
      <w:r>
        <w:rPr>
          <w:rStyle w:val="VerbatimChar"/>
        </w:rPr>
        <w:t xml:space="preserve">Root: GDPR-In-Scope</w:t>
      </w:r>
      <w:r>
        <w:br/>
      </w:r>
      <w:r>
        <w:rPr>
          <w:rStyle w:val="VerbatimChar"/>
        </w:rPr>
        <w:t xml:space="preserve">├── ROPA-HR-001 / HR-IS                       # Employee personal data</w:t>
      </w:r>
      <w:r>
        <w:br/>
      </w:r>
      <w:r>
        <w:rPr>
          <w:rStyle w:val="VerbatimChar"/>
        </w:rPr>
        <w:t xml:space="preserve">├── ROPA-CRM-004 / Customer-360               # Customer personal data</w:t>
      </w:r>
      <w:r>
        <w:br/>
      </w:r>
      <w:r>
        <w:rPr>
          <w:rStyle w:val="VerbatimChar"/>
        </w:rPr>
        <w:t xml:space="preserve">├── ROPA-MKT-006 / Campaign-Automation        # Marketing contacts (if applicable)</w:t>
      </w:r>
      <w:r>
        <w:br/>
      </w:r>
      <w:r>
        <w:rPr>
          <w:rStyle w:val="VerbatimChar"/>
        </w:rPr>
        <w:t xml:space="preserve">├── ROPA-Analytics-009 / Product-Analytics    # Pseudonymisation level documented legally</w:t>
      </w:r>
      <w:r>
        <w:br/>
      </w:r>
      <w:r>
        <w:rPr>
          <w:rStyle w:val="VerbatimChar"/>
        </w:rPr>
        <w:t xml:space="preserve">├── Shared-Services (conditional)</w:t>
      </w:r>
      <w:r>
        <w:br/>
      </w:r>
      <w:r>
        <w:rPr>
          <w:rStyle w:val="VerbatimChar"/>
        </w:rPr>
        <w:t xml:space="preserve">│   ├── IdP-AD          # personal data attributes? validate legally</w:t>
      </w:r>
      <w:r>
        <w:br/>
      </w:r>
      <w:r>
        <w:rPr>
          <w:rStyle w:val="VerbatimChar"/>
        </w:rPr>
        <w:t xml:space="preserve">│   └── Central-Logging</w:t>
      </w:r>
      <w:r>
        <w:br/>
      </w:r>
      <w:r>
        <w:rPr>
          <w:rStyle w:val="VerbatimChar"/>
        </w:rPr>
        <w:t xml:space="preserve">└── Sub-Processors-Egress</w:t>
      </w:r>
      <w:r>
        <w:br/>
      </w:r>
      <w:r>
        <w:rPr>
          <w:rStyle w:val="VerbatimChar"/>
        </w:rPr>
        <w:t xml:space="preserve">    ├── Payroll-SaaS endpoints (allowlisted FQDNs)</w:t>
      </w:r>
      <w:r>
        <w:br/>
      </w:r>
      <w:r>
        <w:rPr>
          <w:rStyle w:val="VerbatimChar"/>
        </w:rPr>
        <w:t xml:space="preserve">    └── Support-ticketing SaaS</w:t>
      </w:r>
    </w:p>
    <w:bookmarkEnd w:id="28"/>
    <w:bookmarkStart w:id="29" w:name="X787055260bb9419a2dd153986eb96da6a46d11a"/>
    <w:p>
      <w:pPr>
        <w:pStyle w:val="Heading3"/>
      </w:pPr>
      <w:r>
        <w:t xml:space="preserve">4.2 Discovery filters (examples — tune to your estate)</w:t>
      </w:r>
    </w:p>
    <w:p>
      <w:pPr>
        <w:pStyle w:val="SourceCode"/>
      </w:pPr>
      <w:r>
        <w:rPr>
          <w:rStyle w:val="VerbatimChar"/>
        </w:rPr>
        <w:t xml:space="preserve">Filter: Personal-Data-DB-Tier</w:t>
      </w:r>
      <w:r>
        <w:br/>
      </w:r>
      <w:r>
        <w:rPr>
          <w:rStyle w:val="VerbatimChar"/>
        </w:rPr>
        <w:t xml:space="preserve">  - Process: mysqld, postgres, mariadbd, sqlservr, mongod</w:t>
      </w:r>
      <w:r>
        <w:br/>
      </w:r>
      <w:r>
        <w:rPr>
          <w:rStyle w:val="VerbatimChar"/>
        </w:rPr>
        <w:t xml:space="preserve">  - Tag from CMDB: confidentiality=internal+personenbezogen</w:t>
      </w:r>
      <w:r>
        <w:br/>
      </w:r>
      <w:r>
        <w:br/>
      </w:r>
      <w:r>
        <w:rPr>
          <w:rStyle w:val="VerbatimChar"/>
        </w:rPr>
        <w:t xml:space="preserve">Filter: MarTech (if in scope)</w:t>
      </w:r>
      <w:r>
        <w:br/>
      </w:r>
      <w:r>
        <w:rPr>
          <w:rStyle w:val="VerbatimChar"/>
        </w:rPr>
        <w:t xml:space="preserve">  - Process contains: hubspot, marketo, salesforce-sync</w:t>
      </w:r>
      <w:r>
        <w:br/>
      </w:r>
      <w:r>
        <w:rPr>
          <w:rStyle w:val="VerbatimChar"/>
        </w:rPr>
        <w:t xml:space="preserve">  - Egress domains from RoPA appendix</w:t>
      </w:r>
    </w:p>
    <w:bookmarkEnd w:id="29"/>
    <w:bookmarkStart w:id="30" w:name="Xf8583c2af7c8d0e85bbe34523af6b5e8b2c9afa"/>
    <w:p>
      <w:pPr>
        <w:pStyle w:val="Heading3"/>
      </w:pPr>
      <w:r>
        <w:t xml:space="preserve">4.3 Label taxonomy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ropa-id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CRM-004</w:t>
            </w:r>
          </w:p>
        </w:tc>
        <w:tc>
          <w:tcPr/>
          <w:p>
            <w:pPr>
              <w:pStyle w:val="Compact"/>
            </w:pPr>
            <w:r>
              <w:t xml:space="preserve">Maps evidence to Article 30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special-category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pseudonymised</w:t>
            </w:r>
          </w:p>
        </w:tc>
        <w:tc>
          <w:tcPr/>
          <w:p>
            <w:pPr>
              <w:pStyle w:val="Compact"/>
            </w:pPr>
            <w:r>
              <w:t xml:space="preserve">Legal classification drives technical rigor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payroll-vendor-x</w:t>
            </w:r>
          </w:p>
        </w:tc>
        <w:tc>
          <w:tcPr/>
          <w:p>
            <w:pPr>
              <w:pStyle w:val="Compact"/>
            </w:pPr>
            <w:r>
              <w:t xml:space="preserve">Article 28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Separate policy workspaces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lawful-basis-ref</w:t>
            </w:r>
          </w:p>
        </w:tc>
        <w:tc>
          <w:tcPr/>
          <w:p>
            <w:pPr>
              <w:pStyle w:val="Compact"/>
            </w:pPr>
            <w:r>
              <w:t xml:space="preserve">internal ticket (not legal advice)</w:t>
            </w:r>
          </w:p>
        </w:tc>
        <w:tc>
          <w:tcPr/>
          <w:p>
            <w:pPr>
              <w:pStyle w:val="Compact"/>
            </w:pPr>
            <w:r>
              <w:t xml:space="preserve">Cross-team traceability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5" w:name="Xea3cf91728e5116cbb49f0fdeaa92273f08cdd2"/>
    <w:p>
      <w:pPr>
        <w:pStyle w:val="Heading2"/>
      </w:pPr>
      <w:r>
        <w:t xml:space="preserve">5. Phase 3 — ADM &amp; Baseline for Personal Data Flows (Days 13–28)</w:t>
      </w:r>
    </w:p>
    <w:bookmarkStart w:id="32" w:name="X1b8b580a689cdf9876fcc0f5d2e37e5fc739e96"/>
    <w:p>
      <w:pPr>
        <w:pStyle w:val="Heading3"/>
      </w:pPr>
      <w:r>
        <w:t xml:space="preserve">5.1 ADM workspace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Workspace: GDPR-Personal-Data-ADM</w:t>
      </w:r>
      <w:r>
        <w:br/>
      </w:r>
      <w:r>
        <w:rPr>
          <w:rStyle w:val="VerbatimChar"/>
        </w:rPr>
        <w:t xml:space="preserve">  → Scope: GDPR-In-Scope (prod)</w:t>
      </w:r>
      <w:r>
        <w:br/>
      </w:r>
      <w:r>
        <w:rPr>
          <w:rStyle w:val="VerbatimChar"/>
        </w:rPr>
        <w:t xml:space="preserve">  → Window: 3–6 weeks (payroll cycle + monthly batch jobs)</w:t>
      </w:r>
      <w:r>
        <w:br/>
      </w:r>
      <w:r>
        <w:rPr>
          <w:rStyle w:val="VerbatimChar"/>
        </w:rPr>
        <w:t xml:space="preserve">  → Process + user context where available</w:t>
      </w:r>
    </w:p>
    <w:bookmarkEnd w:id="32"/>
    <w:bookmarkStart w:id="33" w:name="Xa24fb8d02214f4ccdcc756791c3f0a27de98aa4"/>
    <w:p>
      <w:pPr>
        <w:pStyle w:val="Heading3"/>
      </w:pPr>
      <w:r>
        <w:t xml:space="preserve">5.2 ADM ↔ RoPA reconciliation workflow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Export ADM clusters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Cluster list with IPs, processes, 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Map clusters to</w:t>
            </w:r>
            <w:r>
              <w:t xml:space="preserve"> </w:t>
            </w:r>
            <w:r>
              <w:rPr>
                <w:b/>
                <w:bCs/>
              </w:rPr>
              <w:t xml:space="preserve">processing purposes</w:t>
            </w:r>
          </w:p>
        </w:tc>
        <w:tc>
          <w:tcPr/>
          <w:p>
            <w:pPr>
              <w:pStyle w:val="Compact"/>
            </w:pPr>
            <w:r>
              <w:t xml:space="preserve">Data owner + DPO liaison</w:t>
            </w:r>
          </w:p>
        </w:tc>
        <w:tc>
          <w:tcPr/>
          <w:p>
            <w:pPr>
              <w:pStyle w:val="Compact"/>
            </w:pPr>
            <w:r>
              <w:t xml:space="preserve">Updated RoPA appendix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Flag</w:t>
            </w:r>
            <w:r>
              <w:t xml:space="preserve"> </w:t>
            </w:r>
            <w:r>
              <w:rPr>
                <w:b/>
                <w:bCs/>
              </w:rPr>
              <w:t xml:space="preserve">undocumented flows</w:t>
            </w:r>
            <w:r>
              <w:t xml:space="preserve"> </w:t>
            </w:r>
            <w:r>
              <w:t xml:space="preserve">to subprocessors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Ticket + risk note for DPIA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Tag workloads post-validation</w:t>
            </w:r>
          </w:p>
        </w:tc>
        <w:tc>
          <w:tcPr/>
          <w:p>
            <w:pPr>
              <w:pStyle w:val="Compact"/>
            </w:pPr>
            <w:r>
              <w:t xml:space="preserve">IT Ops</w:t>
            </w:r>
          </w:p>
        </w:tc>
        <w:tc>
          <w:tcPr/>
          <w:p>
            <w:pPr>
              <w:pStyle w:val="Compact"/>
            </w:pPr>
            <w:r>
              <w:t xml:space="preserve">Labels</w:t>
            </w:r>
            <w:r>
              <w:t xml:space="preserve"> </w:t>
            </w:r>
            <w:r>
              <w:rPr>
                <w:rStyle w:val="VerbatimChar"/>
              </w:rPr>
              <w:t xml:space="preserve">ropa-id</w:t>
            </w:r>
            <w:r>
              <w:t xml:space="preserve"> </w:t>
            </w:r>
            <w:r>
              <w:t xml:space="preserve">corrected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Re-run ADM after major app changes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Version-controlled export</w:t>
            </w:r>
          </w:p>
        </w:tc>
      </w:tr>
    </w:tbl>
    <w:bookmarkEnd w:id="33"/>
    <w:bookmarkStart w:id="34" w:name="X7e39963b2922062045f33d4ce93793d47752b51"/>
    <w:p>
      <w:pPr>
        <w:pStyle w:val="Heading3"/>
      </w:pPr>
      <w:r>
        <w:t xml:space="preserve">5.3 Article 25 — by-design segmentation inputs</w:t>
      </w:r>
    </w:p>
    <w:p>
      <w:pPr>
        <w:pStyle w:val="FirstParagraph"/>
      </w:pPr>
      <w:r>
        <w:t xml:space="preserve">From ADM, construct</w:t>
      </w:r>
      <w:r>
        <w:t xml:space="preserve"> </w:t>
      </w:r>
      <w:r>
        <w:rPr>
          <w:b/>
          <w:bCs/>
        </w:rPr>
        <w:t xml:space="preserve">least-privilege</w:t>
      </w:r>
      <w:r>
        <w:t xml:space="preserve"> </w:t>
      </w:r>
      <w:r>
        <w:t xml:space="preserve">intended connectivity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wide enforcement: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Default deny</w:t>
      </w:r>
      <w:r>
        <w:t xml:space="preserve"> </w:t>
      </w:r>
      <w:r>
        <w:t xml:space="preserve">between unrelated RoPA activities sharing a VLAN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Dedicated</w:t>
      </w:r>
      <w:r>
        <w:t xml:space="preserve"> </w:t>
      </w:r>
      <w:r>
        <w:t xml:space="preserve">scopes for special-category data if legal requires</w:t>
      </w:r>
      <w:r>
        <w:t xml:space="preserve"> </w:t>
      </w:r>
      <w:r>
        <w:t xml:space="preserve">separation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Dedicated</w:t>
      </w:r>
      <w:r>
        <w:t xml:space="preserve"> </w:t>
      </w:r>
      <w:r>
        <w:t xml:space="preserve">breach-isolation scope for</w:t>
      </w:r>
      <w:r>
        <w:t xml:space="preserve"> </w:t>
      </w:r>
      <w:r>
        <w:rPr>
          <w:b/>
          <w:bCs/>
        </w:rPr>
        <w:t xml:space="preserve">break-glass</w:t>
      </w:r>
      <w:r>
        <w:t xml:space="preserve"> </w:t>
      </w:r>
      <w:r>
        <w:t xml:space="preserve">admin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11dac318bc9f88d1d434d4104aaddfb75e80a30"/>
    <w:p>
      <w:pPr>
        <w:pStyle w:val="Heading2"/>
      </w:pPr>
      <w:r>
        <w:t xml:space="preserve">6. Phase 4 — Policy Design, Plaintext Detection &amp; Enforcement (Days 22–40)</w:t>
      </w:r>
    </w:p>
    <w:bookmarkStart w:id="36" w:name="X75e58dd8372c747fa1e7ebc4ee7d47aba422f26"/>
    <w:p>
      <w:pPr>
        <w:pStyle w:val="Heading3"/>
      </w:pPr>
      <w:r>
        <w:t xml:space="preserve">6.1 Segmentation policies (illustrative)</w:t>
      </w:r>
    </w:p>
    <w:p>
      <w:pPr>
        <w:pStyle w:val="BlockText"/>
      </w:pPr>
      <w:r>
        <w:t xml:space="preserve">Replace with your DPIA-approved architecture.</w:t>
      </w:r>
      <w:r>
        <w:t xml:space="preserve"> </w:t>
      </w:r>
      <w:r>
        <w:rPr>
          <w:b/>
          <w:bCs/>
        </w:rPr>
        <w:t xml:space="preserve">Simulation first.</w:t>
      </w:r>
    </w:p>
    <w:p>
      <w:pPr>
        <w:pStyle w:val="SourceCode"/>
      </w:pPr>
      <w:r>
        <w:rPr>
          <w:rStyle w:val="VerbatimChar"/>
        </w:rPr>
        <w:t xml:space="preserve">DENY: ROPA-MKT-006 → ROPA-HR-001   # marketing / HR separation example</w:t>
      </w:r>
      <w:r>
        <w:br/>
      </w:r>
      <w:r>
        <w:rPr>
          <w:rStyle w:val="VerbatimChar"/>
        </w:rPr>
        <w:t xml:space="preserve">DENY: Any → GDPR-In-Scope (default deny inbound except documented edges)</w:t>
      </w:r>
      <w:r>
        <w:br/>
      </w:r>
      <w:r>
        <w:br/>
      </w:r>
      <w:r>
        <w:rPr>
          <w:rStyle w:val="VerbatimChar"/>
        </w:rPr>
        <w:t xml:space="preserve">ALLOW: Customer-360 → IdP-AD (LDAPS 636 / Kerberos — block cleartext LDAP)</w:t>
      </w:r>
      <w:r>
        <w:br/>
      </w:r>
      <w:r>
        <w:rPr>
          <w:rStyle w:val="VerbatimChar"/>
        </w:rPr>
        <w:t xml:space="preserve">ALLOW: HR-IS → Payroll-SaaS-allowlist (443 to enumerated SaaS prefixes only)</w:t>
      </w:r>
      <w:r>
        <w:br/>
      </w:r>
      <w:r>
        <w:rPr>
          <w:rStyle w:val="VerbatimChar"/>
        </w:rPr>
        <w:t xml:space="preserve">LOG + ALERT: Personal-Data-DB-Tier → Internet except documented patch/CDN list</w:t>
      </w:r>
    </w:p>
    <w:p>
      <w:pPr>
        <w:pStyle w:val="FirstParagraph"/>
      </w:pPr>
      <w:r>
        <w:rPr>
          <w:b/>
          <w:bCs/>
        </w:rPr>
        <w:t xml:space="preserve">Plaintext / weak-protocol mitigation (Art. 32 technical measure):</w:t>
      </w:r>
    </w:p>
    <w:p>
      <w:pPr>
        <w:pStyle w:val="Compact"/>
        <w:numPr>
          <w:ilvl w:val="0"/>
          <w:numId w:val="1029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detect-first</w:t>
      </w:r>
      <w:r>
        <w:t xml:space="preserve"> </w:t>
      </w:r>
      <w:r>
        <w:t xml:space="preserve">rules for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FTP</w:t>
      </w:r>
      <w:r>
        <w:t xml:space="preserve">,</w:t>
      </w:r>
      <w:r>
        <w:t xml:space="preserve"> </w:t>
      </w:r>
      <w:r>
        <w:rPr>
          <w:rStyle w:val="VerbatimChar"/>
        </w:rPr>
        <w:t xml:space="preserve">LDAP:389</w:t>
      </w:r>
      <w:r>
        <w:t xml:space="preserve"> </w:t>
      </w:r>
      <w:r>
        <w:t xml:space="preserve">from</w:t>
      </w:r>
      <w:r>
        <w:t xml:space="preserve"> </w:t>
      </w:r>
      <w:r>
        <w:t xml:space="preserve">scopes labeled</w:t>
      </w:r>
      <w:r>
        <w:t xml:space="preserve"> </w:t>
      </w:r>
      <w:r>
        <w:rPr>
          <w:rStyle w:val="VerbatimChar"/>
        </w:rPr>
        <w:t xml:space="preserve">gdpr:in-scope</w:t>
      </w:r>
    </w:p>
    <w:p>
      <w:pPr>
        <w:pStyle w:val="Compact"/>
        <w:numPr>
          <w:ilvl w:val="0"/>
          <w:numId w:val="1029"/>
        </w:numPr>
      </w:pPr>
      <w:r>
        <w:t xml:space="preserve">Escalate to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after joint sign-off with app owners</w:t>
      </w:r>
    </w:p>
    <w:bookmarkEnd w:id="36"/>
    <w:bookmarkStart w:id="37" w:name="Xf27d7a2f56963a431bd62f7d42b2f99dfc74bc3"/>
    <w:p>
      <w:pPr>
        <w:pStyle w:val="Heading3"/>
      </w:pPr>
      <w:r>
        <w:t xml:space="preserve">6.2 Policy workspace lifecycle</w:t>
      </w:r>
    </w:p>
    <w:p>
      <w:pPr>
        <w:pStyle w:val="SourceCode"/>
      </w:pPr>
      <w:r>
        <w:rPr>
          <w:rStyle w:val="VerbatimChar"/>
        </w:rPr>
        <w:t xml:space="preserve">CSW UI → Defend → Segmentation</w:t>
      </w:r>
      <w:r>
        <w:br/>
      </w:r>
      <w:r>
        <w:rPr>
          <w:rStyle w:val="VerbatimChar"/>
        </w:rPr>
        <w:t xml:space="preserve">  → Workspace: GDPR-Personal-Data-Prod</w:t>
      </w:r>
      <w:r>
        <w:br/>
      </w:r>
      <w:r>
        <w:rPr>
          <w:rStyle w:val="VerbatimChar"/>
        </w:rPr>
        <w:t xml:space="preserve">  → Import ADM rules → legal/DPO review for business flows</w:t>
      </w:r>
      <w:r>
        <w:br/>
      </w:r>
      <w:r>
        <w:rPr>
          <w:rStyle w:val="VerbatimChar"/>
        </w:rPr>
        <w:t xml:space="preserve">  → Simulation 2–4+ weeks → phased enforcement</w:t>
      </w:r>
    </w:p>
    <w:bookmarkEnd w:id="37"/>
    <w:bookmarkStart w:id="38" w:name="X4d373cde5d34b23c4363913b873cea075a4d7c2"/>
    <w:p>
      <w:pPr>
        <w:pStyle w:val="Heading3"/>
      </w:pPr>
      <w:r>
        <w:t xml:space="preserve">6.3 Enforcement stages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Measure would-block events; DPIA residual risk update if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Tier-1 blocks</w:t>
            </w:r>
          </w:p>
        </w:tc>
        <w:tc>
          <w:tcPr/>
          <w:p>
            <w:pPr>
              <w:pStyle w:val="Compact"/>
            </w:pPr>
            <w:r>
              <w:t xml:space="preserve">Stop cleartext admin &amp; obvious internet exposure from DB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Default deny between RoPA scopes except allowlisted conduits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Xbb2da5e9873bf1cd23034341bdd2b26a89814af"/>
    <w:p>
      <w:pPr>
        <w:pStyle w:val="Heading2"/>
      </w:pPr>
      <w:r>
        <w:t xml:space="preserve">7. Phase 5 — Monitoring, Vulnerability &amp; Resilience (ongoing)</w:t>
      </w:r>
    </w:p>
    <w:bookmarkStart w:id="40" w:name="Xbf13ec91bce1620b3e1a8e51293422e5e60200c"/>
    <w:p>
      <w:pPr>
        <w:pStyle w:val="Heading3"/>
      </w:pPr>
      <w:r>
        <w:t xml:space="preserve">7.1 Monitoring alerts (examples)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GDPR linkage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subprocessor destination</w:t>
            </w:r>
          </w:p>
        </w:tc>
        <w:tc>
          <w:tcPr/>
          <w:p>
            <w:pPr>
              <w:pStyle w:val="Compact"/>
            </w:pPr>
            <w:r>
              <w:t xml:space="preserve">Flow to IP/FQDN not in RoPA allowlist</w:t>
            </w:r>
          </w:p>
        </w:tc>
        <w:tc>
          <w:tcPr/>
          <w:p>
            <w:pPr>
              <w:pStyle w:val="Compact"/>
            </w:pPr>
            <w:r>
              <w:t xml:space="preserve">Art. 28, Art. 30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Cleartext personal-data path</w:t>
            </w:r>
          </w:p>
        </w:tc>
        <w:tc>
          <w:tcPr/>
          <w:p>
            <w:pPr>
              <w:pStyle w:val="Compact"/>
            </w:pPr>
            <w:r>
              <w:t xml:space="preserve">HTTP/LDAP from in-scope DB/app tier</w:t>
            </w:r>
          </w:p>
        </w:tc>
        <w:tc>
          <w:tcPr/>
          <w:p>
            <w:pPr>
              <w:pStyle w:val="Compact"/>
            </w:pPr>
            <w:r>
              <w:t xml:space="preserve">Art. 32, Art. 5(1)(f)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 movement</w:t>
            </w:r>
          </w:p>
        </w:tc>
        <w:tc>
          <w:tcPr/>
          <w:p>
            <w:pPr>
              <w:pStyle w:val="Compact"/>
            </w:pPr>
            <w:r>
              <w:t xml:space="preserve">New east-west path between personal-data scopes</w:t>
            </w:r>
          </w:p>
        </w:tc>
        <w:tc>
          <w:tcPr/>
          <w:p>
            <w:pPr>
              <w:pStyle w:val="Compact"/>
            </w:pPr>
            <w:r>
              <w:t xml:space="preserve">Art. 32, breach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regression</w:t>
            </w:r>
          </w:p>
        </w:tc>
        <w:tc>
          <w:tcPr/>
          <w:p>
            <w:pPr>
              <w:pStyle w:val="Compact"/>
            </w:pPr>
            <w:r>
              <w:t xml:space="preserve">Critical CVE on personal-data workload</w:t>
            </w:r>
          </w:p>
        </w:tc>
        <w:tc>
          <w:tcPr/>
          <w:p>
            <w:pPr>
              <w:pStyle w:val="Compact"/>
            </w:pPr>
            <w:r>
              <w:t xml:space="preserve">Art. 32, risk-based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Anomalous volume</w:t>
            </w:r>
          </w:p>
        </w:tc>
        <w:tc>
          <w:tcPr/>
          <w:p>
            <w:pPr>
              <w:pStyle w:val="Compact"/>
            </w:pPr>
            <w:r>
              <w:t xml:space="preserve">Possible exfil pattern</w:t>
            </w:r>
          </w:p>
        </w:tc>
        <w:tc>
          <w:tcPr/>
          <w:p>
            <w:pPr>
              <w:pStyle w:val="Compact"/>
            </w:pPr>
            <w:r>
              <w:t xml:space="preserve">Art. 33 technical scoping</w:t>
            </w:r>
          </w:p>
        </w:tc>
      </w:tr>
    </w:tbl>
    <w:bookmarkEnd w:id="40"/>
    <w:bookmarkStart w:id="41" w:name="Xed4e681b7193454cf9c69f51d873a314a5f96fc"/>
    <w:p>
      <w:pPr>
        <w:pStyle w:val="Heading3"/>
      </w:pPr>
      <w:r>
        <w:t xml:space="preserve">7.2 Vulnerability management tie-in</w:t>
      </w:r>
    </w:p>
    <w:p>
      <w:pPr>
        <w:pStyle w:val="SourceCode"/>
      </w:pPr>
      <w:r>
        <w:rPr>
          <w:rStyle w:val="VerbatimChar"/>
        </w:rPr>
        <w:t xml:space="preserve">CSW UI → Investigate → Vulnerability Report</w:t>
      </w:r>
      <w:r>
        <w:br/>
      </w:r>
      <w:r>
        <w:rPr>
          <w:rStyle w:val="VerbatimChar"/>
        </w:rPr>
        <w:t xml:space="preserve">  → Scope: GDPR-In-Scope</w:t>
      </w:r>
      <w:r>
        <w:br/>
      </w:r>
      <w:r>
        <w:rPr>
          <w:rStyle w:val="VerbatimChar"/>
        </w:rPr>
        <w:t xml:space="preserve">  → Export → attach to Art. 32 TOM evidence pack / ISMS control testing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aa5bebc423ef3f4d4875419a3867e3608e7f9c9"/>
    <w:p>
      <w:pPr>
        <w:pStyle w:val="Heading2"/>
      </w:pPr>
      <w:r>
        <w:t xml:space="preserve">8. Control-by-control mapping — requirement → CSW capability →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GDPR requirement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5(1)(f)</w:t>
            </w:r>
            <w:r>
              <w:t xml:space="preserve"> </w:t>
            </w:r>
            <w:r>
              <w:t xml:space="preserve">— integrity &amp; confidentiality; safeguards against unauthorized processing, loss, destruction, damage</w:t>
            </w:r>
          </w:p>
        </w:tc>
        <w:tc>
          <w:tcPr/>
          <w:p>
            <w:pPr>
              <w:pStyle w:val="Compact"/>
            </w:pPr>
            <w:r>
              <w:t xml:space="preserve">Microsegmentation; monitoring; cleartext/plaintext-path detection; vuln visibility</w:t>
            </w:r>
          </w:p>
        </w:tc>
        <w:tc>
          <w:tcPr/>
          <w:p>
            <w:pPr>
              <w:pStyle w:val="Compact"/>
            </w:pPr>
            <w:r>
              <w:t xml:space="preserve">Policy exports; alert history; flow reports; VA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25(1–2)</w:t>
            </w:r>
            <w:r>
              <w:t xml:space="preserve"> </w:t>
            </w:r>
            <w:r>
              <w:t xml:space="preserve">— data protection by design &amp; by default (appropriate technical measures)</w:t>
            </w:r>
          </w:p>
        </w:tc>
        <w:tc>
          <w:tcPr/>
          <w:p>
            <w:pPr>
              <w:pStyle w:val="Compact"/>
            </w:pPr>
            <w:r>
              <w:t xml:space="preserve">Scopes isolating processing activities; default deny; ADM-driven least privilege</w:t>
            </w:r>
          </w:p>
        </w:tc>
        <w:tc>
          <w:tcPr/>
          <w:p>
            <w:pPr>
              <w:pStyle w:val="Compact"/>
            </w:pPr>
            <w:r>
              <w:t xml:space="preserve">ADM reports; before/after policy versions; architecture memos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30</w:t>
            </w:r>
            <w:r>
              <w:t xml:space="preserve"> </w:t>
            </w:r>
            <w:r>
              <w:t xml:space="preserve">— records of processing (accuracy of systems &amp; transfers)</w:t>
            </w:r>
          </w:p>
        </w:tc>
        <w:tc>
          <w:tcPr/>
          <w:p>
            <w:pPr>
              <w:pStyle w:val="Compact"/>
            </w:pPr>
            <w:r>
              <w:t xml:space="preserve">ADM &amp; flow telemetry validating documented flows</w:t>
            </w:r>
          </w:p>
        </w:tc>
        <w:tc>
          <w:tcPr/>
          <w:p>
            <w:pPr>
              <w:pStyle w:val="Compact"/>
            </w:pPr>
            <w:r>
              <w:t xml:space="preserve">RoPA crosswalk spreadsheet + CSW 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32(1)</w:t>
            </w:r>
            <w:r>
              <w:t xml:space="preserve"> </w:t>
            </w:r>
            <w:r>
              <w:t xml:space="preserve">— pseudonymisation &amp; encryption</w:t>
            </w:r>
            <w:r>
              <w:t xml:space="preserve"> </w:t>
            </w:r>
            <w:r>
              <w:rPr>
                <w:b/>
                <w:bCs/>
              </w:rPr>
              <w:t xml:space="preserve">(implementation uses complementary tools)</w:t>
            </w:r>
            <w:r>
              <w:t xml:space="preserve">; ongoing confidentiality, integrity, availability, resilience</w:t>
            </w:r>
          </w:p>
        </w:tc>
        <w:tc>
          <w:tcPr/>
          <w:p>
            <w:pPr>
              <w:pStyle w:val="Compact"/>
            </w:pPr>
            <w:r>
              <w:t xml:space="preserve">Path hygiene (TLS-only); segmentation fault isolation; resilience via anomaly detection</w:t>
            </w:r>
          </w:p>
        </w:tc>
        <w:tc>
          <w:tcPr/>
          <w:p>
            <w:pPr>
              <w:pStyle w:val="Compact"/>
            </w:pPr>
            <w:r>
              <w:t xml:space="preserve">TLS vs plain detection logs; HA architecture tie-in narrative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32(1)(d)</w:t>
            </w:r>
            <w:r>
              <w:t xml:space="preserve"> </w:t>
            </w:r>
            <w:r>
              <w:t xml:space="preserve">— process for regularly testing effectiveness</w:t>
            </w:r>
          </w:p>
        </w:tc>
        <w:tc>
          <w:tcPr/>
          <w:p>
            <w:pPr>
              <w:pStyle w:val="Compact"/>
            </w:pPr>
            <w:r>
              <w:t xml:space="preserve">Scheduled policy drills; simulation reruns after changes</w:t>
            </w:r>
          </w:p>
        </w:tc>
        <w:tc>
          <w:tcPr/>
          <w:p>
            <w:pPr>
              <w:pStyle w:val="Compact"/>
            </w:pPr>
            <w:r>
              <w:t xml:space="preserve">Test reports; change tickets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33–34</w:t>
            </w:r>
            <w:r>
              <w:t xml:space="preserve"> </w:t>
            </w:r>
            <w:r>
              <w:t xml:space="preserve">— personal data breach notice / communication</w:t>
            </w:r>
          </w:p>
        </w:tc>
        <w:tc>
          <w:tcPr/>
          <w:p>
            <w:pPr>
              <w:pStyle w:val="Compact"/>
            </w:pPr>
            <w:r>
              <w:t xml:space="preserve">Flow + process forensics; scope membership proof</w:t>
            </w:r>
          </w:p>
        </w:tc>
        <w:tc>
          <w:tcPr/>
          <w:p>
            <w:pPr>
              <w:pStyle w:val="Compact"/>
            </w:pPr>
            <w:r>
              <w:t xml:space="preserve">Incident timeline bundle; affected-system list skeleton (</w:t>
            </w:r>
            <w:r>
              <w:rPr>
                <w:i/>
                <w:iCs/>
              </w:rPr>
              <w:t xml:space="preserve">legal finalizes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35</w:t>
            </w:r>
            <w:r>
              <w:t xml:space="preserve"> </w:t>
            </w:r>
            <w:r>
              <w:t xml:space="preserve">— DPIA where required</w:t>
            </w:r>
          </w:p>
        </w:tc>
        <w:tc>
          <w:tcPr/>
          <w:p>
            <w:pPr>
              <w:pStyle w:val="Compact"/>
            </w:pPr>
            <w:r>
              <w:t xml:space="preserve">ADM + capacity/flow data for necessity &amp; proportionality; residual risk after segmentation</w:t>
            </w:r>
          </w:p>
        </w:tc>
        <w:tc>
          <w:tcPr/>
          <w:p>
            <w:pPr>
              <w:pStyle w:val="Compact"/>
            </w:pPr>
            <w:r>
              <w:t xml:space="preserve">DPIA annex packs (technical appendix)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Art. 28</w:t>
            </w:r>
            <w:r>
              <w:t xml:space="preserve"> </w:t>
            </w:r>
            <w:r>
              <w:t xml:space="preserve">— processor instructions &amp; safeguards; sub-processors</w:t>
            </w:r>
          </w:p>
        </w:tc>
        <w:tc>
          <w:tcPr/>
          <w:p>
            <w:pPr>
              <w:pStyle w:val="Compact"/>
            </w:pPr>
            <w:r>
              <w:t xml:space="preserve">Egress allowlists; alerts on new destinations; enforcement audit</w:t>
            </w:r>
          </w:p>
        </w:tc>
        <w:tc>
          <w:tcPr/>
          <w:p>
            <w:pPr>
              <w:pStyle w:val="Compact"/>
            </w:pPr>
            <w:r>
              <w:t xml:space="preserve">Processor monitoring dashboards; monthly export to account owner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6" w:name="Xea9e1960feb3c01452db76c45689312c85bd517"/>
    <w:p>
      <w:pPr>
        <w:pStyle w:val="Heading2"/>
      </w:pPr>
      <w:r>
        <w:t xml:space="preserve">9. Breach notification readiness (Articles 33–34)</w:t>
      </w:r>
    </w:p>
    <w:bookmarkStart w:id="44" w:name="X3955930c7030ec49861605856b00702aea01d29"/>
    <w:p>
      <w:pPr>
        <w:pStyle w:val="Heading3"/>
      </w:pPr>
      <w:r>
        <w:t xml:space="preserve">9.1 Technical drill checklist</w:t>
      </w:r>
    </w:p>
    <w:p>
      <w:pPr>
        <w:pStyle w:val="Compact"/>
        <w:numPr>
          <w:ilvl w:val="0"/>
          <w:numId w:val="1030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UTC time sync</w:t>
      </w:r>
      <w:r>
        <w:t xml:space="preserve"> </w:t>
      </w:r>
      <w:r>
        <w:t xml:space="preserve">on agents &amp; CSW cluster</w:t>
      </w:r>
    </w:p>
    <w:p>
      <w:pPr>
        <w:pStyle w:val="Compact"/>
        <w:numPr>
          <w:ilvl w:val="0"/>
          <w:numId w:val="103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quarterly</w:t>
      </w:r>
      <w:r>
        <w:t xml:space="preserve"> </w:t>
      </w:r>
      <w:r>
        <w:t xml:space="preserve">test export:</w:t>
      </w:r>
      <w:r>
        <w:t xml:space="preserve"> </w:t>
      </w:r>
      <w:r>
        <w:rPr>
          <w:rStyle w:val="VerbatimChar"/>
        </w:rPr>
        <w:t xml:space="preserve">Flow Search</w:t>
      </w:r>
      <w:r>
        <w:t xml:space="preserve"> </w:t>
      </w:r>
      <w:r>
        <w:t xml:space="preserve">restricted to random</w:t>
      </w:r>
      <w:r>
        <w:t xml:space="preserve"> </w:t>
      </w:r>
      <w:r>
        <w:t xml:space="preserve">1-hour window — validate tooling &amp; analyst skills</w:t>
      </w:r>
    </w:p>
    <w:p>
      <w:pPr>
        <w:pStyle w:val="Compact"/>
        <w:numPr>
          <w:ilvl w:val="0"/>
          <w:numId w:val="1032"/>
        </w:numPr>
      </w:pPr>
      <w:r>
        <w:t xml:space="preserve">Maintain</w:t>
      </w:r>
      <w:r>
        <w:t xml:space="preserve"> </w:t>
      </w:r>
      <w:r>
        <w:rPr>
          <w:b/>
          <w:bCs/>
        </w:rPr>
        <w:t xml:space="preserve">contact tree</w:t>
      </w:r>
      <w:r>
        <w:t xml:space="preserve">: DPO, legal, supervisory authority</w:t>
      </w:r>
      <w:r>
        <w:t xml:space="preserve"> </w:t>
      </w:r>
      <w:r>
        <w:t xml:space="preserve">escalation (</w:t>
      </w:r>
      <w:r>
        <w:rPr>
          <w:i/>
          <w:iCs/>
        </w:rPr>
        <w:t xml:space="preserve">pre-filled by legal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Map CSW</w:t>
      </w:r>
      <w:r>
        <w:t xml:space="preserve"> </w:t>
      </w:r>
      <w:r>
        <w:rPr>
          <w:b/>
          <w:bCs/>
        </w:rPr>
        <w:t xml:space="preserve">scope IDs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processing activity IDs</w:t>
      </w:r>
      <w:r>
        <w:t xml:space="preserve"> </w:t>
      </w:r>
      <w:r>
        <w:t xml:space="preserve">for rapid</w:t>
      </w:r>
      <w:r>
        <w:t xml:space="preserve"> </w:t>
      </w:r>
      <w:r>
        <w:t xml:space="preserve">impact narrative</w:t>
      </w:r>
    </w:p>
    <w:bookmarkEnd w:id="44"/>
    <w:bookmarkStart w:id="45" w:name="Xe43197bab35897bad9c0ad1c5daf61a3c08688f"/>
    <w:p>
      <w:pPr>
        <w:pStyle w:val="Heading3"/>
      </w:pPr>
      <w:r>
        <w:t xml:space="preserve">9.2 Evidence bundle contents (non-exhaustive)</w:t>
      </w:r>
    </w:p>
    <w:p>
      <w:pPr>
        <w:pStyle w:val="SourceCode"/>
      </w:pPr>
      <w:r>
        <w:rPr>
          <w:rStyle w:val="VerbatimChar"/>
        </w:rPr>
        <w:t xml:space="preserve">CSW UI → Investigate → Flow Search</w:t>
      </w:r>
      <w:r>
        <w:br/>
      </w:r>
      <w:r>
        <w:rPr>
          <w:rStyle w:val="VerbatimChar"/>
        </w:rPr>
        <w:t xml:space="preserve">  → Incident start/end</w:t>
      </w:r>
      <w:r>
        <w:br/>
      </w:r>
      <w:r>
        <w:rPr>
          <w:rStyle w:val="VerbatimChar"/>
        </w:rPr>
        <w:t xml:space="preserve">  → Affected workload filter (scope or IP list)</w:t>
      </w:r>
      <w:r>
        <w:br/>
      </w:r>
      <w:r>
        <w:rPr>
          <w:rStyle w:val="VerbatimChar"/>
        </w:rPr>
        <w:t xml:space="preserve">  → Export: flows with process, user (if present), bytes, duration</w:t>
      </w:r>
      <w:r>
        <w:br/>
      </w:r>
      <w:r>
        <w:br/>
      </w:r>
      <w:r>
        <w:rPr>
          <w:rStyle w:val="VerbatimChar"/>
        </w:rPr>
        <w:t xml:space="preserve">CSW UI → Investigate → Process Search</w:t>
      </w:r>
      <w:r>
        <w:br/>
      </w:r>
      <w:r>
        <w:rPr>
          <w:rStyle w:val="VerbatimChar"/>
        </w:rPr>
        <w:t xml:space="preserve">  → Suspicious parent/child processes on compromised host</w:t>
      </w:r>
    </w:p>
    <w:p>
      <w:pPr>
        <w:pStyle w:val="FirstParagraph"/>
      </w:pPr>
      <w:r>
        <w:t xml:space="preserve">Pair with</w:t>
      </w:r>
      <w:r>
        <w:t xml:space="preserve"> </w:t>
      </w:r>
      <w:r>
        <w:rPr>
          <w:b/>
          <w:bCs/>
        </w:rPr>
        <w:t xml:space="preserve">IAM logs</w:t>
      </w:r>
      <w:r>
        <w:t xml:space="preserve">,</w:t>
      </w:r>
      <w:r>
        <w:t xml:space="preserve"> </w:t>
      </w:r>
      <w:r>
        <w:rPr>
          <w:b/>
          <w:bCs/>
        </w:rPr>
        <w:t xml:space="preserve">EDR</w:t>
      </w:r>
      <w:r>
        <w:t xml:space="preserve">,</w:t>
      </w:r>
      <w:r>
        <w:t xml:space="preserve"> </w:t>
      </w:r>
      <w:r>
        <w:rPr>
          <w:b/>
          <w:bCs/>
        </w:rPr>
        <w:t xml:space="preserve">WAF</w:t>
      </w:r>
      <w:r>
        <w:t xml:space="preserve">, and</w:t>
      </w:r>
      <w:r>
        <w:t xml:space="preserve"> </w:t>
      </w:r>
      <w:r>
        <w:rPr>
          <w:b/>
          <w:bCs/>
        </w:rPr>
        <w:t xml:space="preserve">application audit</w:t>
      </w:r>
      <w:r>
        <w:t xml:space="preserve"> </w:t>
      </w:r>
      <w:r>
        <w:t xml:space="preserve">tables — CSW is</w:t>
      </w:r>
      <w:r>
        <w:t xml:space="preserve"> </w:t>
      </w:r>
      <w:r>
        <w:rPr>
          <w:b/>
          <w:bCs/>
        </w:rPr>
        <w:t xml:space="preserve">one lens</w:t>
      </w:r>
      <w:r>
        <w:t xml:space="preserve"> </w:t>
      </w:r>
      <w:r>
        <w:t xml:space="preserve">on network/workload truth.</w:t>
      </w:r>
    </w:p>
    <w:p>
      <w:pPr>
        <w:pStyle w:val="SourceCode"/>
      </w:pPr>
      <w:r>
        <w:rPr>
          <w:rStyle w:val="CommentTok"/>
        </w:rPr>
        <w:t xml:space="preserve"># After UI export — package for legal hold (illustrative)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~/gdpr-breach-pack/incident-2026-001/</w:t>
      </w:r>
      <w:r>
        <w:rPr>
          <w:rStyle w:val="DataTypeTok"/>
        </w:rPr>
        <w:t xml:space="preserve">{flows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process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policies}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~/Downloads/flows-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.csv ~/gdpr-breach-pack/incident-2026-001/flows/</w:t>
      </w:r>
      <w:r>
        <w:br/>
      </w:r>
      <w:r>
        <w:rPr>
          <w:rStyle w:val="ExtensionTok"/>
        </w:rPr>
        <w:t xml:space="preserve">shasum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256 ~/gdpr-breach-pack/incident-2026-001/flows/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~/gdpr-breach-pack/incident-2026-001/manifest-sha256.txt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79069dadc2b426d93f0f20cc958323e26df8d8f"/>
    <w:p>
      <w:pPr>
        <w:pStyle w:val="Heading2"/>
      </w:pPr>
      <w:r>
        <w:t xml:space="preserve">10. Audit preparation &amp; evidence export</w:t>
      </w:r>
    </w:p>
    <w:bookmarkStart w:id="47" w:name="X0a7c70b0ebb546229e708966d1d9b86363eeb48"/>
    <w:p>
      <w:pPr>
        <w:pStyle w:val="Heading3"/>
      </w:pPr>
      <w:r>
        <w:t xml:space="preserve">10.1 Quarterly / annual privacy &amp; security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 item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policy baseline</w:t>
            </w:r>
          </w:p>
        </w:tc>
        <w:tc>
          <w:tcPr/>
          <w:p>
            <w:pPr>
              <w:pStyle w:val="Compact"/>
            </w:pPr>
            <w:r>
              <w:t xml:space="preserve">Defend export</w:t>
            </w:r>
          </w:p>
        </w:tc>
        <w:tc>
          <w:tcPr/>
          <w:p>
            <w:pPr>
              <w:pStyle w:val="Compact"/>
            </w:pPr>
            <w:r>
              <w:t xml:space="preserve">Art. 25, 32 — TOM substantiation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RoPA crosswalk</w:t>
            </w:r>
          </w:p>
        </w:tc>
        <w:tc>
          <w:tcPr/>
          <w:p>
            <w:pPr>
              <w:pStyle w:val="Compact"/>
            </w:pPr>
            <w:r>
              <w:t xml:space="preserve">ADM + spreadsheet</w:t>
            </w:r>
          </w:p>
        </w:tc>
        <w:tc>
          <w:tcPr/>
          <w:p>
            <w:pPr>
              <w:pStyle w:val="Compact"/>
            </w:pPr>
            <w:r>
              <w:t xml:space="preserve">Art. 30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Sim-to-enforcement audit trail</w:t>
            </w:r>
          </w:p>
        </w:tc>
        <w:tc>
          <w:tcPr/>
          <w:p>
            <w:pPr>
              <w:pStyle w:val="Compact"/>
            </w:pPr>
            <w:r>
              <w:t xml:space="preserve">Policy workspace history</w:t>
            </w:r>
          </w:p>
        </w:tc>
        <w:tc>
          <w:tcPr/>
          <w:p>
            <w:pPr>
              <w:pStyle w:val="Compact"/>
            </w:pPr>
            <w:r>
              <w:t xml:space="preserve">Change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report</w:t>
            </w:r>
          </w:p>
        </w:tc>
        <w:tc>
          <w:tcPr/>
          <w:p>
            <w:pPr>
              <w:pStyle w:val="Compact"/>
            </w:pPr>
            <w:r>
              <w:t xml:space="preserve">Vulnerabilities</w:t>
            </w:r>
          </w:p>
        </w:tc>
        <w:tc>
          <w:tcPr/>
          <w:p>
            <w:pPr>
              <w:pStyle w:val="Compact"/>
            </w:pPr>
            <w:r>
              <w:t xml:space="preserve">Art. 32 testing / risk mgmt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summary</w:t>
            </w:r>
          </w:p>
        </w:tc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Art. 32 monitoring effectiveness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Processor egress review</w:t>
            </w:r>
          </w:p>
        </w:tc>
        <w:tc>
          <w:tcPr/>
          <w:p>
            <w:pPr>
              <w:pStyle w:val="Compact"/>
            </w:pPr>
            <w:r>
              <w:t xml:space="preserve">Flow reports filtered by allowlist</w:t>
            </w:r>
          </w:p>
        </w:tc>
        <w:tc>
          <w:tcPr/>
          <w:p>
            <w:pPr>
              <w:pStyle w:val="Compact"/>
            </w:pPr>
            <w:r>
              <w:t xml:space="preserve">Art. 28 oversight</w:t>
            </w:r>
          </w:p>
        </w:tc>
      </w:tr>
    </w:tbl>
    <w:bookmarkEnd w:id="47"/>
    <w:bookmarkStart w:id="48" w:name="X3cabd52afaefebaed62711f88183ce1732d627b"/>
    <w:p>
      <w:pPr>
        <w:pStyle w:val="Heading3"/>
      </w:pPr>
      <w:r>
        <w:t xml:space="preserve">10.2 DPAs &amp; subprocessors</w:t>
      </w:r>
    </w:p>
    <w:p>
      <w:pPr>
        <w:pStyle w:val="FirstParagraph"/>
      </w:pPr>
      <w:r>
        <w:t xml:space="preserve">Maintain a</w:t>
      </w:r>
      <w:r>
        <w:t xml:space="preserve"> </w:t>
      </w:r>
      <w:r>
        <w:rPr>
          <w:b/>
          <w:bCs/>
        </w:rPr>
        <w:t xml:space="preserve">CSW rule object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external documentation</w:t>
      </w:r>
      <w:r>
        <w:t xml:space="preserve"> </w:t>
      </w:r>
      <w:r>
        <w:t xml:space="preserve">listing</w:t>
      </w:r>
      <w:r>
        <w:t xml:space="preserve"> </w:t>
      </w:r>
      <w:r>
        <w:t xml:space="preserve">approved SaaS</w:t>
      </w:r>
      <w:r>
        <w:t xml:space="preserve"> </w:t>
      </w:r>
      <w:r>
        <w:rPr>
          <w:b/>
          <w:bCs/>
        </w:rPr>
        <w:t xml:space="preserve">FQDNs / IP ranges</w:t>
      </w:r>
      <w:r>
        <w:t xml:space="preserve">. When ADM discovers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destinations, route through</w:t>
      </w:r>
      <w:r>
        <w:t xml:space="preserve"> </w:t>
      </w:r>
      <w:r>
        <w:rPr>
          <w:b/>
          <w:bCs/>
        </w:rPr>
        <w:t xml:space="preserve">vendor risk + legal</w:t>
      </w:r>
      <w:r>
        <w:t xml:space="preserve"> </w:t>
      </w:r>
      <w:r>
        <w:t xml:space="preserve">before allowlisting.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f424d3bcaf7067d72cca18b10307e6bf80cd10f"/>
    <w:p>
      <w:pPr>
        <w:pStyle w:val="Heading2"/>
      </w:pPr>
      <w:r>
        <w:t xml:space="preserve">11. Boundaries — 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Lawfulness of processing / consent / legitimate interest balancing</w:t>
      </w:r>
      <w:r>
        <w:t xml:space="preserve"> </w:t>
      </w:r>
      <w:r>
        <w:t xml:space="preserve">— legal analysis only.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Data subject rights fulfillment</w:t>
      </w:r>
      <w:r>
        <w:t xml:space="preserve"> </w:t>
      </w:r>
      <w:r>
        <w:t xml:space="preserve">— access, rectification, erasure,</w:t>
      </w:r>
      <w:r>
        <w:t xml:space="preserve"> </w:t>
      </w:r>
      <w:r>
        <w:t xml:space="preserve">portability workflows in business applications and backup rotation.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Privacy notices &amp; transparency</w:t>
      </w:r>
      <w:r>
        <w:t xml:space="preserve"> </w:t>
      </w:r>
      <w:r>
        <w:t xml:space="preserve">— website / UX content.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International transfer mechanisms</w:t>
      </w:r>
      <w:r>
        <w:t xml:space="preserve"> </w:t>
      </w:r>
      <w:r>
        <w:t xml:space="preserve">alone — CSW may show</w:t>
      </w:r>
      <w: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w:r>
        <w:rPr>
          <w:i/>
          <w:iCs/>
        </w:rPr>
        <w:t xml:space="preserve">data flows</w:t>
      </w:r>
      <w:r>
        <w:t xml:space="preserve">;</w:t>
      </w:r>
      <w:r>
        <w:t xml:space="preserve"> </w:t>
      </w:r>
      <w:r>
        <w:rPr>
          <w:b/>
          <w:bCs/>
        </w:rPr>
        <w:t xml:space="preserve">Schrems II</w:t>
      </w:r>
      <w:r>
        <w:t xml:space="preserve"> </w:t>
      </w:r>
      <w:r>
        <w:t xml:space="preserve">TIA completion is separate.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Organizational measures</w:t>
      </w:r>
      <w:r>
        <w:t xml:space="preserve">: training, HR sanctions, confidentiality</w:t>
      </w:r>
      <w:r>
        <w:t xml:space="preserve"> </w:t>
      </w:r>
      <w:r>
        <w:t xml:space="preserve">agreements,</w:t>
      </w:r>
      <w:r>
        <w:t xml:space="preserve"> </w:t>
      </w:r>
      <w:r>
        <w:rPr>
          <w:b/>
          <w:bCs/>
        </w:rPr>
        <w:t xml:space="preserve">pure policy</w:t>
      </w:r>
      <w:r>
        <w:t xml:space="preserve"> </w:t>
      </w:r>
      <w:r>
        <w:t xml:space="preserve">documents without technical control.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Completeness of RoPA text fields</w:t>
      </w:r>
      <w:r>
        <w:t xml:space="preserve"> </w:t>
      </w:r>
      <w:r>
        <w:t xml:space="preserve">— purpose, retention schedules,</w:t>
      </w:r>
      <w:r>
        <w:t xml:space="preserve"> </w:t>
      </w:r>
      <w:r>
        <w:t xml:space="preserve">legal basis — CSW cannot author those; it can</w:t>
      </w:r>
      <w:r>
        <w:t xml:space="preserve"> </w:t>
      </w:r>
      <w:r>
        <w:rPr>
          <w:b/>
          <w:bCs/>
        </w:rPr>
        <w:t xml:space="preserve">validate flows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Encryption at rest</w:t>
      </w:r>
      <w:r>
        <w:t xml:space="preserve"> </w:t>
      </w:r>
      <w:r>
        <w:t xml:space="preserve">— typically database/storage layer; CSW does</w:t>
      </w:r>
      <w:r>
        <w:t xml:space="preserve"> </w:t>
      </w:r>
      <w:r>
        <w:t xml:space="preserve">not replace database TDE / storage CMK governance.</w:t>
      </w:r>
    </w:p>
    <w:p>
      <w:r>
        <w:pict>
          <v:rect style="width:0;height:1.5pt" o:hralign="center" o:hrstd="t" o:hr="t"/>
        </w:pict>
      </w:r>
    </w:p>
    <w:bookmarkEnd w:id="50"/>
    <w:bookmarkStart w:id="51" w:name="X912389a87542f85304bd8792bc78e9b299bbd16"/>
    <w:p>
      <w:pPr>
        <w:pStyle w:val="Heading2"/>
      </w:pPr>
      <w:r>
        <w:t xml:space="preserve">12. Common pitfalls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Assuming</w:t>
            </w:r>
            <w:r>
              <w:t xml:space="preserve"> </w:t>
            </w:r>
            <w:r>
              <w:rPr>
                <w:b/>
                <w:bCs/>
              </w:rPr>
              <w:t xml:space="preserve">encryption</w:t>
            </w:r>
            <w:r>
              <w:t xml:space="preserve"> </w:t>
            </w:r>
            <w:r>
              <w:t xml:space="preserve">because HTTPS default port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  <w:r>
              <w:t xml:space="preserve"> </w:t>
            </w:r>
            <w:r>
              <w:rPr>
                <w:b/>
                <w:bCs/>
              </w:rPr>
              <w:t xml:space="preserve">SNI</w:t>
            </w:r>
            <w:r>
              <w:t xml:space="preserve">, termination points, &amp; east-west plaintext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Scoping CSW only to</w:t>
            </w:r>
            <w:r>
              <w:t xml:space="preserve"> </w:t>
            </w:r>
            <w:r>
              <w:rPr>
                <w:b/>
                <w:bCs/>
              </w:rPr>
              <w:t xml:space="preserve">EU region</w:t>
            </w:r>
            <w:r>
              <w:t xml:space="preserve"> </w:t>
            </w:r>
            <w:r>
              <w:t xml:space="preserve">subnets while</w:t>
            </w:r>
            <w:r>
              <w:t xml:space="preserve"> </w:t>
            </w:r>
            <w:r>
              <w:rPr>
                <w:b/>
                <w:bCs/>
              </w:rPr>
              <w:t xml:space="preserve">US teams</w:t>
            </w:r>
            <w:r>
              <w:t xml:space="preserve"> </w:t>
            </w:r>
            <w:r>
              <w:t xml:space="preserve">administer</w:t>
            </w:r>
          </w:p>
        </w:tc>
        <w:tc>
          <w:tcPr/>
          <w:p>
            <w:pPr>
              <w:pStyle w:val="Compact"/>
            </w:pPr>
            <w:r>
              <w:t xml:space="preserve">Include admin paths; document transfers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RoPA after cloud refactor</w:t>
            </w:r>
          </w:p>
        </w:tc>
        <w:tc>
          <w:tcPr/>
          <w:p>
            <w:pPr>
              <w:pStyle w:val="Compact"/>
            </w:pPr>
            <w:r>
              <w:t xml:space="preserve">Re-run ADM on every major architecture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Over-collecting evidence with personal data inside</w:t>
            </w:r>
            <w:r>
              <w:t xml:space="preserve"> </w:t>
            </w:r>
            <w:r>
              <w:rPr>
                <w:b/>
                <w:bCs/>
              </w:rP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Prefer</w:t>
            </w:r>
            <w:r>
              <w:t xml:space="preserve"> </w:t>
            </w:r>
            <w:r>
              <w:rPr>
                <w:b/>
                <w:bCs/>
              </w:rPr>
              <w:t xml:space="preserve">metadata</w:t>
            </w:r>
            <w:r>
              <w:t xml:space="preserve"> </w:t>
            </w:r>
            <w:r>
              <w:t xml:space="preserve">flows; align with minimization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 CSW export as</w:t>
            </w:r>
            <w:r>
              <w:t xml:space="preserve"> </w:t>
            </w:r>
            <w:r>
              <w:rPr>
                <w:b/>
                <w:bCs/>
              </w:rPr>
              <w:t xml:space="preserve">DPIA sign-off</w:t>
            </w:r>
          </w:p>
        </w:tc>
        <w:tc>
          <w:tcPr/>
          <w:p>
            <w:pPr>
              <w:pStyle w:val="Compact"/>
            </w:pPr>
            <w:r>
              <w:t xml:space="preserve">DPIA remains accountable to</w:t>
            </w:r>
            <w:r>
              <w:t xml:space="preserve"> </w:t>
            </w:r>
            <w:r>
              <w:rPr>
                <w:b/>
                <w:bCs/>
              </w:rPr>
              <w:t xml:space="preserve">controller + DPO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8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35"/>
        </w:numPr>
      </w:pPr>
      <w:hyperlink r:id="rId52">
        <w:r>
          <w:rPr>
            <w:rStyle w:val="Hyperlink"/>
          </w:rPr>
          <w:t xml:space="preserve">ISO/IEC 27001:2022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common dual-track with GDPR technical measures.</w:t>
      </w:r>
    </w:p>
    <w:p>
      <w:pPr>
        <w:pStyle w:val="Compact"/>
        <w:numPr>
          <w:ilvl w:val="0"/>
          <w:numId w:val="1035"/>
        </w:numPr>
      </w:pPr>
      <w:hyperlink r:id="rId53">
        <w:r>
          <w:rPr>
            <w:rStyle w:val="Hyperlink"/>
          </w:rPr>
          <w:t xml:space="preserve">NIS2 (EU 2022/2555)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for essential entities also under NIS2.</w:t>
      </w:r>
    </w:p>
    <w:p>
      <w:pPr>
        <w:pStyle w:val="Compact"/>
        <w:numPr>
          <w:ilvl w:val="0"/>
          <w:numId w:val="1035"/>
        </w:numPr>
      </w:pPr>
      <w:hyperlink r:id="rId54">
        <w:r>
          <w:rPr>
            <w:rStyle w:val="Hyperlink"/>
          </w:rPr>
          <w:t xml:space="preserve">SOC 2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when SaaS processors request security attestations alongside GDPR</w:t>
      </w:r>
      <w:r>
        <w:t xml:space="preserve"> </w:t>
      </w:r>
      <w:r>
        <w:t xml:space="preserve">DPAs.</w:t>
      </w:r>
    </w:p>
    <w:p>
      <w:pPr>
        <w:pStyle w:val="Compact"/>
        <w:numPr>
          <w:ilvl w:val="0"/>
          <w:numId w:val="1035"/>
        </w:numPr>
      </w:pPr>
      <w:hyperlink r:id="rId55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zero trust segmentation patterns underpinning Article 25 narratives.</w:t>
      </w:r>
    </w:p>
    <w:p>
      <w:r>
        <w:pict>
          <v:rect style="width:0;height:1.5pt" o:hralign="center" o:hrstd="t" o:hr="t"/>
        </w:pict>
      </w:r>
    </w:p>
    <w:bookmarkStart w:id="56" w:name="Xed2c5b5f7621a3e5c79ade486d14790484fbd57"/>
    <w:p>
      <w:pPr>
        <w:pStyle w:val="Heading3"/>
      </w:pPr>
      <w:r>
        <w:t xml:space="preserve">Appendix A — Example “plaintext detection” policy fragment (conceptual)</w:t>
      </w:r>
    </w:p>
    <w:p>
      <w:pPr>
        <w:pStyle w:val="SourceCode"/>
      </w:pPr>
      <w:r>
        <w:rPr>
          <w:rStyle w:val="FunctionTok"/>
        </w:rPr>
        <w:t xml:space="preserve">workspace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GDPR-Personal-Data-Prod</w:t>
      </w:r>
      <w:r>
        <w:br/>
      </w:r>
      <w:r>
        <w:rPr>
          <w:rStyle w:val="FunctionTok"/>
        </w:rPr>
        <w:t xml:space="preserve">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simulation</w:t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alert-http-from-pii-tier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src_scope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Personal-Data-App-Tier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dst_any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tcp/80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"Escalate to block after app owner confirms TLS available."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block-ldap-cleartext-from-app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src_scope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Personal-Data-App-Tier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dst_scope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IdP-AD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tcp/389</w:t>
      </w:r>
    </w:p>
    <w:bookmarkEnd w:id="56"/>
    <w:bookmarkStart w:id="57" w:name="X9598a3a02eef5425ca14cf6131f0effb127f207"/>
    <w:p>
      <w:pPr>
        <w:pStyle w:val="Heading3"/>
      </w:pPr>
      <w:r>
        <w:t xml:space="preserve">Appendix B — RoPA crosswalk template (spreadsheet columns)</w:t>
      </w:r>
    </w:p>
    <w:p>
      <w:pPr>
        <w:pStyle w:val="FirstParagraph"/>
      </w:pPr>
      <w:r>
        <w:t xml:space="preserve">| RoPA Activity ID | Processing purpose (legal text) | System / cluster name | CSW scope ID | ADM cluster ref | Subprocessors (Y/N) | Last ADM export date | Notes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customer data-protection discussions. Legal</w:t>
      </w:r>
      <w:r>
        <w:rPr>
          <w:i/>
          <w:iCs/>
        </w:rPr>
        <w:t xml:space="preserve"> </w:t>
      </w:r>
      <w:r>
        <w:rPr>
          <w:i/>
          <w:iCs/>
        </w:rPr>
        <w:t xml:space="preserve">review required before external assurance or regulatory submission.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ISO-27001-2022/CSW-ISO27001-Technical-Runbook.md" TargetMode="External" /><Relationship Type="http://schemas.openxmlformats.org/officeDocument/2006/relationships/hyperlink" Id="rId53" Target="../NIS2/CSW-NIS2-Technical-Runbook.md" TargetMode="External" /><Relationship Type="http://schemas.openxmlformats.org/officeDocument/2006/relationships/hyperlink" Id="rId55" Target="../NIST-800-207/CSW-NIST-800-207-Technical-Runbook.md" TargetMode="External" /><Relationship Type="http://schemas.openxmlformats.org/officeDocument/2006/relationships/hyperlink" Id="rId54" Target="../SOC2/CSW-SOC2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ISO-27001-2022/CSW-ISO27001-Technical-Runbook.md" TargetMode="External" /><Relationship Type="http://schemas.openxmlformats.org/officeDocument/2006/relationships/hyperlink" Id="rId53" Target="../NIS2/CSW-NIS2-Technical-Runbook.md" TargetMode="External" /><Relationship Type="http://schemas.openxmlformats.org/officeDocument/2006/relationships/hyperlink" Id="rId55" Target="../NIST-800-207/CSW-NIST-800-207-Technical-Runbook.md" TargetMode="External" /><Relationship Type="http://schemas.openxmlformats.org/officeDocument/2006/relationships/hyperlink" Id="rId54" Target="../SOC2/CSW-SOC2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2026-05-29T22:00:41Z</dcterms:created>
  <dcterms:modified xsi:type="dcterms:W3CDTF">2026-05-29T22:00:41Z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