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X654785e381b5659d95dbc7773839c1a9a664469"/>
    <w:p>
      <w:pPr>
        <w:pStyle w:val="Heading1"/>
      </w:pPr>
      <w:r>
        <w:t xml:space="preserve">Cisco Secure Workload — NERC CIP (North American Bulk Electric System)</w:t>
      </w:r>
    </w:p>
    <w:bookmarkStart w:id="9" w:name="Xcfe3df97cf7d2b42901fac5e632ae3e14b8fb68"/>
    <w:p>
      <w:pPr>
        <w:pStyle w:val="Heading2"/>
      </w:pPr>
      <w:r>
        <w:t xml:space="preserve">Technical Runbook | Electric Utilities &amp; Generation/Transmission Operators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(draft — pending SME review) |</w:t>
      </w:r>
      <w:r>
        <w:t xml:space="preserve"> </w:t>
      </w:r>
      <w:r>
        <w:rPr>
          <w:b/>
          <w:bCs/>
        </w:rPr>
        <w:t xml:space="preserve">Standards:</w:t>
      </w:r>
      <w:r>
        <w:t xml:space="preserve"> </w:t>
      </w:r>
      <w:r>
        <w:t xml:space="preserve">NERC CIP-002 through CIP-014 (current effective revisions) |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Bulk Electric System (BES) responsible entities and their security teams |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IT estate supporting OT (corporate IT, engineering workstations, jump servers, historian/MES tier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OT control devices themselves)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Registered Entities under the NERC Reliability</w:t>
      </w:r>
      <w:r>
        <w:t xml:space="preserve"> </w:t>
      </w:r>
      <w:r>
        <w:t xml:space="preserve">Standards (Generation Owners/Operators, Transmission Owners/Operators,</w:t>
      </w:r>
      <w:r>
        <w:t xml:space="preserve"> </w:t>
      </w:r>
      <w:r>
        <w:t xml:space="preserve">Balancing Authorities, Reliability Coordinators, Distribution Providers</w:t>
      </w:r>
      <w:r>
        <w:t xml:space="preserve"> </w:t>
      </w:r>
      <w:r>
        <w:t xml:space="preserve">where applicable), and the cybersecurity teams preparing them for</w:t>
      </w:r>
      <w:r>
        <w:t xml:space="preserve"> </w:t>
      </w:r>
      <w:r>
        <w:t xml:space="preserve">NERC/Regional Entity audit cycles or for self-certification.</w:t>
      </w:r>
    </w:p>
    <w:p>
      <w:pPr>
        <w:pStyle w:val="BodyText"/>
      </w:pPr>
      <w:r>
        <w:rPr>
          <w:b/>
          <w:bCs/>
        </w:rPr>
        <w:t xml:space="preserve">Scope boundary you must understand before reading further.</w:t>
      </w:r>
      <w:r>
        <w:t xml:space="preserve"> </w:t>
      </w:r>
      <w:r>
        <w:t xml:space="preserve">Cisco</w:t>
      </w:r>
      <w:r>
        <w:t xml:space="preserve"> </w:t>
      </w:r>
      <w:r>
        <w:t xml:space="preserve">Secure Workload (CSW) is a workload-protection and segmentation</w:t>
      </w:r>
      <w:r>
        <w:t xml:space="preserve"> </w:t>
      </w:r>
      <w:r>
        <w:t xml:space="preserve">platform for</w:t>
      </w:r>
      <w:r>
        <w:t xml:space="preserve"> </w:t>
      </w:r>
      <w:r>
        <w:rPr>
          <w:b/>
          <w:bCs/>
        </w:rPr>
        <w:t xml:space="preserve">IT estate</w:t>
      </w:r>
      <w:r>
        <w:t xml:space="preserve"> </w:t>
      </w:r>
      <w:r>
        <w:t xml:space="preserve">— servers, virtual machines, containers,</w:t>
      </w:r>
      <w:r>
        <w:t xml:space="preserve"> </w:t>
      </w:r>
      <w:r>
        <w:t xml:space="preserve">and cloud workloads. CSW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enforce policy on PLCs, RTUs,</w:t>
      </w:r>
      <w:r>
        <w:t xml:space="preserve"> </w:t>
      </w:r>
      <w:r>
        <w:t xml:space="preserve">relays, IEDs, HMIs, or any other Level 0–2 OT device. CSW's NERC CIP</w:t>
      </w:r>
      <w:r>
        <w:t xml:space="preserve"> </w:t>
      </w:r>
      <w:r>
        <w:t xml:space="preserve">contribution is specifically at the</w:t>
      </w:r>
      <w:r>
        <w:t xml:space="preserve"> </w:t>
      </w:r>
      <w:r>
        <w:rPr>
          <w:b/>
          <w:bCs/>
        </w:rPr>
        <w:t xml:space="preserve">IT-side of the IT/OT boundary</w:t>
      </w:r>
      <w:r>
        <w:rPr>
          <w:b/>
          <w:bCs/>
        </w:rPr>
        <w:t xml:space="preserve"> </w:t>
      </w:r>
      <w:r>
        <w:rPr>
          <w:b/>
          <w:bCs/>
        </w:rPr>
        <w:t xml:space="preserve">and within the EACMS (Electronic Access Control or Monitoring Systems)</w:t>
      </w:r>
      <w:r>
        <w:rPr>
          <w:b/>
          <w:bCs/>
        </w:rPr>
        <w:t xml:space="preserve"> </w:t>
      </w:r>
      <w:r>
        <w:rPr>
          <w:b/>
          <w:bCs/>
        </w:rPr>
        <w:t xml:space="preserve">and PACS (Physical Access Control Systems) supporting infrastructure</w:t>
      </w:r>
      <w:r>
        <w:t xml:space="preserve"> </w:t>
      </w:r>
      <w:r>
        <w:t xml:space="preserve">— jump hosts, engineering workstations, historian/MES databases,</w:t>
      </w:r>
      <w:r>
        <w:t xml:space="preserve"> </w:t>
      </w:r>
      <w:r>
        <w:t xml:space="preserve">patch repositories, vendor-access servers, identity/PKI services, and</w:t>
      </w:r>
      <w:r>
        <w:t xml:space="preserve"> </w:t>
      </w:r>
      <w:r>
        <w:t xml:space="preserve">the corporate IT systems that touch BES Cyber System Information</w:t>
      </w:r>
      <w:r>
        <w:t xml:space="preserve"> </w:t>
      </w:r>
      <w:r>
        <w:t xml:space="preserve">(BCSI). Treat anything below the segmented boundary as out of scope</w:t>
      </w:r>
      <w:r>
        <w:t xml:space="preserve"> </w:t>
      </w:r>
      <w:r>
        <w:t xml:space="preserve">for CSW; reference your ICS/SCADA security stack and your physical</w:t>
      </w:r>
      <w:r>
        <w:t xml:space="preserve"> </w:t>
      </w:r>
      <w:r>
        <w:t xml:space="preserve">network architecture for those layers.</w:t>
      </w:r>
    </w:p>
    <w:p>
      <w:pPr>
        <w:pStyle w:val="BodyText"/>
      </w:pPr>
      <w:r>
        <w:rPr>
          <w:b/>
          <w:bCs/>
        </w:rPr>
        <w:t xml:space="preserve">Questions this runbook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CIP-005-7 R1 (ESP boundary): can I prove that the only inbound and</w:t>
      </w:r>
      <w:r>
        <w:rPr>
          <w:i/>
          <w:iCs/>
        </w:rPr>
        <w:t xml:space="preserve"> </w:t>
      </w:r>
      <w:r>
        <w:rPr>
          <w:i/>
          <w:iCs/>
        </w:rPr>
        <w:t xml:space="preserve">outbound communications to my Electronic Security Perimeter (ESP)</w:t>
      </w:r>
      <w:r>
        <w:rPr>
          <w:i/>
          <w:iCs/>
        </w:rPr>
        <w:t xml:space="preserve"> </w:t>
      </w:r>
      <w:r>
        <w:rPr>
          <w:i/>
          <w:iCs/>
        </w:rPr>
        <w:t xml:space="preserve">go through the documented Electronic Access Points (EAPs), and that</w:t>
      </w:r>
      <w:r>
        <w:rPr>
          <w:i/>
          <w:iCs/>
        </w:rPr>
        <w:t xml:space="preserve"> </w:t>
      </w:r>
      <w:r>
        <w:rPr>
          <w:i/>
          <w:iCs/>
        </w:rPr>
        <w:t xml:space="preserve">no undocumented lateral path exists from corporate IT to the ESP?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CIP-005-7 R2 (Interactive Remote Access, IRA): can I produce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that every IRA session terminates at the documented</w:t>
      </w:r>
      <w:r>
        <w:rPr>
          <w:i/>
          <w:iCs/>
        </w:rPr>
        <w:t xml:space="preserve"> </w:t>
      </w:r>
      <w:r>
        <w:rPr>
          <w:i/>
          <w:iCs/>
        </w:rPr>
        <w:t xml:space="preserve">Intermediate System and that no direct corporate-IT-to-ESP pivot is</w:t>
      </w:r>
      <w:r>
        <w:rPr>
          <w:i/>
          <w:iCs/>
        </w:rPr>
        <w:t xml:space="preserve"> </w:t>
      </w:r>
      <w:r>
        <w:rPr>
          <w:i/>
          <w:iCs/>
        </w:rPr>
        <w:t xml:space="preserve">reachable, with a forensic trail per session?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CIP-007-6 R1 (Ports and Services): for every Cyber Asset within an</w:t>
      </w:r>
      <w:r>
        <w:rPr>
          <w:i/>
          <w:iCs/>
        </w:rPr>
        <w:t xml:space="preserve"> </w:t>
      </w:r>
      <w:r>
        <w:rPr>
          <w:i/>
          <w:iCs/>
        </w:rPr>
        <w:t xml:space="preserve">ESP and for the EACMS supporting it, can I show only network-</w:t>
      </w:r>
      <w:r>
        <w:rPr>
          <w:i/>
          <w:iCs/>
        </w:rPr>
        <w:t xml:space="preserve"> </w:t>
      </w:r>
      <w:r>
        <w:rPr>
          <w:i/>
          <w:iCs/>
        </w:rPr>
        <w:t xml:space="preserve">accessible ports and services that are actually needed, and produce</w:t>
      </w:r>
      <w:r>
        <w:rPr>
          <w:i/>
          <w:iCs/>
        </w:rPr>
        <w:t xml:space="preserve"> </w:t>
      </w:r>
      <w:r>
        <w:rPr>
          <w:i/>
          <w:iCs/>
        </w:rPr>
        <w:t xml:space="preserve">the evidence quarterly?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CIP-007-6 R3 (Malicious Code Prevention) and R4 (Security Event</w:t>
      </w:r>
      <w:r>
        <w:rPr>
          <w:i/>
          <w:iCs/>
        </w:rPr>
        <w:t xml:space="preserve"> </w:t>
      </w:r>
      <w:r>
        <w:rPr>
          <w:i/>
          <w:iCs/>
        </w:rPr>
        <w:t xml:space="preserve">Monitoring): can I demonstrate event monitoring at the workload</w:t>
      </w:r>
      <w:r>
        <w:rPr>
          <w:i/>
          <w:iCs/>
        </w:rPr>
        <w:t xml:space="preserve"> </w:t>
      </w:r>
      <w:r>
        <w:rPr>
          <w:i/>
          <w:iCs/>
        </w:rPr>
        <w:t xml:space="preserve">level for at least the EACMS/PACS/PCA tier, and reconstruct the</w:t>
      </w:r>
      <w:r>
        <w:rPr>
          <w:i/>
          <w:iCs/>
        </w:rPr>
        <w:t xml:space="preserve"> </w:t>
      </w:r>
      <w:r>
        <w:rPr>
          <w:i/>
          <w:iCs/>
        </w:rPr>
        <w:t xml:space="preserve">process and flow context of an event?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CIP-010-4 R1 (Configuration Change Management): can I produce an</w:t>
      </w:r>
      <w:r>
        <w:rPr>
          <w:i/>
          <w:iCs/>
        </w:rPr>
        <w:t xml:space="preserve"> </w:t>
      </w:r>
      <w:r>
        <w:rPr>
          <w:i/>
          <w:iCs/>
        </w:rPr>
        <w:t xml:space="preserve">inventory baseline (R1.1) for every Cyber Asset including software</w:t>
      </w:r>
      <w:r>
        <w:rPr>
          <w:i/>
          <w:iCs/>
        </w:rPr>
        <w:t xml:space="preserve"> </w:t>
      </w:r>
      <w:r>
        <w:rPr>
          <w:i/>
          <w:iCs/>
        </w:rPr>
        <w:t xml:space="preserve">installed (R1.1.5) and ports/services (R1.1.4), and detect</w:t>
      </w:r>
      <w:r>
        <w:rPr>
          <w:i/>
          <w:iCs/>
        </w:rPr>
        <w:t xml:space="preserve"> </w:t>
      </w:r>
      <w:r>
        <w:rPr>
          <w:i/>
          <w:iCs/>
        </w:rPr>
        <w:t xml:space="preserve">unauthorised change (R1.5)?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CIP-010-4 R3 (Vulnerability Assessments): can I produce the active</w:t>
      </w:r>
      <w:r>
        <w:rPr>
          <w:i/>
          <w:iCs/>
        </w:rPr>
        <w:t xml:space="preserve"> </w:t>
      </w:r>
      <w:r>
        <w:rPr>
          <w:i/>
          <w:iCs/>
        </w:rPr>
        <w:t xml:space="preserve">vulnerability assessment evidence for High/Medium-impact BES Cyber</w:t>
      </w:r>
      <w:r>
        <w:rPr>
          <w:i/>
          <w:iCs/>
        </w:rPr>
        <w:t xml:space="preserve"> </w:t>
      </w:r>
      <w:r>
        <w:rPr>
          <w:i/>
          <w:iCs/>
        </w:rPr>
        <w:t xml:space="preserve">Systems on the R3.1 cadence, and the paper assessment for low-</w:t>
      </w:r>
      <w:r>
        <w:rPr>
          <w:i/>
          <w:iCs/>
        </w:rPr>
        <w:t xml:space="preserve"> </w:t>
      </w:r>
      <w:r>
        <w:rPr>
          <w:i/>
          <w:iCs/>
        </w:rPr>
        <w:t xml:space="preserve">impact?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CIP-013-2 R1 (Supply Chain Risk Management): for the IT systems</w:t>
      </w:r>
      <w:r>
        <w:rPr>
          <w:i/>
          <w:iCs/>
        </w:rPr>
        <w:t xml:space="preserve"> </w:t>
      </w:r>
      <w:r>
        <w:rPr>
          <w:i/>
          <w:iCs/>
        </w:rPr>
        <w:t xml:space="preserve">that interact with vendor-supplied software, can I show what those</w:t>
      </w:r>
      <w:r>
        <w:rPr>
          <w:i/>
          <w:iCs/>
        </w:rPr>
        <w:t xml:space="preserve"> </w:t>
      </w:r>
      <w:r>
        <w:rPr>
          <w:i/>
          <w:iCs/>
        </w:rPr>
        <w:t xml:space="preserve">systems are actually talking to externally, and detect when that</w:t>
      </w:r>
      <w:r>
        <w:rPr>
          <w:i/>
          <w:iCs/>
        </w:rPr>
        <w:t xml:space="preserve"> </w:t>
      </w:r>
      <w:r>
        <w:rPr>
          <w:i/>
          <w:iCs/>
        </w:rPr>
        <w:t xml:space="preserve">pattern changes?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current CIP-002 BES Cyber System</w:t>
      </w:r>
      <w:r>
        <w:t xml:space="preserve"> </w:t>
      </w:r>
      <w:r>
        <w:t xml:space="preserve">identification list (with high/medium/low impact rating per Attachment</w:t>
      </w:r>
      <w:r>
        <w:t xml:space="preserve"> </w:t>
      </w:r>
      <w:r>
        <w:t xml:space="preserve">1), your ESP and PSP inventory under CIP-005/006, your EACMS and PACS</w:t>
      </w:r>
      <w:r>
        <w:t xml:space="preserve"> </w:t>
      </w:r>
      <w:r>
        <w:t xml:space="preserve">inventory, your CIP-010 baseline configuration register, and your</w:t>
      </w:r>
      <w:r>
        <w:t xml:space="preserve"> </w:t>
      </w:r>
      <w:r>
        <w:t xml:space="preserve">Cyber Vulnerability Assessment cadence per CIP-010 R3. CSW will</w:t>
      </w:r>
      <w:r>
        <w:t xml:space="preserve"> </w:t>
      </w:r>
      <w:r>
        <w:t xml:space="preserve">augment but not replace these governance artefacts.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2 if you are scoping CSW relative to</w:t>
      </w:r>
      <w:r>
        <w:t xml:space="preserve"> </w:t>
      </w:r>
      <w:r>
        <w:t xml:space="preserve">CIP-002 categorisation; sections 3–4 if you are designing the IT-side</w:t>
      </w:r>
      <w:r>
        <w:t xml:space="preserve"> </w:t>
      </w:r>
      <w:r>
        <w:t xml:space="preserve">of the ESP boundary; section 5 if EACMS hardening and IRA evidence</w:t>
      </w:r>
      <w:r>
        <w:t xml:space="preserve"> </w:t>
      </w:r>
      <w:r>
        <w:t xml:space="preserve">are the audit gap; section 6 if CIP-007 ports/services and CIP-010</w:t>
      </w:r>
      <w:r>
        <w:t xml:space="preserve"> </w:t>
      </w:r>
      <w:r>
        <w:t xml:space="preserve">baseline drift are the open items; section 9 if supply-chain (CIP-013)</w:t>
      </w:r>
      <w:r>
        <w:t xml:space="preserve"> </w:t>
      </w:r>
      <w:r>
        <w:t xml:space="preserve">visibility is the priority.</w:t>
      </w:r>
    </w:p>
    <w:p>
      <w:pPr>
        <w:pStyle w:val="BodyText"/>
      </w:pPr>
      <w:r>
        <w:rPr>
          <w:b/>
          <w:bCs/>
        </w:rPr>
        <w:t xml:space="preserve">Important.</w:t>
      </w:r>
      <w:r>
        <w:t xml:space="preserve"> </w:t>
      </w:r>
      <w:r>
        <w:t xml:space="preserve">NERC CIP enforcement actions are issued by the Regional</w:t>
      </w:r>
      <w:r>
        <w:t xml:space="preserve"> </w:t>
      </w:r>
      <w:r>
        <w:t xml:space="preserve">Entities under FERC oversight. Nothing in this runbook substitutes for</w:t>
      </w:r>
      <w:r>
        <w:t xml:space="preserve"> </w:t>
      </w:r>
      <w:r>
        <w:t xml:space="preserve">your CIP Senior Manager's accountability under CIP-003 or for the</w:t>
      </w:r>
      <w:r>
        <w:t xml:space="preserve"> </w:t>
      </w:r>
      <w:r>
        <w:t xml:space="preserve">RSAW/audit response your Regional Entity will request. CSW gives the</w:t>
      </w:r>
      <w:r>
        <w:t xml:space="preserve"> </w:t>
      </w:r>
      <w:r>
        <w:t xml:space="preserve">Senior Manager the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needed to defend the programme; it does</w:t>
      </w:r>
      <w:r>
        <w:t xml:space="preserve"> </w:t>
      </w:r>
      <w:r>
        <w:t xml:space="preserve">not author the programme.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IT-side ESP boundary hardening (CIP-005 R1) — pair with OT tools</w:t>
      </w:r>
    </w:p>
    <w:p>
      <w:pPr>
        <w:pStyle w:val="Compact"/>
        <w:numPr>
          <w:ilvl w:val="0"/>
          <w:numId w:val="1018"/>
        </w:numPr>
      </w:pPr>
      <w:r>
        <w:t xml:space="preserve">IRA evidence inputs (CIP-005 R2) from access logs</w:t>
      </w:r>
    </w:p>
    <w:p>
      <w:pPr>
        <w:pStyle w:val="Compact"/>
        <w:numPr>
          <w:ilvl w:val="0"/>
          <w:numId w:val="1018"/>
        </w:numPr>
      </w:pPr>
      <w:r>
        <w:t xml:space="preserve">CIP-007/010 ports + baseline from process-aware telemetry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NERC Critical Infrastructure Protection (CIP) Reliability Standards</w:t>
      </w:r>
      <w:r>
        <w:t xml:space="preserve"> </w:t>
      </w:r>
      <w:r>
        <w:t xml:space="preserve">govern cybersecurity for the Bulk Electric System (BES) across North</w:t>
      </w:r>
      <w:r>
        <w:t xml:space="preserve"> </w:t>
      </w:r>
      <w:r>
        <w:t xml:space="preserve">America. The standards apply to Registered Entities and to the BES</w:t>
      </w:r>
      <w:r>
        <w:t xml:space="preserve"> </w:t>
      </w:r>
      <w:r>
        <w:t xml:space="preserve">Cyber Systems they own or operate. The current standards in scope for</w:t>
      </w:r>
      <w:r>
        <w:t xml:space="preserve"> </w:t>
      </w:r>
      <w:r>
        <w:t xml:space="preserve">this runbook 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CIP-002</w:t>
            </w:r>
          </w:p>
        </w:tc>
        <w:tc>
          <w:tcPr/>
          <w:p>
            <w:pPr>
              <w:pStyle w:val="Compact"/>
            </w:pPr>
            <w:r>
              <w:t xml:space="preserve">BES Cyber System Categorization</w:t>
            </w:r>
          </w:p>
        </w:tc>
        <w:tc>
          <w:tcPr/>
          <w:p>
            <w:pPr>
              <w:pStyle w:val="Compact"/>
            </w:pPr>
            <w:r>
              <w:t xml:space="preserve">Inventory + scope labelling supporting categorisation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CIP-003</w:t>
            </w:r>
          </w:p>
        </w:tc>
        <w:tc>
          <w:tcPr/>
          <w:p>
            <w:pPr>
              <w:pStyle w:val="Compact"/>
            </w:pPr>
            <w:r>
              <w:t xml:space="preserve">Security Management Controls</w:t>
            </w:r>
          </w:p>
        </w:tc>
        <w:tc>
          <w:tcPr/>
          <w:p>
            <w:pPr>
              <w:pStyle w:val="Compact"/>
            </w:pPr>
            <w:r>
              <w:t xml:space="preserve">Quarterly evidence pack to CIP Senior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CIP-004</w:t>
            </w:r>
          </w:p>
        </w:tc>
        <w:tc>
          <w:tcPr/>
          <w:p>
            <w:pPr>
              <w:pStyle w:val="Compact"/>
            </w:pPr>
            <w:r>
              <w:t xml:space="preserve">Personnel &amp; Training</w:t>
            </w:r>
          </w:p>
        </w:tc>
        <w:tc>
          <w:tcPr/>
          <w:p>
            <w:pPr>
              <w:pStyle w:val="Compact"/>
            </w:pPr>
            <w:r>
              <w:t xml:space="preserve">Out of scope — HR/training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CIP-005</w:t>
            </w:r>
          </w:p>
        </w:tc>
        <w:tc>
          <w:tcPr/>
          <w:p>
            <w:pPr>
              <w:pStyle w:val="Compact"/>
            </w:pPr>
            <w:r>
              <w:t xml:space="preserve">Electronic Security Perimeters &amp; IRA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segmentation, EAP enforcement, IRA termination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CIP-006</w:t>
            </w:r>
          </w:p>
        </w:tc>
        <w:tc>
          <w:tcPr/>
          <w:p>
            <w:pPr>
              <w:pStyle w:val="Compact"/>
            </w:pPr>
            <w:r>
              <w:t xml:space="preserve">Physical Security</w:t>
            </w:r>
          </w:p>
        </w:tc>
        <w:tc>
          <w:tcPr/>
          <w:p>
            <w:pPr>
              <w:pStyle w:val="Compact"/>
            </w:pPr>
            <w:r>
              <w:t xml:space="preserve">Out of scope — physical/PACS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CIP-007</w:t>
            </w:r>
          </w:p>
        </w:tc>
        <w:tc>
          <w:tcPr/>
          <w:p>
            <w:pPr>
              <w:pStyle w:val="Compact"/>
            </w:pPr>
            <w:r>
              <w:t xml:space="preserve">System Security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ports/services, malicious code, security event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CIP-008</w:t>
            </w:r>
          </w:p>
        </w:tc>
        <w:tc>
          <w:tcPr/>
          <w:p>
            <w:pPr>
              <w:pStyle w:val="Compact"/>
            </w:pPr>
            <w:r>
              <w:t xml:space="preserve">Incident Reporting &amp; Response</w:t>
            </w:r>
          </w:p>
        </w:tc>
        <w:tc>
          <w:tcPr/>
          <w:p>
            <w:pPr>
              <w:pStyle w:val="Compact"/>
            </w:pPr>
            <w:r>
              <w:t xml:space="preserve">Forensic flow + process telemetry for incident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CIP-009</w:t>
            </w:r>
          </w:p>
        </w:tc>
        <w:tc>
          <w:tcPr/>
          <w:p>
            <w:pPr>
              <w:pStyle w:val="Compact"/>
            </w:pPr>
            <w:r>
              <w:t xml:space="preserve">Recovery Plans</w:t>
            </w:r>
          </w:p>
        </w:tc>
        <w:tc>
          <w:tcPr/>
          <w:p>
            <w:pPr>
              <w:pStyle w:val="Compact"/>
            </w:pPr>
            <w:r>
              <w:t xml:space="preserve">Policy/baseline export for DR; out-of-scope for active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CIP-010</w:t>
            </w:r>
          </w:p>
        </w:tc>
        <w:tc>
          <w:tcPr/>
          <w:p>
            <w:pPr>
              <w:pStyle w:val="Compact"/>
            </w:pPr>
            <w:r>
              <w:t xml:space="preserve">Configuration Change Management &amp; 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— baseline, drift, vulnerability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CIP-011</w:t>
            </w:r>
          </w:p>
        </w:tc>
        <w:tc>
          <w:tcPr/>
          <w:p>
            <w:pPr>
              <w:pStyle w:val="Compact"/>
            </w:pPr>
            <w:r>
              <w:t xml:space="preserve">Information Protection (BCSI)</w:t>
            </w:r>
          </w:p>
        </w:tc>
        <w:tc>
          <w:tcPr/>
          <w:p>
            <w:pPr>
              <w:pStyle w:val="Compact"/>
            </w:pPr>
            <w:r>
              <w:t xml:space="preserve">Egress monitoring on BCSI-hosting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CIP-013</w:t>
            </w:r>
          </w:p>
        </w:tc>
        <w:tc>
          <w:tcPr/>
          <w:p>
            <w:pPr>
              <w:pStyle w:val="Compact"/>
            </w:pPr>
            <w:r>
              <w:t xml:space="preserve">Supply Chain Risk Management</w:t>
            </w:r>
          </w:p>
        </w:tc>
        <w:tc>
          <w:tcPr/>
          <w:p>
            <w:pPr>
              <w:pStyle w:val="Compact"/>
            </w:pPr>
            <w:r>
              <w:t xml:space="preserve">Vendor-system egress visibility on the IT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CIP-014</w:t>
            </w:r>
          </w:p>
        </w:tc>
        <w:tc>
          <w:tcPr/>
          <w:p>
            <w:pPr>
              <w:pStyle w:val="Compact"/>
            </w:pPr>
            <w:r>
              <w:t xml:space="preserve">Physical Security (transmission)</w:t>
            </w:r>
          </w:p>
        </w:tc>
        <w:tc>
          <w:tcPr/>
          <w:p>
            <w:pPr>
              <w:pStyle w:val="Compact"/>
            </w:pPr>
            <w:r>
              <w:t xml:space="preserve">Out of scope — physical/CCTV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Where CSW fits — the short version.</w:t>
      </w:r>
      <w:r>
        <w:t xml:space="preserve"> </w:t>
      </w:r>
      <w:r>
        <w:t xml:space="preserve">CSW is the segmentation and</w:t>
      </w:r>
      <w:r>
        <w:t xml:space="preserve"> </w:t>
      </w:r>
      <w:r>
        <w:t xml:space="preserve">visibility layer for the</w:t>
      </w:r>
      <w:r>
        <w:t xml:space="preserve"> </w:t>
      </w:r>
      <w:r>
        <w:rPr>
          <w:b/>
          <w:bCs/>
        </w:rPr>
        <w:t xml:space="preserve">IT estate</w:t>
      </w:r>
      <w:r>
        <w:t xml:space="preserve"> </w:t>
      </w:r>
      <w:r>
        <w:t xml:space="preserve">that surrounds, supports, and</w:t>
      </w:r>
      <w:r>
        <w:t xml:space="preserve"> </w:t>
      </w:r>
      <w:r>
        <w:t xml:space="preserve">crosses the boundary into ESPs. The Cyber Assets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ESP</w:t>
      </w:r>
      <w:r>
        <w:t xml:space="preserve"> </w:t>
      </w:r>
      <w:r>
        <w:t xml:space="preserve">(particularly Level 0–2 OT devices) typically remain under your</w:t>
      </w:r>
      <w:r>
        <w:t xml:space="preserve"> </w:t>
      </w:r>
      <w:r>
        <w:t xml:space="preserve">ICS/SCADA cybersecurity stack and the network-firewall-as-EAP</w:t>
      </w:r>
      <w:r>
        <w:t xml:space="preserve"> </w:t>
      </w:r>
      <w:r>
        <w:t xml:space="preserve">arrangement at the ESP boundary. CSW supplements that arrangement on</w:t>
      </w:r>
      <w:r>
        <w:t xml:space="preserve"> </w:t>
      </w:r>
      <w:r>
        <w:t xml:space="preserve">the IT side: it segments the EACMS (jump hosts, AD, PKI, vendor-access</w:t>
      </w:r>
      <w:r>
        <w:t xml:space="preserve"> </w:t>
      </w:r>
      <w:r>
        <w:t xml:space="preserve">servers), it enforces deny-by-default for the corporate-IT-to-ESP</w:t>
      </w:r>
      <w:r>
        <w:t xml:space="preserve"> </w:t>
      </w:r>
      <w:r>
        <w:t xml:space="preserve">path, it produces CIP-007/010 evidence at workload granularity, and</w:t>
      </w:r>
      <w:r>
        <w:t xml:space="preserve"> </w:t>
      </w:r>
      <w:r>
        <w:t xml:space="preserve">it monitors BCSI-hosting systems under CIP-011.</w:t>
      </w:r>
    </w:p>
    <w:p>
      <w:pPr>
        <w:pStyle w:val="BodyText"/>
      </w:pPr>
      <w:r>
        <w:rPr>
          <w:b/>
          <w:bCs/>
        </w:rPr>
        <w:t xml:space="preserve">Where CSW does not fit.</w:t>
      </w:r>
      <w:r>
        <w:t xml:space="preserve"> </w:t>
      </w:r>
      <w:r>
        <w:t xml:space="preserve">CSW is not certified as an EAP, is not an</w:t>
      </w:r>
      <w:r>
        <w:t xml:space="preserve"> </w:t>
      </w:r>
      <w:r>
        <w:t xml:space="preserve">ICS-aware deep-packet-inspection engine for protocols like DNP3, IEC</w:t>
      </w:r>
      <w:r>
        <w:t xml:space="preserve"> </w:t>
      </w:r>
      <w:r>
        <w:t xml:space="preserve">61850, or Modbus, and does not enforce policy on the OT devices</w:t>
      </w:r>
      <w:r>
        <w:t xml:space="preserve"> </w:t>
      </w:r>
      <w:r>
        <w:t xml:space="preserve">themselves. Your firewall vendor's EAP and your OT-specific monitoring</w:t>
      </w:r>
      <w:r>
        <w:t xml:space="preserve"> </w:t>
      </w:r>
      <w:r>
        <w:t xml:space="preserve">(Claroty, Nozomi, Dragos, Cisco Cyber Vision, etc.) remain the</w:t>
      </w:r>
      <w:r>
        <w:t xml:space="preserve"> </w:t>
      </w:r>
      <w:r>
        <w:t xml:space="preserve">primary controls there. CSW's role is the IT-side companion.</w:t>
      </w:r>
    </w:p>
    <w:p>
      <w:r>
        <w:pict>
          <v:rect style="width:0;height:1.5pt" o:hralign="center" o:hrstd="t" o:hr="t"/>
        </w:pict>
      </w:r>
    </w:p>
    <w:bookmarkEnd w:id="21"/>
    <w:bookmarkStart w:id="22" w:name="X88f7c5a7885882b39f701efca3b041794fe47c1"/>
    <w:p>
      <w:pPr>
        <w:pStyle w:val="Heading2"/>
      </w:pPr>
      <w:r>
        <w:t xml:space="preserve">2. CIP-002 — BES Cyber System Categorization</w:t>
      </w:r>
    </w:p>
    <w:p>
      <w:pPr>
        <w:pStyle w:val="FirstParagraph"/>
      </w:pPr>
      <w:r>
        <w:t xml:space="preserve">CIP-002 R1 requires identification of BES Cyber Systems and impact</w:t>
      </w:r>
      <w:r>
        <w:t xml:space="preserve"> </w:t>
      </w:r>
      <w:r>
        <w:t xml:space="preserve">rating per Attachment 1 (High / Medium / Low). The output is the</w:t>
      </w:r>
      <w:r>
        <w:t xml:space="preserve"> </w:t>
      </w:r>
      <w:r>
        <w:t xml:space="preserve">authoritative scope for everything in CIP-003 through CIP-013.</w:t>
      </w:r>
    </w:p>
    <w:p>
      <w:pPr>
        <w:pStyle w:val="BodyText"/>
      </w:pPr>
      <w:r>
        <w:rPr>
          <w:b/>
          <w:bCs/>
        </w:rPr>
        <w:t xml:space="preserve">CSW does not perform CIP-002 categorisation.</w:t>
      </w:r>
      <w:r>
        <w:t xml:space="preserve"> </w:t>
      </w:r>
      <w:r>
        <w:t xml:space="preserve">That is a</w:t>
      </w:r>
      <w:r>
        <w:t xml:space="preserve"> </w:t>
      </w:r>
      <w:r>
        <w:t xml:space="preserve">risk-and-engineering decision driven by Attachment 1 criteria</w:t>
      </w:r>
      <w:r>
        <w:t xml:space="preserve"> </w:t>
      </w:r>
      <w:r>
        <w:t xml:space="preserve">(generation MW thresholds, blackstart, control centres, etc.). CSW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host the labels that downstream CIP processes rely on.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Receive the categorisation outputs from CIP-002 owners</w:t>
      </w:r>
      <w:r>
        <w:br/>
      </w:r>
      <w:r>
        <w:rPr>
          <w:rStyle w:val="VerbatimChar"/>
        </w:rPr>
        <w:t xml:space="preserve">  → Per Cyber Asset: bes_impact = high | medium | low</w:t>
      </w:r>
      <w:r>
        <w:br/>
      </w:r>
      <w:r>
        <w:rPr>
          <w:rStyle w:val="VerbatimChar"/>
        </w:rPr>
        <w:t xml:space="preserve">  → Per BES Cyber System: bcs_id, bcs_name, bcs_function</w:t>
      </w:r>
      <w:r>
        <w:br/>
      </w:r>
      <w:r>
        <w:br/>
      </w:r>
      <w:r>
        <w:rPr>
          <w:rStyle w:val="VerbatimChar"/>
        </w:rPr>
        <w:t xml:space="preserve">Step 2: Apply consistent labels to every CSW-managed workload that</w:t>
      </w:r>
      <w:r>
        <w:br/>
      </w:r>
      <w:r>
        <w:rPr>
          <w:rStyle w:val="VerbatimChar"/>
        </w:rPr>
        <w:t xml:space="preserve">        either *is* a CIP-relevant Cyber Asset or *supports* one</w:t>
      </w:r>
      <w:r>
        <w:br/>
      </w:r>
      <w:r>
        <w:rPr>
          <w:rStyle w:val="VerbatimChar"/>
        </w:rPr>
        <w:t xml:space="preserve">        (EACMS, PACS, PCA, BCSI host)</w:t>
      </w:r>
      <w:r>
        <w:br/>
      </w:r>
      <w:r>
        <w:rPr>
          <w:rStyle w:val="VerbatimChar"/>
        </w:rPr>
        <w:t xml:space="preserve">  CSW UI → Inventory → Bulk Label</w:t>
      </w:r>
      <w:r>
        <w:br/>
      </w:r>
      <w:r>
        <w:rPr>
          <w:rStyle w:val="VerbatimChar"/>
        </w:rPr>
        <w:t xml:space="preserve">  Mandatory labels:</w:t>
      </w:r>
      <w:r>
        <w:br/>
      </w:r>
      <w:r>
        <w:rPr>
          <w:rStyle w:val="VerbatimChar"/>
        </w:rPr>
        <w:t xml:space="preserve">    bes_impact:   high | medium | low | n/a</w:t>
      </w:r>
      <w:r>
        <w:br/>
      </w:r>
      <w:r>
        <w:rPr>
          <w:rStyle w:val="VerbatimChar"/>
        </w:rPr>
        <w:t xml:space="preserve">    bes_role:     bcs | eacms | pacs | pca | bcsi-host | corporate-it</w:t>
      </w:r>
      <w:r>
        <w:br/>
      </w:r>
      <w:r>
        <w:rPr>
          <w:rStyle w:val="VerbatimChar"/>
        </w:rPr>
        <w:t xml:space="preserve">    bcs_id:       [reference to your CIP-002 register entry]</w:t>
      </w:r>
      <w:r>
        <w:br/>
      </w:r>
      <w:r>
        <w:rPr>
          <w:rStyle w:val="VerbatimChar"/>
        </w:rPr>
        <w:t xml:space="preserve">    esp_member:   true | false</w:t>
      </w:r>
      <w:r>
        <w:br/>
      </w:r>
      <w:r>
        <w:rPr>
          <w:rStyle w:val="VerbatimChar"/>
        </w:rPr>
        <w:t xml:space="preserve">    facility:     [station/plant name]</w:t>
      </w:r>
      <w:r>
        <w:br/>
      </w:r>
      <w:r>
        <w:rPr>
          <w:rStyle w:val="VerbatimChar"/>
        </w:rPr>
        <w:t xml:space="preserve">    region:       [Regional Entity scope: WECC | NPCC | RF | SERC | TRE | MRO]</w:t>
      </w:r>
      <w:r>
        <w:br/>
      </w:r>
      <w:r>
        <w:br/>
      </w:r>
      <w:r>
        <w:rPr>
          <w:rStyle w:val="VerbatimChar"/>
        </w:rPr>
        <w:t xml:space="preserve">Step 3: Build CSW Scopes per (region, facility, bes_role)</w:t>
      </w:r>
      <w:r>
        <w:br/>
      </w:r>
      <w:r>
        <w:rPr>
          <w:rStyle w:val="VerbatimChar"/>
        </w:rPr>
        <w:t xml:space="preserve">  CSW UI → Organize → Scopes → New</w:t>
      </w:r>
      <w:r>
        <w:br/>
      </w:r>
      <w:r>
        <w:rPr>
          <w:rStyle w:val="VerbatimChar"/>
        </w:rPr>
        <w:t xml:space="preserve">  → Recommended hierarchy:</w:t>
      </w:r>
      <w:r>
        <w:br/>
      </w:r>
      <w:r>
        <w:rPr>
          <w:rStyle w:val="VerbatimChar"/>
        </w:rPr>
        <w:t xml:space="preserve">        Root</w:t>
      </w:r>
      <w:r>
        <w:br/>
      </w:r>
      <w:r>
        <w:rPr>
          <w:rStyle w:val="VerbatimChar"/>
        </w:rPr>
        <w:t xml:space="preserve">        └── BES-Estate</w:t>
      </w:r>
      <w:r>
        <w:br/>
      </w:r>
      <w:r>
        <w:rPr>
          <w:rStyle w:val="VerbatimChar"/>
        </w:rPr>
        <w:t xml:space="preserve">            ├── EACMS</w:t>
      </w:r>
      <w:r>
        <w:br/>
      </w:r>
      <w:r>
        <w:rPr>
          <w:rStyle w:val="VerbatimChar"/>
        </w:rPr>
        <w:t xml:space="preserve">            │   ├── Jump-Hosts</w:t>
      </w:r>
      <w:r>
        <w:br/>
      </w:r>
      <w:r>
        <w:rPr>
          <w:rStyle w:val="VerbatimChar"/>
        </w:rPr>
        <w:t xml:space="preserve">            │   ├── Vendor-Access-Hosts</w:t>
      </w:r>
      <w:r>
        <w:br/>
      </w:r>
      <w:r>
        <w:rPr>
          <w:rStyle w:val="VerbatimChar"/>
        </w:rPr>
        <w:t xml:space="preserve">            │   ├── Identity-and-PKI</w:t>
      </w:r>
      <w:r>
        <w:br/>
      </w:r>
      <w:r>
        <w:rPr>
          <w:rStyle w:val="VerbatimChar"/>
        </w:rPr>
        <w:t xml:space="preserve">            │   └── Patch-Repositories</w:t>
      </w:r>
      <w:r>
        <w:br/>
      </w:r>
      <w:r>
        <w:rPr>
          <w:rStyle w:val="VerbatimChar"/>
        </w:rPr>
        <w:t xml:space="preserve">            ├── BCSI-Hosts</w:t>
      </w:r>
      <w:r>
        <w:br/>
      </w:r>
      <w:r>
        <w:rPr>
          <w:rStyle w:val="VerbatimChar"/>
        </w:rPr>
        <w:t xml:space="preserve">            │   ├── Engineering-Workstations</w:t>
      </w:r>
      <w:r>
        <w:br/>
      </w:r>
      <w:r>
        <w:rPr>
          <w:rStyle w:val="VerbatimChar"/>
        </w:rPr>
        <w:t xml:space="preserve">            │   ├── Historians</w:t>
      </w:r>
      <w:r>
        <w:br/>
      </w:r>
      <w:r>
        <w:rPr>
          <w:rStyle w:val="VerbatimChar"/>
        </w:rPr>
        <w:t xml:space="preserve">            │   └── Document-Repositories</w:t>
      </w:r>
      <w:r>
        <w:br/>
      </w:r>
      <w:r>
        <w:rPr>
          <w:rStyle w:val="VerbatimChar"/>
        </w:rPr>
        <w:t xml:space="preserve">            ├── PACS-Supporting-IT</w:t>
      </w:r>
      <w:r>
        <w:br/>
      </w:r>
      <w:r>
        <w:rPr>
          <w:rStyle w:val="VerbatimChar"/>
        </w:rPr>
        <w:t xml:space="preserve">            └── Corporate-IT (everything else, default-deny target)</w:t>
      </w:r>
      <w:r>
        <w:br/>
      </w:r>
      <w:r>
        <w:br/>
      </w:r>
      <w:r>
        <w:rPr>
          <w:rStyle w:val="VerbatimChar"/>
        </w:rPr>
        <w:t xml:space="preserve">Step 4: Validate scope membership against the CIP-002 register</w:t>
      </w:r>
      <w:r>
        <w:br/>
      </w:r>
      <w:r>
        <w:rPr>
          <w:rStyle w:val="VerbatimChar"/>
        </w:rPr>
        <w:t xml:space="preserve">  → Cross-check CSW count vs. the register; reconcile any delta with</w:t>
      </w:r>
      <w:r>
        <w:br/>
      </w:r>
      <w:r>
        <w:rPr>
          <w:rStyle w:val="VerbatimChar"/>
        </w:rPr>
        <w:t xml:space="preserve">    the BES Cyber System Asset Owner before formal sign-off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Per-scope membership snapshot (CSV) with workload</w:t>
      </w:r>
      <w:r>
        <w:t xml:space="preserve"> </w:t>
      </w:r>
      <w:r>
        <w:t xml:space="preserve">identity, OS, owner, BCS reference, ESP membership flag, and last-</w:t>
      </w:r>
      <w:r>
        <w:t xml:space="preserve"> </w:t>
      </w:r>
      <w:r>
        <w:t xml:space="preserve">seen timestamp. This becomes the IT-side companion to your CIP-002</w:t>
      </w:r>
      <w:r>
        <w:t xml:space="preserve"> </w:t>
      </w:r>
      <w:r>
        <w:t xml:space="preserve">identification list.</w:t>
      </w:r>
    </w:p>
    <w:p>
      <w:r>
        <w:pict>
          <v:rect style="width:0;height:1.5pt" o:hralign="center" o:hrstd="t" o:hr="t"/>
        </w:pict>
      </w:r>
    </w:p>
    <w:bookmarkEnd w:id="22"/>
    <w:bookmarkStart w:id="23" w:name="X96263173f167807e9079846e31398d0f731aa0e"/>
    <w:p>
      <w:pPr>
        <w:pStyle w:val="Heading2"/>
      </w:pPr>
      <w:r>
        <w:t xml:space="preserve">3. CIP-005 R1 — Electronic Security Perimeter (ESP) Boundary</w:t>
      </w:r>
    </w:p>
    <w:p>
      <w:pPr>
        <w:pStyle w:val="FirstParagraph"/>
      </w:pPr>
      <w:r>
        <w:t xml:space="preserve">CIP-005 R1 requires the ESP to surround every Cyber Asset designated</w:t>
      </w:r>
      <w:r>
        <w:t xml:space="preserve"> </w:t>
      </w:r>
      <w:r>
        <w:t xml:space="preserve">as part of a BES Cyber System (per the applicability matrix).</w:t>
      </w:r>
      <w:r>
        <w:t xml:space="preserve"> </w:t>
      </w:r>
      <w:r>
        <w:t xml:space="preserve">Communication crossing the ESP must be through documented Electronic</w:t>
      </w:r>
      <w:r>
        <w:t xml:space="preserve"> </w:t>
      </w:r>
      <w:r>
        <w:t xml:space="preserve">Access Points (EAPs), and only if necessary.</w:t>
      </w:r>
    </w:p>
    <w:p>
      <w:pPr>
        <w:pStyle w:val="BodyText"/>
      </w:pPr>
      <w:r>
        <w:rPr>
          <w:b/>
          <w:bCs/>
        </w:rPr>
        <w:t xml:space="preserve">Architectural reality.</w:t>
      </w:r>
      <w:r>
        <w:t xml:space="preserve"> </w:t>
      </w:r>
      <w:r>
        <w:t xml:space="preserve">Your ESP boundary firewalls (the EAPs)</w:t>
      </w:r>
      <w:r>
        <w:t xml:space="preserve"> </w:t>
      </w:r>
      <w:r>
        <w:t xml:space="preserve">remain the controlling artefact for the ESP perimeter itself. CSW</w:t>
      </w:r>
      <w:r>
        <w:t xml:space="preserve"> </w:t>
      </w:r>
      <w:r>
        <w:t xml:space="preserve">contributes by ensuring</w:t>
      </w:r>
      <w:r>
        <w:t xml:space="preserve"> </w:t>
      </w:r>
      <w:r>
        <w:rPr>
          <w:i/>
          <w:iCs/>
        </w:rPr>
        <w:t xml:space="preserve">the IT-side of that boundary is itself</w:t>
      </w:r>
      <w:r>
        <w:rPr>
          <w:i/>
          <w:iCs/>
        </w:rPr>
        <w:t xml:space="preserve"> </w:t>
      </w:r>
      <w:r>
        <w:rPr>
          <w:i/>
          <w:iCs/>
        </w:rPr>
        <w:t xml:space="preserve">segmented</w:t>
      </w:r>
      <w:r>
        <w:t xml:space="preserve">, so that a compromised corporate-IT host cannot reach the</w:t>
      </w:r>
      <w:r>
        <w:t xml:space="preserve"> </w:t>
      </w:r>
      <w:r>
        <w:t xml:space="preserve">EAP from an undocumented direction.</w:t>
      </w:r>
    </w:p>
    <w:p>
      <w:pPr>
        <w:pStyle w:val="BodyText"/>
      </w:pPr>
      <w:r>
        <w:rPr>
          <w:b/>
          <w:bCs/>
        </w:rPr>
        <w:t xml:space="preserve">CSW Implementation — IT-side ESP enclave segmentation:</w:t>
      </w:r>
    </w:p>
    <w:p>
      <w:pPr>
        <w:pStyle w:val="SourceCode"/>
      </w:pPr>
      <w:r>
        <w:rPr>
          <w:rStyle w:val="VerbatimChar"/>
        </w:rPr>
        <w:t xml:space="preserve">Step 1: Define the IT-side ESP enclave policy workspace</w:t>
      </w:r>
      <w:r>
        <w:br/>
      </w:r>
      <w:r>
        <w:rPr>
          <w:rStyle w:val="VerbatimChar"/>
        </w:rPr>
        <w:t xml:space="preserve">  CSW UI → Defend → Segmentation → New Workspace</w:t>
      </w:r>
      <w:r>
        <w:br/>
      </w:r>
      <w:r>
        <w:rPr>
          <w:rStyle w:val="VerbatimChar"/>
        </w:rPr>
        <w:t xml:space="preserve">  Name: nerc-cip-esp-it-side-{facility}</w:t>
      </w:r>
      <w:r>
        <w:br/>
      </w:r>
      <w:r>
        <w:rPr>
          <w:rStyle w:val="VerbatimChar"/>
        </w:rPr>
        <w:t xml:space="preserve">  Scope: facility = {facility} AND bes_role IN (eacms, bcsi-host)</w:t>
      </w:r>
      <w:r>
        <w:br/>
      </w:r>
      <w:r>
        <w:br/>
      </w:r>
      <w:r>
        <w:rPr>
          <w:rStyle w:val="VerbatimChar"/>
        </w:rPr>
        <w:t xml:space="preserve">Step 2: Compute the as-observed baseline via ADM</w:t>
      </w:r>
      <w:r>
        <w:br/>
      </w:r>
      <w:r>
        <w:rPr>
          <w:rStyle w:val="VerbatimChar"/>
        </w:rPr>
        <w:t xml:space="preserve">  Run ADM ≥ 14 days; capture month-end maintenance windows</w:t>
      </w:r>
      <w:r>
        <w:br/>
      </w:r>
      <w:r>
        <w:rPr>
          <w:rStyle w:val="VerbatimChar"/>
        </w:rPr>
        <w:t xml:space="preserve">  Reject "noise" clusters; rename clusters to BES-relevant roles</w:t>
      </w:r>
      <w:r>
        <w:br/>
      </w:r>
      <w:r>
        <w:br/>
      </w:r>
      <w:r>
        <w:rPr>
          <w:rStyle w:val="VerbatimChar"/>
        </w:rPr>
        <w:t xml:space="preserve">Step 3: Layer CIP-aligned hardening rules on top of the baseline</w:t>
      </w:r>
      <w:r>
        <w:br/>
      </w:r>
      <w:r>
        <w:rPr>
          <w:rStyle w:val="VerbatimChar"/>
        </w:rPr>
        <w:t xml:space="preserve">  DENY:  Corporate-IT → EAP-IP-set</w:t>
      </w:r>
      <w:r>
        <w:br/>
      </w:r>
      <w:r>
        <w:rPr>
          <w:rStyle w:val="VerbatimChar"/>
        </w:rPr>
        <w:t xml:space="preserve">         (only documented hosts may reach the EAP firewall pair)</w:t>
      </w:r>
      <w:r>
        <w:br/>
      </w:r>
      <w:r>
        <w:rPr>
          <w:rStyle w:val="VerbatimChar"/>
        </w:rPr>
        <w:t xml:space="preserve">  DENY:  Corporate-IT → BCSI-hosts</w:t>
      </w:r>
      <w:r>
        <w:br/>
      </w:r>
      <w:r>
        <w:rPr>
          <w:rStyle w:val="VerbatimChar"/>
        </w:rPr>
        <w:t xml:space="preserve">         (engineering workstations and historians get a managed gateway)</w:t>
      </w:r>
      <w:r>
        <w:br/>
      </w:r>
      <w:r>
        <w:rPr>
          <w:rStyle w:val="VerbatimChar"/>
        </w:rPr>
        <w:t xml:space="preserve">  DENY:  EACMS → Internet</w:t>
      </w:r>
      <w:r>
        <w:br/>
      </w:r>
      <w:r>
        <w:rPr>
          <w:rStyle w:val="VerbatimChar"/>
        </w:rPr>
        <w:t xml:space="preserve">         (jump hosts, AD, PKI never directly egress to the public</w:t>
      </w:r>
      <w:r>
        <w:br/>
      </w:r>
      <w:r>
        <w:rPr>
          <w:rStyle w:val="VerbatimChar"/>
        </w:rPr>
        <w:t xml:space="preserve">          internet)</w:t>
      </w:r>
      <w:r>
        <w:br/>
      </w:r>
      <w:r>
        <w:rPr>
          <w:rStyle w:val="VerbatimChar"/>
        </w:rPr>
        <w:t xml:space="preserve">  ALLOW: Vendor-Access-Hosts → vendor-allowlisted FQDNs only</w:t>
      </w:r>
      <w:r>
        <w:br/>
      </w:r>
      <w:r>
        <w:rPr>
          <w:rStyle w:val="VerbatimChar"/>
        </w:rPr>
        <w:t xml:space="preserve">         (covers CIP-013 R1.2.5 and R1.2.6 vendor remote access path)</w:t>
      </w:r>
      <w:r>
        <w:br/>
      </w:r>
      <w:r>
        <w:rPr>
          <w:rStyle w:val="VerbatimChar"/>
        </w:rPr>
        <w:t xml:space="preserve">  LOG:   Any unmatched flow inbound to EACMS or BCSI-hosts</w:t>
      </w:r>
      <w:r>
        <w:br/>
      </w:r>
      <w:r>
        <w:rPr>
          <w:rStyle w:val="VerbatimChar"/>
        </w:rPr>
        <w:t xml:space="preserve">         (becomes a CIP-008 candidate event)</w:t>
      </w:r>
      <w:r>
        <w:br/>
      </w:r>
      <w:r>
        <w:br/>
      </w:r>
      <w:r>
        <w:rPr>
          <w:rStyle w:val="VerbatimChar"/>
        </w:rPr>
        <w:t xml:space="preserve">Step 4: Run in Simulation for ≥ 30 days</w:t>
      </w:r>
      <w:r>
        <w:br/>
      </w:r>
      <w:r>
        <w:rPr>
          <w:rStyle w:val="VerbatimChar"/>
        </w:rPr>
        <w:t xml:space="preserve">  → Resolve every legitimate-but-blocked flow with the asset owner;</w:t>
      </w:r>
      <w:r>
        <w:br/>
      </w:r>
      <w:r>
        <w:rPr>
          <w:rStyle w:val="VerbatimChar"/>
        </w:rPr>
        <w:t xml:space="preserve">    document each exception in the workspace notes for the audit</w:t>
      </w:r>
      <w:r>
        <w:br/>
      </w:r>
      <w:r>
        <w:rPr>
          <w:rStyle w:val="VerbatimChar"/>
        </w:rPr>
        <w:t xml:space="preserve">    trail referenced from CIP-005 R1.5.</w:t>
      </w:r>
      <w:r>
        <w:br/>
      </w:r>
      <w:r>
        <w:br/>
      </w:r>
      <w:r>
        <w:rPr>
          <w:rStyle w:val="VerbatimChar"/>
        </w:rPr>
        <w:t xml:space="preserve">Step 5: Promote to Enforce; gate by change-management approval</w:t>
      </w:r>
      <w:r>
        <w:br/>
      </w:r>
      <w:r>
        <w:rPr>
          <w:rStyle w:val="VerbatimChar"/>
        </w:rPr>
        <w:t xml:space="preserve">  → Each subsequent change captured in CSW change history; this is</w:t>
      </w:r>
      <w:r>
        <w:br/>
      </w:r>
      <w:r>
        <w:rPr>
          <w:rStyle w:val="VerbatimChar"/>
        </w:rPr>
        <w:t xml:space="preserve">    the IT-side complement to your CIP-005 R1 documentation.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workspace export per facility; (b) simulation→</w:t>
      </w:r>
      <w:r>
        <w:t xml:space="preserve"> </w:t>
      </w:r>
      <w:r>
        <w:t xml:space="preserve">enforcement transition log; (c) quarterly enforcement diff report</w:t>
      </w:r>
      <w:r>
        <w:t xml:space="preserve"> </w:t>
      </w:r>
      <w:r>
        <w:t xml:space="preserve">delivered to the CIP Senior Manager.</w:t>
      </w:r>
    </w:p>
    <w:p>
      <w:r>
        <w:pict>
          <v:rect style="width:0;height:1.5pt" o:hralign="center" o:hrstd="t" o:hr="t"/>
        </w:pict>
      </w:r>
    </w:p>
    <w:bookmarkEnd w:id="23"/>
    <w:bookmarkStart w:id="24" w:name="Xc92c33f08bd66c71c27bcc0744f1d4449e51881"/>
    <w:p>
      <w:pPr>
        <w:pStyle w:val="Heading2"/>
      </w:pPr>
      <w:r>
        <w:t xml:space="preserve">4. CIP-005 R2 — Interactive Remote Access (IRA)</w:t>
      </w:r>
    </w:p>
    <w:p>
      <w:pPr>
        <w:pStyle w:val="FirstParagraph"/>
      </w:pPr>
      <w:r>
        <w:t xml:space="preserve">CIP-005 R2 requires IRA to terminate at an Intermediate System with</w:t>
      </w:r>
      <w:r>
        <w:t xml:space="preserve"> </w:t>
      </w:r>
      <w:r>
        <w:t xml:space="preserve">multi-factor authentication and encryption. The Intermediate System</w:t>
      </w:r>
      <w:r>
        <w:t xml:space="preserve"> </w:t>
      </w:r>
      <w:r>
        <w:t xml:space="preserve">is itself a Cyber Asset and inherits the protections of its impact</w:t>
      </w:r>
      <w:r>
        <w:t xml:space="preserve"> </w:t>
      </w:r>
      <w:r>
        <w:t xml:space="preserve">rating.</w:t>
      </w:r>
    </w:p>
    <w:p>
      <w:pPr>
        <w:pStyle w:val="BodyText"/>
      </w:pPr>
      <w:r>
        <w:rPr>
          <w:b/>
          <w:bCs/>
        </w:rPr>
        <w:t xml:space="preserve">CSW Implementation — Intermediate System enforcement:</w:t>
      </w:r>
    </w:p>
    <w:p>
      <w:pPr>
        <w:pStyle w:val="SourceCode"/>
      </w:pPr>
      <w:r>
        <w:rPr>
          <w:rStyle w:val="VerbatimChar"/>
        </w:rPr>
        <w:t xml:space="preserve">Step 1: Identify the Intermediate System(s) in CSW</w:t>
      </w:r>
      <w:r>
        <w:br/>
      </w:r>
      <w:r>
        <w:rPr>
          <w:rStyle w:val="VerbatimChar"/>
        </w:rPr>
        <w:t xml:space="preserve">  → Apply label: ira_intermediate = true; bes_role = eacms</w:t>
      </w:r>
      <w:r>
        <w:br/>
      </w:r>
      <w:r>
        <w:br/>
      </w:r>
      <w:r>
        <w:rPr>
          <w:rStyle w:val="VerbatimChar"/>
        </w:rPr>
        <w:t xml:space="preserve">Step 2: Build the IRA-only ingress policy</w:t>
      </w:r>
      <w:r>
        <w:br/>
      </w:r>
      <w:r>
        <w:rPr>
          <w:rStyle w:val="VerbatimChar"/>
        </w:rPr>
        <w:t xml:space="preserve">  ALLOW: {your-MFA-VPN-pool} → ira_intermediate = true</w:t>
      </w:r>
      <w:r>
        <w:br/>
      </w:r>
      <w:r>
        <w:rPr>
          <w:rStyle w:val="VerbatimChar"/>
        </w:rPr>
        <w:t xml:space="preserve">         (port 443 / 22 / 3389 as documented)</w:t>
      </w:r>
      <w:r>
        <w:br/>
      </w:r>
      <w:r>
        <w:rPr>
          <w:rStyle w:val="VerbatimChar"/>
        </w:rPr>
        <w:t xml:space="preserve">  DENY:  Any → ira_intermediate = false (when accessed via the IRA</w:t>
      </w:r>
      <w:r>
        <w:br/>
      </w:r>
      <w:r>
        <w:rPr>
          <w:rStyle w:val="VerbatimChar"/>
        </w:rPr>
        <w:t xml:space="preserve">         path)</w:t>
      </w:r>
      <w:r>
        <w:br/>
      </w:r>
      <w:r>
        <w:br/>
      </w:r>
      <w:r>
        <w:rPr>
          <w:rStyle w:val="VerbatimChar"/>
        </w:rPr>
        <w:t xml:space="preserve">Step 3: Build the IRA-only egress policy from the Intermediate System</w:t>
      </w:r>
      <w:r>
        <w:br/>
      </w:r>
      <w:r>
        <w:rPr>
          <w:rStyle w:val="VerbatimChar"/>
        </w:rPr>
        <w:t xml:space="preserve">  ALLOW: ira_intermediate = true → {documented BES Cyber Asset set}</w:t>
      </w:r>
      <w:r>
        <w:br/>
      </w:r>
      <w:r>
        <w:rPr>
          <w:rStyle w:val="VerbatimChar"/>
        </w:rPr>
        <w:t xml:space="preserve">         (port + protocol per the CIP-005 R2 Part 2.2 documentation)</w:t>
      </w:r>
      <w:r>
        <w:br/>
      </w:r>
      <w:r>
        <w:rPr>
          <w:rStyle w:val="VerbatimChar"/>
        </w:rPr>
        <w:t xml:space="preserve">  DENY:  ira_intermediate = true → Internet</w:t>
      </w:r>
      <w:r>
        <w:br/>
      </w:r>
      <w:r>
        <w:rPr>
          <w:rStyle w:val="VerbatimChar"/>
        </w:rPr>
        <w:t xml:space="preserve">         (no direct internet from a jump host; covers CIP-005 R2.2)</w:t>
      </w:r>
      <w:r>
        <w:br/>
      </w:r>
      <w:r>
        <w:br/>
      </w:r>
      <w:r>
        <w:rPr>
          <w:rStyle w:val="VerbatimChar"/>
        </w:rPr>
        <w:t xml:space="preserve">Step 4: Capture session telemetry for forensics</w:t>
      </w:r>
      <w:r>
        <w:br/>
      </w:r>
      <w:r>
        <w:rPr>
          <w:rStyle w:val="VerbatimChar"/>
        </w:rPr>
        <w:t xml:space="preserve">  → CSW retains every flow with byte counts and process attribution</w:t>
      </w:r>
      <w:r>
        <w:br/>
      </w:r>
      <w:r>
        <w:rPr>
          <w:rStyle w:val="VerbatimChar"/>
        </w:rPr>
        <w:t xml:space="preserve">  → Pair with your IRA recording solution (Bastion logs, terminal</w:t>
      </w:r>
      <w:r>
        <w:br/>
      </w:r>
      <w:r>
        <w:rPr>
          <w:rStyle w:val="VerbatimChar"/>
        </w:rPr>
        <w:t xml:space="preserve">    recording) — CSW is the network-side complement, not a session</w:t>
      </w:r>
      <w:r>
        <w:br/>
      </w:r>
      <w:r>
        <w:rPr>
          <w:rStyle w:val="VerbatimChar"/>
        </w:rPr>
        <w:t xml:space="preserve">    recorder</w:t>
      </w:r>
      <w:r>
        <w:br/>
      </w:r>
      <w:r>
        <w:br/>
      </w:r>
      <w:r>
        <w:rPr>
          <w:rStyle w:val="VerbatimChar"/>
        </w:rPr>
        <w:t xml:space="preserve">Step 5: Schedule weekly IRA-pattern review</w:t>
      </w:r>
      <w:r>
        <w:br/>
      </w:r>
      <w:r>
        <w:rPr>
          <w:rStyle w:val="VerbatimChar"/>
        </w:rPr>
        <w:t xml:space="preserve">  → Generate report: every flow originating from ira_intermediate = true</w:t>
      </w:r>
      <w:r>
        <w:br/>
      </w:r>
      <w:r>
        <w:rPr>
          <w:rStyle w:val="VerbatimChar"/>
        </w:rPr>
        <w:t xml:space="preserve">    grouped by destination workload, port, and observation count</w:t>
      </w:r>
      <w:r>
        <w:br/>
      </w:r>
      <w:r>
        <w:rPr>
          <w:rStyle w:val="VerbatimChar"/>
        </w:rPr>
        <w:t xml:space="preserve">  → CIP-005 R2 evidence: artefact dated within the audit window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IRA workspace policy export; (b) weekly IRA-flow</w:t>
      </w:r>
      <w:r>
        <w:t xml:space="preserve"> </w:t>
      </w:r>
      <w:r>
        <w:t xml:space="preserve">report; (c) any anomaly events from the unmatched-flow log.</w:t>
      </w:r>
    </w:p>
    <w:p>
      <w:r>
        <w:pict>
          <v:rect style="width:0;height:1.5pt" o:hralign="center" o:hrstd="t" o:hr="t"/>
        </w:pict>
      </w:r>
    </w:p>
    <w:bookmarkEnd w:id="24"/>
    <w:bookmarkStart w:id="25" w:name="X08d9179234972f8e5cb8e07f3208322c4394648"/>
    <w:p>
      <w:pPr>
        <w:pStyle w:val="Heading2"/>
      </w:pPr>
      <w:r>
        <w:t xml:space="preserve">5. CIP-007 R1 — Ports and Services</w:t>
      </w:r>
    </w:p>
    <w:p>
      <w:pPr>
        <w:pStyle w:val="FirstParagraph"/>
      </w:pPr>
      <w:r>
        <w:t xml:space="preserve">CIP-007 R1.1 requires that for every applicable Cyber Asset, only</w:t>
      </w:r>
      <w:r>
        <w:t xml:space="preserve"> </w:t>
      </w:r>
      <w:r>
        <w:t xml:space="preserve">network-accessible logical ports and services that are needed are</w:t>
      </w:r>
      <w:r>
        <w:t xml:space="preserve"> </w:t>
      </w:r>
      <w:r>
        <w:t xml:space="preserve">enabled.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Inventory observed listening services per workload</w:t>
      </w:r>
      <w:r>
        <w:br/>
      </w:r>
      <w:r>
        <w:rPr>
          <w:rStyle w:val="VerbatimChar"/>
        </w:rPr>
        <w:t xml:space="preserve">  CSW UI → Investigate → Inventory → Workload → Open Ports</w:t>
      </w:r>
      <w:r>
        <w:br/>
      </w:r>
      <w:r>
        <w:rPr>
          <w:rStyle w:val="VerbatimChar"/>
        </w:rPr>
        <w:t xml:space="preserve">  → For each EACMS / BCSI-host:</w:t>
      </w:r>
      <w:r>
        <w:br/>
      </w:r>
      <w:r>
        <w:rPr>
          <w:rStyle w:val="VerbatimChar"/>
        </w:rPr>
        <w:t xml:space="preserve">        Listening port set</w:t>
      </w:r>
      <w:r>
        <w:br/>
      </w:r>
      <w:r>
        <w:rPr>
          <w:rStyle w:val="VerbatimChar"/>
        </w:rPr>
        <w:t xml:space="preserve">        Process bound to each port</w:t>
      </w:r>
      <w:r>
        <w:br/>
      </w:r>
      <w:r>
        <w:rPr>
          <w:rStyle w:val="VerbatimChar"/>
        </w:rPr>
        <w:t xml:space="preserve">        Network reachability scope (who currently reaches it)</w:t>
      </w:r>
      <w:r>
        <w:br/>
      </w:r>
      <w:r>
        <w:br/>
      </w:r>
      <w:r>
        <w:rPr>
          <w:rStyle w:val="VerbatimChar"/>
        </w:rPr>
        <w:t xml:space="preserve">Step 2: Cross-reference against CIP-007 R1.1 baseline</w:t>
      </w:r>
      <w:r>
        <w:br/>
      </w:r>
      <w:r>
        <w:rPr>
          <w:rStyle w:val="VerbatimChar"/>
        </w:rPr>
        <w:t xml:space="preserve">  → For every observed listening port, confirm:</w:t>
      </w:r>
      <w:r>
        <w:br/>
      </w:r>
      <w:r>
        <w:rPr>
          <w:rStyle w:val="VerbatimChar"/>
        </w:rPr>
        <w:t xml:space="preserve">        (a) it's in the documented baseline;</w:t>
      </w:r>
      <w:r>
        <w:br/>
      </w:r>
      <w:r>
        <w:rPr>
          <w:rStyle w:val="VerbatimChar"/>
        </w:rPr>
        <w:t xml:space="preserve">        (b) it's actually used (CSW shows last-flow timestamp);</w:t>
      </w:r>
      <w:r>
        <w:br/>
      </w:r>
      <w:r>
        <w:rPr>
          <w:rStyle w:val="VerbatimChar"/>
        </w:rPr>
        <w:t xml:space="preserve">        (c) the source set is intentional and documented.</w:t>
      </w:r>
      <w:r>
        <w:br/>
      </w:r>
      <w:r>
        <w:br/>
      </w:r>
      <w:r>
        <w:rPr>
          <w:rStyle w:val="VerbatimChar"/>
        </w:rPr>
        <w:t xml:space="preserve">Step 3: Generate the quarterly evidence pack</w:t>
      </w:r>
      <w:r>
        <w:br/>
      </w:r>
      <w:r>
        <w:rPr>
          <w:rStyle w:val="VerbatimChar"/>
        </w:rPr>
        <w:t xml:space="preserve">  → CSW report: per-workload listening-port inventory with last-</w:t>
      </w:r>
      <w:r>
        <w:br/>
      </w:r>
      <w:r>
        <w:rPr>
          <w:rStyle w:val="VerbatimChar"/>
        </w:rPr>
        <w:t xml:space="preserve">    observed-flow timestamp</w:t>
      </w:r>
      <w:r>
        <w:br/>
      </w:r>
      <w:r>
        <w:rPr>
          <w:rStyle w:val="VerbatimChar"/>
        </w:rPr>
        <w:t xml:space="preserve">  → Ports with no flow in 90+ days = candidate for closure under</w:t>
      </w:r>
      <w:r>
        <w:br/>
      </w:r>
      <w:r>
        <w:rPr>
          <w:rStyle w:val="VerbatimChar"/>
        </w:rPr>
        <w:t xml:space="preserve">    R1.1; route to Cyber Asset Owner for review.</w:t>
      </w:r>
      <w:r>
        <w:br/>
      </w:r>
      <w:r>
        <w:rPr>
          <w:rStyle w:val="VerbatimChar"/>
        </w:rPr>
        <w:t xml:space="preserve">  → Ports with unexpected source set = candidate exception or</w:t>
      </w:r>
      <w:r>
        <w:br/>
      </w:r>
      <w:r>
        <w:rPr>
          <w:rStyle w:val="VerbatimChar"/>
        </w:rPr>
        <w:t xml:space="preserve">    misconfiguration; raise as CIP-007 R2 patching/configuration</w:t>
      </w:r>
      <w:r>
        <w:br/>
      </w:r>
      <w:r>
        <w:rPr>
          <w:rStyle w:val="VerbatimChar"/>
        </w:rPr>
        <w:t xml:space="preserve">    finding before audit.</w:t>
      </w:r>
      <w:r>
        <w:br/>
      </w:r>
      <w:r>
        <w:br/>
      </w:r>
      <w:r>
        <w:rPr>
          <w:rStyle w:val="VerbatimChar"/>
        </w:rPr>
        <w:t xml:space="preserve">Step 4: Enforce port-level allowlist where possible</w:t>
      </w:r>
      <w:r>
        <w:br/>
      </w:r>
      <w:r>
        <w:rPr>
          <w:rStyle w:val="VerbatimChar"/>
        </w:rPr>
        <w:t xml:space="preserve">  → For EACMS not requiring broad reachability, add CSW policy that</w:t>
      </w:r>
      <w:r>
        <w:br/>
      </w:r>
      <w:r>
        <w:rPr>
          <w:rStyle w:val="VerbatimChar"/>
        </w:rPr>
        <w:t xml:space="preserve">    explicitly allows only the documented source set per port; deny</w:t>
      </w:r>
      <w:r>
        <w:br/>
      </w:r>
      <w:r>
        <w:rPr>
          <w:rStyle w:val="VerbatimChar"/>
        </w:rPr>
        <w:t xml:space="preserve">    everything else with audit logging.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per-workload listening-port inventory dated</w:t>
      </w:r>
      <w:r>
        <w:t xml:space="preserve"> </w:t>
      </w:r>
      <w:r>
        <w:t xml:space="preserve">quarterly; (b) source-set policy for each documented port; (c)</w:t>
      </w:r>
      <w:r>
        <w:t xml:space="preserve"> </w:t>
      </w:r>
      <w:r>
        <w:t xml:space="preserve">delta report between quarters.</w:t>
      </w:r>
    </w:p>
    <w:p>
      <w:r>
        <w:pict>
          <v:rect style="width:0;height:1.5pt" o:hralign="center" o:hrstd="t" o:hr="t"/>
        </w:pict>
      </w:r>
    </w:p>
    <w:bookmarkEnd w:id="25"/>
    <w:bookmarkStart w:id="26" w:name="Xd4a3b7dae38a8a68444d9b75245d2917d8a07a9"/>
    <w:p>
      <w:pPr>
        <w:pStyle w:val="Heading2"/>
      </w:pPr>
      <w:r>
        <w:t xml:space="preserve">6. CIP-007 R3 &amp; R4 — Malicious Code Prevention and Security Event Monitoring</w:t>
      </w:r>
    </w:p>
    <w:p>
      <w:pPr>
        <w:pStyle w:val="FirstParagraph"/>
      </w:pPr>
      <w:r>
        <w:t xml:space="preserve">CIP-007 R3 requires deployment of methods to deter, detect, or prevent</w:t>
      </w:r>
      <w:r>
        <w:t xml:space="preserve"> </w:t>
      </w:r>
      <w:r>
        <w:t xml:space="preserve">malicious code. R4 requires logging of security events at the Cyber</w:t>
      </w:r>
      <w:r>
        <w:t xml:space="preserve"> </w:t>
      </w:r>
      <w:r>
        <w:t xml:space="preserve">Asset level (or the BES Cyber System level for low-impact).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Enable behavioural / process-based detections on CSW-managed</w:t>
      </w:r>
      <w:r>
        <w:br/>
      </w:r>
      <w:r>
        <w:rPr>
          <w:rStyle w:val="VerbatimChar"/>
        </w:rPr>
        <w:t xml:space="preserve">        workloads</w:t>
      </w:r>
      <w:r>
        <w:br/>
      </w:r>
      <w:r>
        <w:rPr>
          <w:rStyle w:val="VerbatimChar"/>
        </w:rPr>
        <w:t xml:space="preserve">  CSW UI → Defend → Forensics → Rules</w:t>
      </w:r>
      <w:r>
        <w:br/>
      </w:r>
      <w:r>
        <w:rPr>
          <w:rStyle w:val="VerbatimChar"/>
        </w:rPr>
        <w:t xml:space="preserve">  → Out-of-the-box rules: privilege escalation, persistence, lateral</w:t>
      </w:r>
      <w:r>
        <w:br/>
      </w:r>
      <w:r>
        <w:rPr>
          <w:rStyle w:val="VerbatimChar"/>
        </w:rPr>
        <w:t xml:space="preserve">    movement, suspicious child processes</w:t>
      </w:r>
      <w:r>
        <w:br/>
      </w:r>
      <w:r>
        <w:rPr>
          <w:rStyle w:val="VerbatimChar"/>
        </w:rPr>
        <w:t xml:space="preserve">  → Custom rules: encode CIP-relevant abuse patterns</w:t>
      </w:r>
      <w:r>
        <w:br/>
      </w:r>
      <w:r>
        <w:rPr>
          <w:rStyle w:val="VerbatimChar"/>
        </w:rPr>
        <w:t xml:space="preserve">        Example: "Process on EACMS host writes to startup paths"</w:t>
      </w:r>
      <w:r>
        <w:br/>
      </w:r>
      <w:r>
        <w:rPr>
          <w:rStyle w:val="VerbatimChar"/>
        </w:rPr>
        <w:t xml:space="preserve">        Example: "Outbound to non-allowlisted FQDN from BCSI host"</w:t>
      </w:r>
      <w:r>
        <w:br/>
      </w:r>
      <w:r>
        <w:rPr>
          <w:rStyle w:val="VerbatimChar"/>
        </w:rPr>
        <w:t xml:space="preserve">        Example: "Execution of new binary not in baseline on jump host"</w:t>
      </w:r>
      <w:r>
        <w:br/>
      </w:r>
      <w:r>
        <w:br/>
      </w:r>
      <w:r>
        <w:rPr>
          <w:rStyle w:val="VerbatimChar"/>
        </w:rPr>
        <w:t xml:space="preserve">Step 2: Wire alerts to the SOC and to the CIP-008 incident process</w:t>
      </w:r>
      <w:r>
        <w:br/>
      </w:r>
      <w:r>
        <w:rPr>
          <w:rStyle w:val="VerbatimChar"/>
        </w:rPr>
        <w:t xml:space="preserve">  CSW UI → Manage → Data Tap → SIEM</w:t>
      </w:r>
      <w:r>
        <w:br/>
      </w:r>
      <w:r>
        <w:rPr>
          <w:rStyle w:val="VerbatimChar"/>
        </w:rPr>
        <w:t xml:space="preserve">  → Splunk, QRadar, Sentinel, Cisco XDR</w:t>
      </w:r>
      <w:r>
        <w:br/>
      </w:r>
      <w:r>
        <w:rPr>
          <w:rStyle w:val="VerbatimChar"/>
        </w:rPr>
        <w:t xml:space="preserve">  → Tag every alert with bes_impact and bcs_id so the SOC can route</w:t>
      </w:r>
      <w:r>
        <w:br/>
      </w:r>
      <w:r>
        <w:rPr>
          <w:rStyle w:val="VerbatimChar"/>
        </w:rPr>
        <w:t xml:space="preserve">    per Attachment 1 impact rating.</w:t>
      </w:r>
      <w:r>
        <w:br/>
      </w:r>
      <w:r>
        <w:br/>
      </w:r>
      <w:r>
        <w:rPr>
          <w:rStyle w:val="VerbatimChar"/>
        </w:rPr>
        <w:t xml:space="preserve">Step 3: Retain the per-event evidence for the CIP-007 R4 retention</w:t>
      </w:r>
      <w:r>
        <w:br/>
      </w:r>
      <w:r>
        <w:rPr>
          <w:rStyle w:val="VerbatimChar"/>
        </w:rPr>
        <w:t xml:space="preserve">        period (90 calendar days minimum unless your Regional Entity</w:t>
      </w:r>
      <w:r>
        <w:br/>
      </w:r>
      <w:r>
        <w:rPr>
          <w:rStyle w:val="VerbatimChar"/>
        </w:rPr>
        <w:t xml:space="preserve">        directs longer)</w:t>
      </w:r>
      <w:r>
        <w:br/>
      </w:r>
      <w:r>
        <w:rPr>
          <w:rStyle w:val="VerbatimChar"/>
        </w:rPr>
        <w:t xml:space="preserve">  → CSW keeps full flow + process context; export weekly to your</w:t>
      </w:r>
      <w:r>
        <w:br/>
      </w:r>
      <w:r>
        <w:rPr>
          <w:rStyle w:val="VerbatimChar"/>
        </w:rPr>
        <w:t xml:space="preserve">    long-term log store.</w:t>
      </w:r>
      <w:r>
        <w:br/>
      </w:r>
      <w:r>
        <w:br/>
      </w:r>
      <w:r>
        <w:rPr>
          <w:rStyle w:val="VerbatimChar"/>
        </w:rPr>
        <w:t xml:space="preserve">Step 4: Map detection-to-control coverage explicitly</w:t>
      </w:r>
      <w:r>
        <w:br/>
      </w:r>
      <w:r>
        <w:rPr>
          <w:rStyle w:val="VerbatimChar"/>
        </w:rPr>
        <w:t xml:space="preserve">  → CSW behavioural rule set → CIP-007 R3.1 (deter), R3.2 (detect),</w:t>
      </w:r>
      <w:r>
        <w:br/>
      </w:r>
      <w:r>
        <w:rPr>
          <w:rStyle w:val="VerbatimChar"/>
        </w:rPr>
        <w:t xml:space="preserve">    R3.3 (prevent — via simulation→enforce policy progression)</w:t>
      </w:r>
      <w:r>
        <w:br/>
      </w:r>
      <w:r>
        <w:rPr>
          <w:rStyle w:val="VerbatimChar"/>
        </w:rPr>
        <w:t xml:space="preserve">  → Document the mapping; this is the artefact your auditor will</w:t>
      </w:r>
      <w:r>
        <w:br/>
      </w:r>
      <w:r>
        <w:rPr>
          <w:rStyle w:val="VerbatimChar"/>
        </w:rPr>
        <w:t xml:space="preserve">    accept as your "method" under R3.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detection rule catalogue with last-modified dates</w:t>
      </w:r>
      <w:r>
        <w:t xml:space="preserve"> </w:t>
      </w:r>
      <w:r>
        <w:t xml:space="preserve">and CIP control coverage; (b) SIEM forwarding configuration</w:t>
      </w:r>
      <w:r>
        <w:t xml:space="preserve"> </w:t>
      </w:r>
      <w:r>
        <w:t xml:space="preserve">screenshot; (c) sample alert with full forensic context for at</w:t>
      </w:r>
      <w:r>
        <w:t xml:space="preserve"> </w:t>
      </w:r>
      <w:r>
        <w:t xml:space="preserve">least one event per quarter.</w:t>
      </w:r>
    </w:p>
    <w:p>
      <w:r>
        <w:pict>
          <v:rect style="width:0;height:1.5pt" o:hralign="center" o:hrstd="t" o:hr="t"/>
        </w:pict>
      </w:r>
    </w:p>
    <w:bookmarkEnd w:id="26"/>
    <w:bookmarkStart w:id="27" w:name="X99609e61265d1c10522d53aed264245d59519cf"/>
    <w:p>
      <w:pPr>
        <w:pStyle w:val="Heading2"/>
      </w:pPr>
      <w:r>
        <w:t xml:space="preserve">7. CIP-008 — Incident Reporting and Response Planning</w:t>
      </w:r>
    </w:p>
    <w:p>
      <w:pPr>
        <w:pStyle w:val="FirstParagraph"/>
      </w:pPr>
      <w:r>
        <w:t xml:space="preserve">CIP-008-6 R1.4 requires identification, classification, and response</w:t>
      </w:r>
      <w:r>
        <w:t xml:space="preserve"> </w:t>
      </w:r>
      <w:r>
        <w:t xml:space="preserve">plans for Cyber Security Incidents. R2 and R3 cover testing and</w:t>
      </w:r>
      <w:r>
        <w:t xml:space="preserve"> </w:t>
      </w:r>
      <w:r>
        <w:t xml:space="preserve">review. R4 added the reportable Cyber Security Incident notification</w:t>
      </w:r>
      <w:r>
        <w:t xml:space="preserve"> </w:t>
      </w:r>
      <w:r>
        <w:t xml:space="preserve">requirement.</w:t>
      </w:r>
    </w:p>
    <w:p>
      <w:pPr>
        <w:pStyle w:val="BodyText"/>
      </w:pPr>
      <w:r>
        <w:rPr>
          <w:b/>
          <w:bCs/>
        </w:rPr>
        <w:t xml:space="preserve">CSW Implementation — Incident Reconstruction Bundle:</w:t>
      </w:r>
    </w:p>
    <w:p>
      <w:pPr>
        <w:pStyle w:val="SourceCode"/>
      </w:pPr>
      <w:r>
        <w:rPr>
          <w:rStyle w:val="VerbatimChar"/>
        </w:rPr>
        <w:t xml:space="preserve">For each Cyber Security Incident on a CSW-managed workload, assemble:</w:t>
      </w:r>
      <w:r>
        <w:br/>
      </w:r>
      <w:r>
        <w:br/>
      </w:r>
      <w:r>
        <w:rPr>
          <w:rStyle w:val="VerbatimChar"/>
        </w:rPr>
        <w:t xml:space="preserve">  (a) Affected workload set</w:t>
      </w:r>
      <w:r>
        <w:br/>
      </w:r>
      <w:r>
        <w:rPr>
          <w:rStyle w:val="VerbatimChar"/>
        </w:rPr>
        <w:t xml:space="preserve">      → Inventory query: hostnames, IPs, OS, BCS labels, ESP membership</w:t>
      </w:r>
      <w:r>
        <w:br/>
      </w:r>
      <w:r>
        <w:br/>
      </w:r>
      <w:r>
        <w:rPr>
          <w:rStyle w:val="VerbatimChar"/>
        </w:rPr>
        <w:t xml:space="preserve">  (b) Time-anchored flow record</w:t>
      </w:r>
      <w:r>
        <w:br/>
      </w:r>
      <w:r>
        <w:rPr>
          <w:rStyle w:val="VerbatimChar"/>
        </w:rPr>
        <w:t xml:space="preserve">      → CSW historical conversations: source, destination, port, byte</w:t>
      </w:r>
      <w:r>
        <w:br/>
      </w:r>
      <w:r>
        <w:rPr>
          <w:rStyle w:val="VerbatimChar"/>
        </w:rPr>
        <w:t xml:space="preserve">        counts, timestamps, process attribution</w:t>
      </w:r>
      <w:r>
        <w:br/>
      </w:r>
      <w:r>
        <w:br/>
      </w:r>
      <w:r>
        <w:rPr>
          <w:rStyle w:val="VerbatimChar"/>
        </w:rPr>
        <w:t xml:space="preserve">  (c) Process activity record</w:t>
      </w:r>
      <w:r>
        <w:br/>
      </w:r>
      <w:r>
        <w:rPr>
          <w:rStyle w:val="VerbatimChar"/>
        </w:rPr>
        <w:t xml:space="preserve">      → Every process spawned on affected workloads in the window</w:t>
      </w:r>
      <w:r>
        <w:br/>
      </w:r>
      <w:r>
        <w:br/>
      </w:r>
      <w:r>
        <w:rPr>
          <w:rStyle w:val="VerbatimChar"/>
        </w:rPr>
        <w:t xml:space="preserve">  (d) Software footprint at time of incident</w:t>
      </w:r>
      <w:r>
        <w:br/>
      </w:r>
      <w:r>
        <w:rPr>
          <w:rStyle w:val="VerbatimChar"/>
        </w:rPr>
        <w:t xml:space="preserve">      → Package list, CVE exposure at that moment (not "today")</w:t>
      </w:r>
      <w:r>
        <w:br/>
      </w:r>
      <w:r>
        <w:br/>
      </w:r>
      <w:r>
        <w:rPr>
          <w:rStyle w:val="VerbatimChar"/>
        </w:rPr>
        <w:t xml:space="preserve">  (e) Containment evidence</w:t>
      </w:r>
      <w:r>
        <w:br/>
      </w:r>
      <w:r>
        <w:rPr>
          <w:rStyle w:val="VerbatimChar"/>
        </w:rPr>
        <w:t xml:space="preserve">      → Quarantine policy applied; flow drop count after policy;</w:t>
      </w:r>
      <w:r>
        <w:br/>
      </w:r>
      <w:r>
        <w:rPr>
          <w:rStyle w:val="VerbatimChar"/>
        </w:rPr>
        <w:t xml:space="preserve">        time-to-quarantine</w:t>
      </w:r>
      <w:r>
        <w:br/>
      </w:r>
      <w:r>
        <w:br/>
      </w:r>
      <w:r>
        <w:rPr>
          <w:rStyle w:val="VerbatimChar"/>
        </w:rPr>
        <w:t xml:space="preserve">  (f) Configuration baseline diff</w:t>
      </w:r>
      <w:r>
        <w:br/>
      </w:r>
      <w:r>
        <w:rPr>
          <w:rStyle w:val="VerbatimChar"/>
        </w:rPr>
        <w:t xml:space="preserve">      → CIP-010 R1.5 unauthorised-change candidate evidence</w:t>
      </w:r>
      <w:r>
        <w:br/>
      </w:r>
      <w:r>
        <w:br/>
      </w:r>
      <w:r>
        <w:rPr>
          <w:rStyle w:val="VerbatimChar"/>
        </w:rPr>
        <w:t xml:space="preserve">These six artefacts populate the incident dossier your CIP-008</w:t>
      </w:r>
      <w:r>
        <w:br/>
      </w:r>
      <w:r>
        <w:rPr>
          <w:rStyle w:val="VerbatimChar"/>
        </w:rPr>
        <w:t xml:space="preserve">process and your E-ISAC notification (when applicable under R4)</w:t>
      </w:r>
      <w:r>
        <w:br/>
      </w:r>
      <w:r>
        <w:rPr>
          <w:rStyle w:val="VerbatimChar"/>
        </w:rPr>
        <w:t xml:space="preserve">will draw from.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standard incident dossier template; (b) MTTD/MTTR</w:t>
      </w:r>
      <w:r>
        <w:t xml:space="preserve"> </w:t>
      </w:r>
      <w:r>
        <w:t xml:space="preserve">metrics by impact rating; (c) annual aggregate incident-trend</w:t>
      </w:r>
      <w:r>
        <w:t xml:space="preserve"> </w:t>
      </w:r>
      <w:r>
        <w:t xml:space="preserve">report for the CIP Senior Manager (CIP-003 R1.1 input).</w:t>
      </w:r>
    </w:p>
    <w:p>
      <w:r>
        <w:pict>
          <v:rect style="width:0;height:1.5pt" o:hralign="center" o:hrstd="t" o:hr="t"/>
        </w:pict>
      </w:r>
    </w:p>
    <w:bookmarkEnd w:id="27"/>
    <w:bookmarkStart w:id="30" w:name="Xb56f07cf0a43350e62f768d62c646bdcea00df6"/>
    <w:p>
      <w:pPr>
        <w:pStyle w:val="Heading2"/>
      </w:pPr>
      <w:r>
        <w:t xml:space="preserve">8. CIP-010 — Configuration Change Management &amp; Vulnerability Assessments</w:t>
      </w:r>
    </w:p>
    <w:bookmarkStart w:id="28" w:name="Xecb53ea484faca568091439950203635879d563"/>
    <w:p>
      <w:pPr>
        <w:pStyle w:val="Heading3"/>
      </w:pPr>
      <w:r>
        <w:t xml:space="preserve">8.1 R1 — Configuration Change Management</w:t>
      </w:r>
    </w:p>
    <w:p>
      <w:pPr>
        <w:pStyle w:val="FirstParagraph"/>
      </w:pPr>
      <w:r>
        <w:t xml:space="preserve">CIP-010-4 R1.1 requires a baseline configuration including operating</w:t>
      </w:r>
      <w:r>
        <w:t xml:space="preserve"> </w:t>
      </w:r>
      <w:r>
        <w:t xml:space="preserve">system or firmware (R1.1.1), commercially-installed software (R1.1.2),</w:t>
      </w:r>
      <w:r>
        <w:t xml:space="preserve"> </w:t>
      </w:r>
      <w:r>
        <w:t xml:space="preserve">custom-installed software (R1.1.3), logical network-accessible ports</w:t>
      </w:r>
      <w:r>
        <w:t xml:space="preserve"> </w:t>
      </w:r>
      <w:r>
        <w:t xml:space="preserve">(R1.1.4), and security patches (R1.1.5). R1.5 requires monitoring for</w:t>
      </w:r>
      <w:r>
        <w:t xml:space="preserve"> </w:t>
      </w:r>
      <w:r>
        <w:t xml:space="preserve">unauthorised change.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Capture the baseline per CSW-managed workload</w:t>
      </w:r>
      <w:r>
        <w:br/>
      </w:r>
      <w:r>
        <w:rPr>
          <w:rStyle w:val="VerbatimChar"/>
        </w:rPr>
        <w:t xml:space="preserve">  CSW UI → Investigate → Inventory → Workload → Software &amp; Packages</w:t>
      </w:r>
      <w:r>
        <w:br/>
      </w:r>
      <w:r>
        <w:rPr>
          <w:rStyle w:val="VerbatimChar"/>
        </w:rPr>
        <w:t xml:space="preserve">  → Auto-captured: OS, kernel, package list, version, install date</w:t>
      </w:r>
      <w:r>
        <w:br/>
      </w:r>
      <w:r>
        <w:rPr>
          <w:rStyle w:val="VerbatimChar"/>
        </w:rPr>
        <w:t xml:space="preserve">  → Schedule daily snapshot to CSW data tap or external store</w:t>
      </w:r>
      <w:r>
        <w:br/>
      </w:r>
      <w:r>
        <w:br/>
      </w:r>
      <w:r>
        <w:rPr>
          <w:rStyle w:val="VerbatimChar"/>
        </w:rPr>
        <w:t xml:space="preserve">Step 2: Add the CIP-010 R1.1.4 ports view to the same baseline</w:t>
      </w:r>
      <w:r>
        <w:br/>
      </w:r>
      <w:r>
        <w:rPr>
          <w:rStyle w:val="VerbatimChar"/>
        </w:rPr>
        <w:t xml:space="preserve">  → CSW already inventories listening ports per workload (see §5)</w:t>
      </w:r>
      <w:r>
        <w:br/>
      </w:r>
      <w:r>
        <w:rPr>
          <w:rStyle w:val="VerbatimChar"/>
        </w:rPr>
        <w:t xml:space="preserve">  → Snapshot the listening-port state alongside the package list</w:t>
      </w:r>
      <w:r>
        <w:br/>
      </w:r>
      <w:r>
        <w:br/>
      </w:r>
      <w:r>
        <w:rPr>
          <w:rStyle w:val="VerbatimChar"/>
        </w:rPr>
        <w:t xml:space="preserve">Step 3: Detect unauthorised change (R1.5)</w:t>
      </w:r>
      <w:r>
        <w:br/>
      </w:r>
      <w:r>
        <w:rPr>
          <w:rStyle w:val="VerbatimChar"/>
        </w:rPr>
        <w:t xml:space="preserve">  → CSW report: daily diff between today and yesterday's package list</w:t>
      </w:r>
      <w:r>
        <w:br/>
      </w:r>
      <w:r>
        <w:rPr>
          <w:rStyle w:val="VerbatimChar"/>
        </w:rPr>
        <w:t xml:space="preserve">  → CSW report: daily diff in listening ports</w:t>
      </w:r>
      <w:r>
        <w:br/>
      </w:r>
      <w:r>
        <w:rPr>
          <w:rStyle w:val="VerbatimChar"/>
        </w:rPr>
        <w:t xml:space="preserve">  → Each diff routes to:</w:t>
      </w:r>
      <w:r>
        <w:br/>
      </w:r>
      <w:r>
        <w:rPr>
          <w:rStyle w:val="VerbatimChar"/>
        </w:rPr>
        <w:t xml:space="preserve">        - Authorised? → record as expected change in your CMR</w:t>
      </w:r>
      <w:r>
        <w:br/>
      </w:r>
      <w:r>
        <w:rPr>
          <w:rStyle w:val="VerbatimChar"/>
        </w:rPr>
        <w:t xml:space="preserve">        - Unauthorised? → CIP-010 R1.5 evidence + CIP-008 candidate</w:t>
      </w:r>
      <w:r>
        <w:br/>
      </w:r>
      <w:r>
        <w:br/>
      </w:r>
      <w:r>
        <w:rPr>
          <w:rStyle w:val="VerbatimChar"/>
        </w:rPr>
        <w:t xml:space="preserve">Step 4: Tie the change record back to your change-management ticket</w:t>
      </w:r>
      <w:r>
        <w:br/>
      </w:r>
      <w:r>
        <w:rPr>
          <w:rStyle w:val="VerbatimChar"/>
        </w:rPr>
        <w:t xml:space="preserve">  → Correlate the CSW-detected change timestamp against your CM</w:t>
      </w:r>
      <w:r>
        <w:br/>
      </w:r>
      <w:r>
        <w:rPr>
          <w:rStyle w:val="VerbatimChar"/>
        </w:rPr>
        <w:t xml:space="preserve">    ticketing system (Remedy/ServiceNow/etc.); orphan changes are</w:t>
      </w:r>
      <w:r>
        <w:br/>
      </w:r>
      <w:r>
        <w:rPr>
          <w:rStyle w:val="VerbatimChar"/>
        </w:rPr>
        <w:t xml:space="preserve">    the unauthorised-change candidates.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baseline export per workload (R1.1); (b) daily</w:t>
      </w:r>
      <w:r>
        <w:t xml:space="preserve"> </w:t>
      </w:r>
      <w:r>
        <w:t xml:space="preserve">diff log with disposition (authorised vs. unauthorised); (c)</w:t>
      </w:r>
      <w:r>
        <w:t xml:space="preserve"> </w:t>
      </w:r>
      <w:r>
        <w:t xml:space="preserve">quarterly summary delivered to the CIP Senior Manager.</w:t>
      </w:r>
    </w:p>
    <w:bookmarkEnd w:id="28"/>
    <w:bookmarkStart w:id="29" w:name="Xba4e858ef38c06241a58bfbc51cb0803cdf4e2f"/>
    <w:p>
      <w:pPr>
        <w:pStyle w:val="Heading3"/>
      </w:pPr>
      <w:r>
        <w:t xml:space="preserve">8.2 R3 — Vulnerability Assessments</w:t>
      </w:r>
    </w:p>
    <w:p>
      <w:pPr>
        <w:pStyle w:val="FirstParagraph"/>
      </w:pPr>
      <w:r>
        <w:t xml:space="preserve">CIP-010-4 R3.1 (active VA on Highs every 15 calendar months; paper</w:t>
      </w:r>
      <w:r>
        <w:t xml:space="preserve"> </w:t>
      </w:r>
      <w:r>
        <w:t xml:space="preserve">VA on Mediums and Lows on different cadences per Part 3) and R3.2</w:t>
      </w:r>
      <w:r>
        <w:t xml:space="preserve"> </w:t>
      </w:r>
      <w:r>
        <w:t xml:space="preserve">(prior to commissioning Highs/Mediums) define the VA programme.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Continuous CVE inventory at workload level</w:t>
      </w:r>
      <w:r>
        <w:br/>
      </w:r>
      <w:r>
        <w:rPr>
          <w:rStyle w:val="VerbatimChar"/>
        </w:rPr>
        <w:t xml:space="preserve">  CSW UI → Investigate → Vulnerability Report</w:t>
      </w:r>
      <w:r>
        <w:br/>
      </w:r>
      <w:r>
        <w:rPr>
          <w:rStyle w:val="VerbatimChar"/>
        </w:rPr>
        <w:t xml:space="preserve">  → Per-workload CVE list with CVSS, exploit availability, EPSS score</w:t>
      </w:r>
      <w:r>
        <w:br/>
      </w:r>
      <w:r>
        <w:rPr>
          <w:rStyle w:val="VerbatimChar"/>
        </w:rPr>
        <w:t xml:space="preserve">  → Filter by bes_impact = high → highest-priority remediation queue</w:t>
      </w:r>
      <w:r>
        <w:br/>
      </w:r>
      <w:r>
        <w:br/>
      </w:r>
      <w:r>
        <w:rPr>
          <w:rStyle w:val="VerbatimChar"/>
        </w:rPr>
        <w:t xml:space="preserve">Step 2: Generate the active-VA evidence (R3.1) for High-impact assets</w:t>
      </w:r>
      <w:r>
        <w:br/>
      </w:r>
      <w:r>
        <w:rPr>
          <w:rStyle w:val="VerbatimChar"/>
        </w:rPr>
        <w:t xml:space="preserve">  → Quarterly CVE export tied to remediation ticket IDs</w:t>
      </w:r>
      <w:r>
        <w:br/>
      </w:r>
      <w:r>
        <w:rPr>
          <w:rStyle w:val="VerbatimChar"/>
        </w:rPr>
        <w:t xml:space="preserve">  → Includes: discovery date, severity, exploit-in-the-wild status,</w:t>
      </w:r>
      <w:r>
        <w:br/>
      </w:r>
      <w:r>
        <w:rPr>
          <w:rStyle w:val="VerbatimChar"/>
        </w:rPr>
        <w:t xml:space="preserve">    patch availability, applied-by date</w:t>
      </w:r>
      <w:r>
        <w:br/>
      </w:r>
      <w:r>
        <w:br/>
      </w:r>
      <w:r>
        <w:rPr>
          <w:rStyle w:val="VerbatimChar"/>
        </w:rPr>
        <w:t xml:space="preserve">Step 3: Generate the paper-VA evidence (R3.1) for Medium-impact assets</w:t>
      </w:r>
      <w:r>
        <w:br/>
      </w:r>
      <w:r>
        <w:rPr>
          <w:rStyle w:val="VerbatimChar"/>
        </w:rPr>
        <w:t xml:space="preserve">  → CSW vulnerability inventory exported on the documented cadence;</w:t>
      </w:r>
      <w:r>
        <w:br/>
      </w:r>
      <w:r>
        <w:rPr>
          <w:rStyle w:val="VerbatimChar"/>
        </w:rPr>
        <w:t xml:space="preserve">    the paper review combines this with vendor advisories you track</w:t>
      </w:r>
      <w:r>
        <w:br/>
      </w:r>
      <w:r>
        <w:rPr>
          <w:rStyle w:val="VerbatimChar"/>
        </w:rPr>
        <w:t xml:space="preserve">    out of band</w:t>
      </w:r>
      <w:r>
        <w:br/>
      </w:r>
      <w:r>
        <w:br/>
      </w:r>
      <w:r>
        <w:rPr>
          <w:rStyle w:val="VerbatimChar"/>
        </w:rPr>
        <w:t xml:space="preserve">Step 4: Pre-commissioning VA (R3.2)</w:t>
      </w:r>
      <w:r>
        <w:br/>
      </w:r>
      <w:r>
        <w:rPr>
          <w:rStyle w:val="VerbatimChar"/>
        </w:rPr>
        <w:t xml:space="preserve">  → For new High/Medium-impact workloads, run CSW first-sighting</w:t>
      </w:r>
      <w:r>
        <w:br/>
      </w:r>
      <w:r>
        <w:rPr>
          <w:rStyle w:val="VerbatimChar"/>
        </w:rPr>
        <w:t xml:space="preserve">    inventory before connection to the ESP</w:t>
      </w:r>
      <w:r>
        <w:br/>
      </w:r>
      <w:r>
        <w:rPr>
          <w:rStyle w:val="VerbatimChar"/>
        </w:rPr>
        <w:t xml:space="preserve">  → Export VA result; gate connection on remediation or accepted-risk</w:t>
      </w:r>
      <w:r>
        <w:br/>
      </w:r>
      <w:r>
        <w:rPr>
          <w:rStyle w:val="VerbatimChar"/>
        </w:rPr>
        <w:t xml:space="preserve">    documentation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per-asset CVE list dated to satisfy R3.1 cadence;</w:t>
      </w:r>
      <w:r>
        <w:t xml:space="preserve"> </w:t>
      </w:r>
      <w:r>
        <w:t xml:space="preserve">(b) remediation tracking with ticket IDs; (c) pre-commissioning VA</w:t>
      </w:r>
      <w:r>
        <w:t xml:space="preserve"> </w:t>
      </w:r>
      <w:r>
        <w:t xml:space="preserve">artefact per new asset.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a5d7eec264a35d2bf2aacdc4d69890a402719c5"/>
    <w:p>
      <w:pPr>
        <w:pStyle w:val="Heading2"/>
      </w:pPr>
      <w:r>
        <w:t xml:space="preserve">9. CIP-013 — Supply Chain Risk Management (IT-side)</w:t>
      </w:r>
    </w:p>
    <w:p>
      <w:pPr>
        <w:pStyle w:val="FirstParagraph"/>
      </w:pPr>
      <w:r>
        <w:t xml:space="preserve">CIP-013-2 R1 requires a documented supply chain cyber security risk</w:t>
      </w:r>
      <w:r>
        <w:t xml:space="preserve"> </w:t>
      </w:r>
      <w:r>
        <w:t xml:space="preserve">management plan. R1.2 covers procurement, R1.2.5 covers vendor remote</w:t>
      </w:r>
      <w:r>
        <w:t xml:space="preserve"> </w:t>
      </w:r>
      <w:r>
        <w:t xml:space="preserve">access, R1.2.6 covers coordination of vendor responses to incidents.</w:t>
      </w:r>
    </w:p>
    <w:p>
      <w:pPr>
        <w:pStyle w:val="BodyText"/>
      </w:pPr>
      <w:r>
        <w:rPr>
          <w:b/>
          <w:bCs/>
        </w:rPr>
        <w:t xml:space="preserve">Where CSW fits.</w:t>
      </w:r>
      <w:r>
        <w:t xml:space="preserve"> </w:t>
      </w:r>
      <w:r>
        <w:t xml:space="preserve">CSW gives you the</w:t>
      </w:r>
      <w:r>
        <w:t xml:space="preserve"> </w:t>
      </w:r>
      <w:r>
        <w:rPr>
          <w:i/>
          <w:iCs/>
        </w:rPr>
        <w:t xml:space="preserve">technical evidence</w:t>
      </w:r>
      <w:r>
        <w:t xml:space="preserve"> </w:t>
      </w:r>
      <w:r>
        <w:t xml:space="preserve">layer for</w:t>
      </w:r>
      <w:r>
        <w:t xml:space="preserve"> </w:t>
      </w:r>
      <w:r>
        <w:t xml:space="preserve">the vendor remote access portion (R1.2.5) and for ongoing vendor</w:t>
      </w:r>
      <w:r>
        <w:t xml:space="preserve"> </w:t>
      </w:r>
      <w:r>
        <w:t xml:space="preserve">egress monitoring on the IT side. The procurement and contractual</w:t>
      </w:r>
      <w:r>
        <w:t xml:space="preserve"> </w:t>
      </w:r>
      <w:r>
        <w:t xml:space="preserve">elements (R1.1, the bulk of R1.2) remain governance/legal work.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Enumerate every vendor-egress destination from EACMS workloads</w:t>
      </w:r>
      <w:r>
        <w:br/>
      </w:r>
      <w:r>
        <w:rPr>
          <w:rStyle w:val="VerbatimChar"/>
        </w:rPr>
        <w:t xml:space="preserve">  CSW UI → Investigate → Flow Search</w:t>
      </w:r>
      <w:r>
        <w:br/>
      </w:r>
      <w:r>
        <w:rPr>
          <w:rStyle w:val="VerbatimChar"/>
        </w:rPr>
        <w:t xml:space="preserve">  Filter: source_scope ⊂ EACMS AND destination_ip ∉ internal_ranges</w:t>
      </w:r>
      <w:r>
        <w:br/>
      </w:r>
      <w:r>
        <w:rPr>
          <w:rStyle w:val="VerbatimChar"/>
        </w:rPr>
        <w:t xml:space="preserve">  → Group by destination FQDN/IP; rank by byte count, frequency</w:t>
      </w:r>
      <w:r>
        <w:br/>
      </w:r>
      <w:r>
        <w:rPr>
          <w:rStyle w:val="VerbatimChar"/>
        </w:rPr>
        <w:t xml:space="preserve">  → Output: technical view of vendor dependency per EACMS host</w:t>
      </w:r>
      <w:r>
        <w:br/>
      </w:r>
      <w:r>
        <w:br/>
      </w:r>
      <w:r>
        <w:rPr>
          <w:rStyle w:val="VerbatimChar"/>
        </w:rPr>
        <w:t xml:space="preserve">Step 2: Reconcile against your vendor register</w:t>
      </w:r>
      <w:r>
        <w:br/>
      </w:r>
      <w:r>
        <w:rPr>
          <w:rStyle w:val="VerbatimChar"/>
        </w:rPr>
        <w:t xml:space="preserve">  → For each observed external endpoint, find the corresponding</w:t>
      </w:r>
      <w:r>
        <w:br/>
      </w:r>
      <w:r>
        <w:rPr>
          <w:rStyle w:val="VerbatimChar"/>
        </w:rPr>
        <w:t xml:space="preserve">    vendor in your CIP-013 R1 register; flag missing endpoints</w:t>
      </w:r>
      <w:r>
        <w:br/>
      </w:r>
      <w:r>
        <w:br/>
      </w:r>
      <w:r>
        <w:rPr>
          <w:rStyle w:val="VerbatimChar"/>
        </w:rPr>
        <w:t xml:space="preserve">Step 3: Enforce egress allowlisting for vendor-access hosts</w:t>
      </w:r>
      <w:r>
        <w:br/>
      </w:r>
      <w:r>
        <w:rPr>
          <w:rStyle w:val="VerbatimChar"/>
        </w:rPr>
        <w:t xml:space="preserve">  ALLOW: vendor-access-hosts → {register-listed vendor endpoints}</w:t>
      </w:r>
      <w:r>
        <w:br/>
      </w:r>
      <w:r>
        <w:rPr>
          <w:rStyle w:val="VerbatimChar"/>
        </w:rPr>
        <w:t xml:space="preserve">  DENY:  vendor-access-hosts → all other external destinations</w:t>
      </w:r>
      <w:r>
        <w:br/>
      </w:r>
      <w:r>
        <w:rPr>
          <w:rStyle w:val="VerbatimChar"/>
        </w:rPr>
        <w:t xml:space="preserve">  → New vendor usage now requires register update before deployment</w:t>
      </w:r>
      <w:r>
        <w:br/>
      </w:r>
      <w:r>
        <w:br/>
      </w:r>
      <w:r>
        <w:rPr>
          <w:rStyle w:val="VerbatimChar"/>
        </w:rPr>
        <w:t xml:space="preserve">Step 4: Continuous monitoring</w:t>
      </w:r>
      <w:r>
        <w:br/>
      </w:r>
      <w:r>
        <w:rPr>
          <w:rStyle w:val="VerbatimChar"/>
        </w:rPr>
        <w:t xml:space="preserve">  → CSW alert: "new external destination from EACMS host"</w:t>
      </w:r>
      <w:r>
        <w:br/>
      </w:r>
      <w:r>
        <w:rPr>
          <w:rStyle w:val="VerbatimChar"/>
        </w:rPr>
        <w:t xml:space="preserve">  → Routes to the supply-chain risk owner for register reconciliation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per-EACMS vendor-egress report; (b) register-vs-</w:t>
      </w:r>
      <w:r>
        <w:t xml:space="preserve"> </w:t>
      </w:r>
      <w:r>
        <w:t xml:space="preserve">observed delta report; (c) egress policy enforcement diff history.</w:t>
      </w:r>
    </w:p>
    <w:p>
      <w:pPr>
        <w:pStyle w:val="BlockText"/>
      </w:pPr>
      <w:r>
        <w:rPr>
          <w:b/>
          <w:bCs/>
        </w:rPr>
        <w:t xml:space="preserve">Caveat.</w:t>
      </w:r>
      <w:r>
        <w:t xml:space="preserve"> </w:t>
      </w:r>
      <w:r>
        <w:t xml:space="preserve">A vendor's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posture is out of scope for CSW</w:t>
      </w:r>
      <w:r>
        <w:t xml:space="preserve"> </w:t>
      </w:r>
      <w:r>
        <w:t xml:space="preserve">unless the vendor also runs CSW within their environment. CIP-013</w:t>
      </w:r>
      <w:r>
        <w:t xml:space="preserve"> </w:t>
      </w:r>
      <w:r>
        <w:t xml:space="preserve">contractual provisions remain the primary control for vendor</w:t>
      </w:r>
      <w:r>
        <w:t xml:space="preserve"> </w:t>
      </w:r>
      <w:r>
        <w:t xml:space="preserve">behaviour outside your perimeter.</w:t>
      </w:r>
    </w:p>
    <w:p>
      <w:r>
        <w:pict>
          <v:rect style="width:0;height:1.5pt" o:hralign="center" o:hrstd="t" o:hr="t"/>
        </w:pict>
      </w:r>
    </w:p>
    <w:bookmarkEnd w:id="31"/>
    <w:bookmarkStart w:id="32" w:name="X37040bb696a90b65456067356aa8543c84c8475"/>
    <w:p>
      <w:pPr>
        <w:pStyle w:val="Heading2"/>
      </w:pPr>
      <w:r>
        <w:t xml:space="preserve">10. CIP-011 — Information Protection (BCSI)</w:t>
      </w:r>
    </w:p>
    <w:p>
      <w:pPr>
        <w:pStyle w:val="FirstParagraph"/>
      </w:pPr>
      <w:r>
        <w:t xml:space="preserve">CIP-011-3 protects BES Cyber System Information (BCSI) — typically</w:t>
      </w:r>
      <w:r>
        <w:t xml:space="preserve"> </w:t>
      </w:r>
      <w:r>
        <w:t xml:space="preserve">network diagrams, configuration files, vulnerability assessment</w:t>
      </w:r>
      <w:r>
        <w:t xml:space="preserve"> </w:t>
      </w:r>
      <w:r>
        <w:t xml:space="preserve">results, security plans, and similar artefacts. The 2022 revision</w:t>
      </w:r>
      <w:r>
        <w:t xml:space="preserve"> </w:t>
      </w:r>
      <w:r>
        <w:t xml:space="preserve">(CIP-011-3) expanded protections to BCSI in third-party-hosted</w:t>
      </w:r>
      <w:r>
        <w:t xml:space="preserve"> </w:t>
      </w:r>
      <w:r>
        <w:t xml:space="preserve">storage.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Identify BCSI-hosting workloads</w:t>
      </w:r>
      <w:r>
        <w:br/>
      </w:r>
      <w:r>
        <w:rPr>
          <w:rStyle w:val="VerbatimChar"/>
        </w:rPr>
        <w:t xml:space="preserve">  → Document repository servers, SharePoint, internal wikis hosting</w:t>
      </w:r>
      <w:r>
        <w:br/>
      </w:r>
      <w:r>
        <w:rPr>
          <w:rStyle w:val="VerbatimChar"/>
        </w:rPr>
        <w:t xml:space="preserve">    network diagrams, config archives, VA results</w:t>
      </w:r>
      <w:r>
        <w:br/>
      </w:r>
      <w:r>
        <w:rPr>
          <w:rStyle w:val="VerbatimChar"/>
        </w:rPr>
        <w:t xml:space="preserve">  → Apply label: bes_role = bcsi-host</w:t>
      </w:r>
      <w:r>
        <w:br/>
      </w:r>
      <w:r>
        <w:br/>
      </w:r>
      <w:r>
        <w:rPr>
          <w:rStyle w:val="VerbatimChar"/>
        </w:rPr>
        <w:t xml:space="preserve">Step 2: Egress monitoring on BCSI hosts</w:t>
      </w:r>
      <w:r>
        <w:br/>
      </w:r>
      <w:r>
        <w:rPr>
          <w:rStyle w:val="VerbatimChar"/>
        </w:rPr>
        <w:t xml:space="preserve">  → CSW continuous flow analysis: every outbound from a BCSI-host</w:t>
      </w:r>
      <w:r>
        <w:br/>
      </w:r>
      <w:r>
        <w:rPr>
          <w:rStyle w:val="VerbatimChar"/>
        </w:rPr>
        <w:t xml:space="preserve">    workload, grouped by destination + byte volume</w:t>
      </w:r>
      <w:r>
        <w:br/>
      </w:r>
      <w:r>
        <w:rPr>
          <w:rStyle w:val="VerbatimChar"/>
        </w:rPr>
        <w:t xml:space="preserve">  → Alert on any new external destination</w:t>
      </w:r>
      <w:r>
        <w:br/>
      </w:r>
      <w:r>
        <w:br/>
      </w:r>
      <w:r>
        <w:rPr>
          <w:rStyle w:val="VerbatimChar"/>
        </w:rPr>
        <w:t xml:space="preserve">Step 3: Access pattern monitoring on BCSI hosts</w:t>
      </w:r>
      <w:r>
        <w:br/>
      </w:r>
      <w:r>
        <w:rPr>
          <w:rStyle w:val="VerbatimChar"/>
        </w:rPr>
        <w:t xml:space="preserve">  → Detect unusual access volumes (large pulls, off-hours, unusual</w:t>
      </w:r>
      <w:r>
        <w:br/>
      </w:r>
      <w:r>
        <w:rPr>
          <w:rStyle w:val="VerbatimChar"/>
        </w:rPr>
        <w:t xml:space="preserve">    source identities)</w:t>
      </w:r>
      <w:r>
        <w:br/>
      </w:r>
      <w:r>
        <w:rPr>
          <w:rStyle w:val="VerbatimChar"/>
        </w:rPr>
        <w:t xml:space="preserve">  → Pair CSW telemetry with your DLP/identity stack — CSW is the</w:t>
      </w:r>
      <w:r>
        <w:br/>
      </w:r>
      <w:r>
        <w:rPr>
          <w:rStyle w:val="VerbatimChar"/>
        </w:rPr>
        <w:t xml:space="preserve">    network-side complement, not the data-classification engine</w:t>
      </w:r>
      <w:r>
        <w:br/>
      </w:r>
      <w:r>
        <w:br/>
      </w:r>
      <w:r>
        <w:rPr>
          <w:rStyle w:val="VerbatimChar"/>
        </w:rPr>
        <w:t xml:space="preserve">Step 4: For cloud-hosted BCSI (CIP-011-3 R1.2 scope), use CSW Cloud</w:t>
      </w:r>
      <w:r>
        <w:br/>
      </w:r>
      <w:r>
        <w:rPr>
          <w:rStyle w:val="VerbatimChar"/>
        </w:rPr>
        <w:t xml:space="preserve">        Connectors to inventory access patterns to the cloud storage</w:t>
      </w:r>
      <w:r>
        <w:br/>
      </w:r>
      <w:r>
        <w:rPr>
          <w:rStyle w:val="VerbatimChar"/>
        </w:rPr>
        <w:t xml:space="preserve">        endpoint from your IT estate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(a) BCSI-host inventory; (b) egress pattern report;</w:t>
      </w:r>
      <w:r>
        <w:t xml:space="preserve"> </w:t>
      </w:r>
      <w:r>
        <w:t xml:space="preserve">(c) anomaly alert log with disposition.</w:t>
      </w:r>
    </w:p>
    <w:p>
      <w:r>
        <w:pict>
          <v:rect style="width:0;height:1.5pt" o:hralign="center" o:hrstd="t" o:hr="t"/>
        </w:pict>
      </w:r>
    </w:p>
    <w:bookmarkEnd w:id="32"/>
    <w:bookmarkStart w:id="33" w:name="X677420c107f42beada81683436b5a0f1ab6b397"/>
    <w:p>
      <w:pPr>
        <w:pStyle w:val="Heading2"/>
      </w:pPr>
      <w:r>
        <w:t xml:space="preserve">11. Mapping Table — NERC CIP Standard → CSW Capability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 / Requirement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CSW capability (IT-side)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CIP-002 R1</w:t>
            </w:r>
          </w:p>
        </w:tc>
        <w:tc>
          <w:tcPr/>
          <w:p>
            <w:pPr>
              <w:pStyle w:val="Compact"/>
            </w:pPr>
            <w:r>
              <w:t xml:space="preserve">BES Cyber System identification</w:t>
            </w:r>
          </w:p>
        </w:tc>
        <w:tc>
          <w:tcPr/>
          <w:p>
            <w:pPr>
              <w:pStyle w:val="Compact"/>
            </w:pPr>
            <w:r>
              <w:t xml:space="preserve">Inventory + scope labelling for the IT estate supporting BCS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CIP-003 R1</w:t>
            </w:r>
          </w:p>
        </w:tc>
        <w:tc>
          <w:tcPr/>
          <w:p>
            <w:pPr>
              <w:pStyle w:val="Compact"/>
            </w:pPr>
            <w:r>
              <w:t xml:space="preserve">Senior Manager accountability</w:t>
            </w:r>
          </w:p>
        </w:tc>
        <w:tc>
          <w:tcPr/>
          <w:p>
            <w:pPr>
              <w:pStyle w:val="Compact"/>
            </w:pPr>
            <w:r>
              <w:t xml:space="preserve">Quarterly evidence pack covering §3, §5, §6, §8, §9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CIP-005 R1</w:t>
            </w:r>
          </w:p>
        </w:tc>
        <w:tc>
          <w:tcPr/>
          <w:p>
            <w:pPr>
              <w:pStyle w:val="Compact"/>
            </w:pPr>
            <w:r>
              <w:t xml:space="preserve">ESP boundary</w:t>
            </w:r>
          </w:p>
        </w:tc>
        <w:tc>
          <w:tcPr/>
          <w:p>
            <w:pPr>
              <w:pStyle w:val="Compact"/>
            </w:pPr>
            <w:r>
              <w:t xml:space="preserve">IT-side enclave segmentation (§3); deny-by-default to EAP 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CIP-005 R2</w:t>
            </w:r>
          </w:p>
        </w:tc>
        <w:tc>
          <w:tcPr/>
          <w:p>
            <w:pPr>
              <w:pStyle w:val="Compact"/>
            </w:pPr>
            <w:r>
              <w:t xml:space="preserve">Interactive Remote Access</w:t>
            </w:r>
          </w:p>
        </w:tc>
        <w:tc>
          <w:tcPr/>
          <w:p>
            <w:pPr>
              <w:pStyle w:val="Compact"/>
            </w:pPr>
            <w:r>
              <w:t xml:space="preserve">Intermediate-system enforcement + IRA-flow review (§4)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CIP-007 R1</w:t>
            </w:r>
          </w:p>
        </w:tc>
        <w:tc>
          <w:tcPr/>
          <w:p>
            <w:pPr>
              <w:pStyle w:val="Compact"/>
            </w:pPr>
            <w:r>
              <w:t xml:space="preserve">Ports and services baseline</w:t>
            </w:r>
          </w:p>
        </w:tc>
        <w:tc>
          <w:tcPr/>
          <w:p>
            <w:pPr>
              <w:pStyle w:val="Compact"/>
            </w:pPr>
            <w:r>
              <w:t xml:space="preserve">Per-workload listening-port inventory with last-flow timestamp (§5)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CIP-007 R2</w:t>
            </w:r>
          </w:p>
        </w:tc>
        <w:tc>
          <w:tcPr/>
          <w:p>
            <w:pPr>
              <w:pStyle w:val="Compact"/>
            </w:pPr>
            <w:r>
              <w:t xml:space="preserve">Patch management</w:t>
            </w:r>
          </w:p>
        </w:tc>
        <w:tc>
          <w:tcPr/>
          <w:p>
            <w:pPr>
              <w:pStyle w:val="Compact"/>
            </w:pPr>
            <w:r>
              <w:t xml:space="preserve">Vulnerability dashboard with CVE/CVSS/EPSS context (§8.2)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CIP-007 R3</w:t>
            </w:r>
          </w:p>
        </w:tc>
        <w:tc>
          <w:tcPr/>
          <w:p>
            <w:pPr>
              <w:pStyle w:val="Compact"/>
            </w:pPr>
            <w:r>
              <w:t xml:space="preserve">Malicious code prevention</w:t>
            </w:r>
          </w:p>
        </w:tc>
        <w:tc>
          <w:tcPr/>
          <w:p>
            <w:pPr>
              <w:pStyle w:val="Compact"/>
            </w:pPr>
            <w:r>
              <w:t xml:space="preserve">Behavioural rules + simulation→enforce policy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CIP-007 R4</w:t>
            </w:r>
          </w:p>
        </w:tc>
        <w:tc>
          <w:tcPr/>
          <w:p>
            <w:pPr>
              <w:pStyle w:val="Compact"/>
            </w:pPr>
            <w:r>
              <w:t xml:space="preserve">Security event monitoring</w:t>
            </w:r>
          </w:p>
        </w:tc>
        <w:tc>
          <w:tcPr/>
          <w:p>
            <w:pPr>
              <w:pStyle w:val="Compact"/>
            </w:pPr>
            <w:r>
              <w:t xml:space="preserve">Process + flow telemetry to SIEM with retention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CIP-008 R1</w:t>
            </w:r>
          </w:p>
        </w:tc>
        <w:tc>
          <w:tcPr/>
          <w:p>
            <w:pPr>
              <w:pStyle w:val="Compact"/>
            </w:pPr>
            <w:r>
              <w:t xml:space="preserve">Incident response plan</w:t>
            </w:r>
          </w:p>
        </w:tc>
        <w:tc>
          <w:tcPr/>
          <w:p>
            <w:pPr>
              <w:pStyle w:val="Compact"/>
            </w:pPr>
            <w:r>
              <w:t xml:space="preserve">Six-artefact reconstruction bundle 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CIP-008 R4</w:t>
            </w:r>
          </w:p>
        </w:tc>
        <w:tc>
          <w:tcPr/>
          <w:p>
            <w:pPr>
              <w:pStyle w:val="Compact"/>
            </w:pPr>
            <w:r>
              <w:t xml:space="preserve">Reportable incident notification</w:t>
            </w:r>
          </w:p>
        </w:tc>
        <w:tc>
          <w:tcPr/>
          <w:p>
            <w:pPr>
              <w:pStyle w:val="Compact"/>
            </w:pPr>
            <w:r>
              <w:t xml:space="preserve">Containment evidence + dossier supports E-ISAC 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CIP-010 R1</w:t>
            </w:r>
          </w:p>
        </w:tc>
        <w:tc>
          <w:tcPr/>
          <w:p>
            <w:pPr>
              <w:pStyle w:val="Compact"/>
            </w:pPr>
            <w:r>
              <w:t xml:space="preserve">Configuration baseline</w:t>
            </w:r>
          </w:p>
        </w:tc>
        <w:tc>
          <w:tcPr/>
          <w:p>
            <w:pPr>
              <w:pStyle w:val="Compact"/>
            </w:pPr>
            <w:r>
              <w:t xml:space="preserve">Daily software + ports baseline + diff (§8.1)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CIP-010 R3</w:t>
            </w:r>
          </w:p>
        </w:tc>
        <w:tc>
          <w:tcPr/>
          <w:p>
            <w:pPr>
              <w:pStyle w:val="Compact"/>
            </w:pPr>
            <w:r>
              <w:t xml:space="preserve">Vulnerability assessment</w:t>
            </w:r>
          </w:p>
        </w:tc>
        <w:tc>
          <w:tcPr/>
          <w:p>
            <w:pPr>
              <w:pStyle w:val="Compact"/>
            </w:pPr>
            <w:r>
              <w:t xml:space="preserve">Continuous CVE inventory + cadence-based export (§8.2)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CIP-011 R1</w:t>
            </w:r>
          </w:p>
        </w:tc>
        <w:tc>
          <w:tcPr/>
          <w:p>
            <w:pPr>
              <w:pStyle w:val="Compact"/>
            </w:pPr>
            <w:r>
              <w:t xml:space="preserve">BCSI protection</w:t>
            </w:r>
          </w:p>
        </w:tc>
        <w:tc>
          <w:tcPr/>
          <w:p>
            <w:pPr>
              <w:pStyle w:val="Compact"/>
            </w:pPr>
            <w:r>
              <w:t xml:space="preserve">Egress and access monitoring on BCSI-hosts (§10)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CIP-013 R1</w:t>
            </w:r>
          </w:p>
        </w:tc>
        <w:tc>
          <w:tcPr/>
          <w:p>
            <w:pPr>
              <w:pStyle w:val="Compact"/>
            </w:pPr>
            <w:r>
              <w:t xml:space="preserve">Supply chain risk</w:t>
            </w:r>
          </w:p>
        </w:tc>
        <w:tc>
          <w:tcPr/>
          <w:p>
            <w:pPr>
              <w:pStyle w:val="Compact"/>
            </w:pPr>
            <w:r>
              <w:t xml:space="preserve">Vendor-egress allowlist + register reconciliation (§9)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X74d243d47b3585db86c0745616d030d7d4c5b49"/>
    <w:p>
      <w:pPr>
        <w:pStyle w:val="Heading2"/>
      </w:pPr>
      <w:r>
        <w:t xml:space="preserve">12. Auditor / RSAW Response Guide</w:t>
      </w:r>
    </w:p>
    <w:p>
      <w:pPr>
        <w:pStyle w:val="FirstParagraph"/>
      </w:pPr>
      <w:r>
        <w:t xml:space="preserve">When the Regional Entity asks for evidence under the Reliability</w:t>
      </w:r>
      <w:r>
        <w:t xml:space="preserve"> </w:t>
      </w:r>
      <w:r>
        <w:t xml:space="preserve">Standard Audit Worksheet (RSAW) for the standards above: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Auditor asks</w:t>
            </w:r>
          </w:p>
        </w:tc>
        <w:tc>
          <w:tcPr/>
          <w:p>
            <w:pPr>
              <w:pStyle w:val="Compact"/>
            </w:pPr>
            <w:r>
              <w:t xml:space="preserve">You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your scope of CSW deployment relative to CIP-002 categorisation"</w:t>
            </w:r>
          </w:p>
        </w:tc>
        <w:tc>
          <w:tcPr/>
          <w:p>
            <w:pPr>
              <w:pStyle w:val="Compact"/>
            </w:pPr>
            <w:r>
              <w:t xml:space="preserve">Per-scope inventory snapshot with</w:t>
            </w:r>
            <w:r>
              <w:t xml:space="preserve"> </w:t>
            </w:r>
            <w:r>
              <w:rPr>
                <w:rStyle w:val="VerbatimChar"/>
              </w:rPr>
              <w:t xml:space="preserve">bes_impact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bcs_id</w:t>
            </w:r>
            <w:r>
              <w:t xml:space="preserve"> </w:t>
            </w:r>
            <w:r>
              <w:t xml:space="preserve">labels (§2)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IT-side controls for the ESP boundary"</w:t>
            </w:r>
          </w:p>
        </w:tc>
        <w:tc>
          <w:tcPr/>
          <w:p>
            <w:pPr>
              <w:pStyle w:val="Compact"/>
            </w:pPr>
            <w:r>
              <w:t xml:space="preserve">Workspace export + simulation→enforcement log 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IRA evidence for the audit window"</w:t>
            </w:r>
          </w:p>
        </w:tc>
        <w:tc>
          <w:tcPr/>
          <w:p>
            <w:pPr>
              <w:pStyle w:val="Compact"/>
            </w:pPr>
            <w:r>
              <w:t xml:space="preserve">Weekly IRA-flow report bundle (§4)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CIP-007 R1.1 ports baseline for these assets"</w:t>
            </w:r>
          </w:p>
        </w:tc>
        <w:tc>
          <w:tcPr/>
          <w:p>
            <w:pPr>
              <w:pStyle w:val="Compact"/>
            </w:pPr>
            <w:r>
              <w:t xml:space="preserve">Per-workload listening-port inventory dated within the period (§5)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CIP-010 R1.5 unauthorised-change monitoring"</w:t>
            </w:r>
          </w:p>
        </w:tc>
        <w:tc>
          <w:tcPr/>
          <w:p>
            <w:pPr>
              <w:pStyle w:val="Compact"/>
            </w:pPr>
            <w:r>
              <w:t xml:space="preserve">Daily diff log with disposition column (§8.1)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the active VA for High-impact assets"</w:t>
            </w:r>
          </w:p>
        </w:tc>
        <w:tc>
          <w:tcPr/>
          <w:p>
            <w:pPr>
              <w:pStyle w:val="Compact"/>
            </w:pPr>
            <w:r>
              <w:t xml:space="preserve">Vulnerability export for the period with remediation tracking (§8.2)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your CIP-013 R1.2.5 vendor remote-access controls"</w:t>
            </w:r>
          </w:p>
        </w:tc>
        <w:tc>
          <w:tcPr/>
          <w:p>
            <w:pPr>
              <w:pStyle w:val="Compact"/>
            </w:pPr>
            <w:r>
              <w:t xml:space="preserve">Vendor-egress allowlist policy + observed-vs-register delta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"Reconstruct the timeline for incident X"</w:t>
            </w:r>
          </w:p>
        </w:tc>
        <w:tc>
          <w:tcPr/>
          <w:p>
            <w:pPr>
              <w:pStyle w:val="Compact"/>
            </w:pPr>
            <w:r>
              <w:t xml:space="preserve">Six-artefact incident dossier (§7)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9" w:name="Xaac4b8439b2e394a10e51f33ec42930ec3f5bcf"/>
    <w:p>
      <w:pPr>
        <w:pStyle w:val="Heading2"/>
      </w:pPr>
      <w:r>
        <w:t xml:space="preserve">13. Related Frameworks</w:t>
      </w:r>
    </w:p>
    <w:p>
      <w:pPr>
        <w:pStyle w:val="FirstParagraph"/>
      </w:pPr>
      <w:r>
        <w:t xml:space="preserve">NERC CIP shares substantial control surface with: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NIST SP 800-53 Rev 5</w:t>
      </w:r>
      <w:r>
        <w:t xml:space="preserve"> </w:t>
      </w:r>
      <w:r>
        <w:t xml:space="preserve">— most NERC CIP requirements have direct</w:t>
      </w:r>
      <w:r>
        <w:t xml:space="preserve"> </w:t>
      </w:r>
      <w:r>
        <w:t xml:space="preserve">800-53 analogues (AC-3, AC-4, SC-7, SI-4, RA-5, CM-2, CM-3, CM-7,</w:t>
      </w:r>
      <w:r>
        <w:t xml:space="preserve"> </w:t>
      </w:r>
      <w:r>
        <w:t xml:space="preserve">AU-2, IR-4 cover the bulk of CIP-005/007/008/010). See</w:t>
      </w:r>
      <w:r>
        <w:t xml:space="preserve"> </w:t>
      </w:r>
      <w:hyperlink r:id="rId35">
        <w:r>
          <w:rPr>
            <w:rStyle w:val="Hyperlink"/>
          </w:rPr>
          <w:t xml:space="preserve">800-53 runbook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NIST SP 800-207 (ZTA)</w:t>
      </w:r>
      <w:r>
        <w:t xml:space="preserve"> </w:t>
      </w:r>
      <w:r>
        <w:t xml:space="preserve">— the deny-by-default, identity-aware,</w:t>
      </w:r>
      <w:r>
        <w:t xml:space="preserve"> </w:t>
      </w:r>
      <w:r>
        <w:t xml:space="preserve">observability-driven posture in §3, §4, and §6 implements the</w:t>
      </w:r>
      <w:r>
        <w:t xml:space="preserve"> </w:t>
      </w:r>
      <w:r>
        <w:t xml:space="preserve">seven ZTA tenets in the NERC CIP context. See</w:t>
      </w:r>
      <w:r>
        <w:t xml:space="preserve"> </w:t>
      </w:r>
      <w:hyperlink r:id="rId36">
        <w:r>
          <w:rPr>
            <w:rStyle w:val="Hyperlink"/>
          </w:rPr>
          <w:t xml:space="preserve">800-207 runbook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NIST SP 800-82 Rev 3</w:t>
      </w:r>
      <w:r>
        <w:t xml:space="preserve"> </w:t>
      </w:r>
      <w:r>
        <w:rPr>
          <w:i/>
          <w:iCs/>
        </w:rPr>
        <w:t xml:space="preserve">(out of repository scope but worth</w:t>
      </w:r>
      <w:r>
        <w:rPr>
          <w:i/>
          <w:iCs/>
        </w:rPr>
        <w:t xml:space="preserve"> </w:t>
      </w:r>
      <w:r>
        <w:rPr>
          <w:i/>
          <w:iCs/>
        </w:rPr>
        <w:t xml:space="preserve">pairing externally)</w:t>
      </w:r>
      <w:r>
        <w:t xml:space="preserve"> </w:t>
      </w:r>
      <w:r>
        <w:t xml:space="preserve">— guide to OT security; CSW addresses the IT</w:t>
      </w:r>
      <w:r>
        <w:t xml:space="preserve"> </w:t>
      </w:r>
      <w:r>
        <w:t xml:space="preserve">estate around the OT footprint that 800-82 describes.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ISO/IEC 27001:2022</w:t>
      </w:r>
      <w:r>
        <w:t xml:space="preserve"> </w:t>
      </w:r>
      <w:r>
        <w:t xml:space="preserve">— entities operating under both ISO 27001</w:t>
      </w:r>
      <w:r>
        <w:t xml:space="preserve"> </w:t>
      </w:r>
      <w:r>
        <w:t xml:space="preserve">and NERC CIP can re-use Annex A.8 evidence. See</w:t>
      </w:r>
      <w:r>
        <w:t xml:space="preserve"> </w:t>
      </w:r>
      <w:hyperlink r:id="rId37">
        <w:r>
          <w:rPr>
            <w:rStyle w:val="Hyperlink"/>
          </w:rPr>
          <w:t xml:space="preserve">ISO 27001 runbook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TSA Pipeline Security Directive</w:t>
      </w:r>
      <w:r>
        <w:t xml:space="preserve"> </w:t>
      </w:r>
      <w:r>
        <w:t xml:space="preserve">— sister sector framework for</w:t>
      </w:r>
      <w:r>
        <w:t xml:space="preserve"> </w:t>
      </w:r>
      <w:r>
        <w:t xml:space="preserve">pipelines; identical IT-side patterns apply. See</w:t>
      </w:r>
      <w:r>
        <w:t xml:space="preserve"> </w:t>
      </w:r>
      <w:hyperlink r:id="rId38">
        <w:r>
          <w:rPr>
            <w:rStyle w:val="Hyperlink"/>
          </w:rPr>
          <w:t xml:space="preserve">TSA Pipeline runbook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X6d39dee548fe562094e426737d693407d1c0f0f"/>
    <w:p>
      <w:pPr>
        <w:pStyle w:val="Heading2"/>
      </w:pPr>
      <w:r>
        <w:t xml:space="preserve">14. Disclaimer</w:t>
      </w:r>
    </w:p>
    <w:p>
      <w:pPr>
        <w:pStyle w:val="FirstParagraph"/>
      </w:pPr>
      <w:r>
        <w:t xml:space="preserve">This runbook is</w:t>
      </w:r>
      <w:r>
        <w:t xml:space="preserve"> </w:t>
      </w:r>
      <w:r>
        <w:rPr>
          <w:b/>
          <w:bCs/>
        </w:rPr>
        <w:t xml:space="preserve">draft v1</w:t>
      </w:r>
      <w:r>
        <w:t xml:space="preserve"> </w:t>
      </w:r>
      <w:r>
        <w:t xml:space="preserve">describing how Cisco Secure Workload</w:t>
      </w:r>
      <w:r>
        <w:t xml:space="preserve"> </w:t>
      </w:r>
      <w:r>
        <w:t xml:space="preserve">capabilities can support a NERC CIP programme on the IT side of the</w:t>
      </w:r>
      <w:r>
        <w:t xml:space="preserve"> </w:t>
      </w:r>
      <w:r>
        <w:t xml:space="preserve">IT/OT boundary.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legal or regulatory advice and does</w:t>
      </w:r>
      <w:r>
        <w:t xml:space="preserve"> </w:t>
      </w:r>
      <w:r>
        <w:t xml:space="preserve">not constitute a finding of compliance. Specifically:</w:t>
      </w:r>
    </w:p>
    <w:p>
      <w:pPr>
        <w:pStyle w:val="Compact"/>
        <w:numPr>
          <w:ilvl w:val="0"/>
          <w:numId w:val="1020"/>
        </w:numPr>
      </w:pPr>
      <w:r>
        <w:t xml:space="preserve">Final identification and categorisation of BES Cyber Systems</w:t>
      </w:r>
      <w:r>
        <w:t xml:space="preserve"> </w:t>
      </w:r>
      <w:r>
        <w:t xml:space="preserve">(CIP-002), the design of ESP and EAP arrangements (CIP-005),</w:t>
      </w:r>
      <w:r>
        <w:t xml:space="preserve"> </w:t>
      </w:r>
      <w:r>
        <w:t xml:space="preserve">determination of impact ratings (Attachment 1), and the formal</w:t>
      </w:r>
      <w:r>
        <w:t xml:space="preserve"> </w:t>
      </w:r>
      <w:r>
        <w:t xml:space="preserve">CIP audit response remain the responsibility of the Registered</w:t>
      </w:r>
      <w:r>
        <w:t xml:space="preserve"> </w:t>
      </w:r>
      <w:r>
        <w:t xml:space="preserve">Entity's CIP Senior Manager and qualified compliance counsel.</w:t>
      </w:r>
    </w:p>
    <w:p>
      <w:pPr>
        <w:pStyle w:val="Compact"/>
        <w:numPr>
          <w:ilvl w:val="0"/>
          <w:numId w:val="1020"/>
        </w:numPr>
      </w:pPr>
      <w:r>
        <w:t xml:space="preserve">CSW does not enforce policy on PLCs, RTUs, IEDs, HMIs, or any</w:t>
      </w:r>
      <w:r>
        <w:t xml:space="preserve"> </w:t>
      </w:r>
      <w:r>
        <w:t xml:space="preserve">other Level 0–2 OT device, and is not certified as an Electronic</w:t>
      </w:r>
      <w:r>
        <w:t xml:space="preserve"> </w:t>
      </w:r>
      <w:r>
        <w:t xml:space="preserve">Access Point (EAP).</w:t>
      </w:r>
    </w:p>
    <w:p>
      <w:pPr>
        <w:pStyle w:val="Compact"/>
        <w:numPr>
          <w:ilvl w:val="0"/>
          <w:numId w:val="1020"/>
        </w:numPr>
      </w:pPr>
      <w:r>
        <w:t xml:space="preserve">Always validate against the</w:t>
      </w:r>
      <w:r>
        <w:t xml:space="preserve"> </w:t>
      </w:r>
      <w:r>
        <w:rPr>
          <w:b/>
          <w:bCs/>
        </w:rPr>
        <w:t xml:space="preserve">current effective revision</w:t>
      </w:r>
      <w:r>
        <w:t xml:space="preserve"> </w:t>
      </w:r>
      <w:r>
        <w:t xml:space="preserve">of each</w:t>
      </w:r>
      <w:r>
        <w:t xml:space="preserve"> </w:t>
      </w:r>
      <w:r>
        <w:t xml:space="preserve">CIP standard published on the NERC web site, against your Regional</w:t>
      </w:r>
      <w:r>
        <w:t xml:space="preserve"> </w:t>
      </w:r>
      <w:r>
        <w:t xml:space="preserve">Entity's audit guidance, and against any FERC orders amending</w:t>
      </w:r>
      <w:r>
        <w:t xml:space="preserve"> </w:t>
      </w:r>
      <w:r>
        <w:t xml:space="preserve">applicability or compliance dates.</w:t>
      </w:r>
    </w:p>
    <w:p>
      <w:pPr>
        <w:pStyle w:val="FirstParagraph"/>
      </w:pPr>
      <w:r>
        <w:t xml:space="preserve">This document should receive subject-matter-expert review for both</w:t>
      </w:r>
      <w:r>
        <w:t xml:space="preserve"> </w:t>
      </w:r>
      <w:r>
        <w:t xml:space="preserve">NERC CIP regulatory accuracy and current Cisco product capability</w:t>
      </w:r>
      <w:r>
        <w:t xml:space="preserve"> </w:t>
      </w:r>
      <w:r>
        <w:t xml:space="preserve">before being relied upon in a formal compliance engagement.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../ISO-27001-2022/CSW-ISO27001-Technical-Runbook.md" TargetMode="External" /><Relationship Type="http://schemas.openxmlformats.org/officeDocument/2006/relationships/hyperlink" Id="rId36" Target="../NIST-800-207/CSW-NIST-800-207-Technical-Runbook.md" TargetMode="External" /><Relationship Type="http://schemas.openxmlformats.org/officeDocument/2006/relationships/hyperlink" Id="rId35" Target="../NIST-800-53/CSW-NIST-800-53-Technical-Runbook.md" TargetMode="External" /><Relationship Type="http://schemas.openxmlformats.org/officeDocument/2006/relationships/hyperlink" Id="rId38" Target="../TSA-Pipeline/CSW-TSA-Pipeline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ISO-27001-2022/CSW-ISO27001-Technical-Runbook.md" TargetMode="External" /><Relationship Type="http://schemas.openxmlformats.org/officeDocument/2006/relationships/hyperlink" Id="rId36" Target="../NIST-800-207/CSW-NIST-800-207-Technical-Runbook.md" TargetMode="External" /><Relationship Type="http://schemas.openxmlformats.org/officeDocument/2006/relationships/hyperlink" Id="rId35" Target="../NIST-800-53/CSW-NIST-800-53-Technical-Runbook.md" TargetMode="External" /><Relationship Type="http://schemas.openxmlformats.org/officeDocument/2006/relationships/hyperlink" Id="rId38" Target="../TSA-Pipeline/CSW-TSA-Pipeline-Technical-Runbook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2026-05-29T22:01:10Z</dcterms:created>
  <dcterms:modified xsi:type="dcterms:W3CDTF">2026-05-29T22:01:10Z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