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5" w:name="cisco-secure-workload--nis2-directive"/>
    <w:p>
      <w:pPr>
        <w:pStyle w:val="Heading1"/>
      </w:pPr>
      <w:r>
        <w:t xml:space="preserve">Cisco Secure Workload — NIS2 Directive</w:t>
      </w:r>
    </w:p>
    <w:bookmarkStart w:id="9" w:name="Xe8f4c4ff8d1a329ade9f6b6cd173de023351b26"/>
    <w:p>
      <w:pPr>
        <w:pStyle w:val="Heading2"/>
      </w:pPr>
      <w:r>
        <w:t xml:space="preserve">Technical Runbook | Essential &amp; Important Entities (EU)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 |</w:t>
      </w:r>
      <w:r>
        <w:t xml:space="preserve"> </w:t>
      </w:r>
      <w:r>
        <w:rPr>
          <w:b/>
          <w:bCs/>
        </w:rPr>
        <w:t xml:space="preserve">Standard:</w:t>
      </w:r>
      <w:r>
        <w:t xml:space="preserve"> </w:t>
      </w:r>
      <w:r>
        <w:t xml:space="preserve">Directive (EU) 2022/2555 — NIS2 |</w:t>
      </w:r>
      <w:r>
        <w:t xml:space="preserve"> </w:t>
      </w:r>
      <w:r>
        <w:rPr>
          <w:b/>
          <w:bCs/>
        </w:rPr>
        <w:t xml:space="preserve">Transposition deadline:</w:t>
      </w:r>
      <w:r>
        <w:t xml:space="preserve"> </w:t>
      </w:r>
      <w:r>
        <w:t xml:space="preserve">17 October 2024 |</w:t>
      </w:r>
      <w:r>
        <w:t xml:space="preserve"> </w:t>
      </w:r>
      <w:r>
        <w:rPr>
          <w:b/>
          <w:bCs/>
        </w:rPr>
        <w:t xml:space="preserve">Environment:</w:t>
      </w:r>
      <w:r>
        <w:t xml:space="preserve"> </w:t>
      </w:r>
      <w:r>
        <w:t xml:space="preserve">Hybrid</w:t>
      </w:r>
    </w:p>
    <w:p>
      <w:r>
        <w:pict>
          <v:rect style="width:0;height:1.5pt" o:hralign="center" o:hrstd="t" o:hr="t"/>
        </w:pict>
      </w:r>
    </w:p>
    <w:bookmarkEnd w:id="9"/>
    <w:bookmarkStart w:id="10" w:name="readers-guide"/>
    <w:p>
      <w:pPr>
        <w:pStyle w:val="Heading2"/>
      </w:pPr>
      <w:r>
        <w:t xml:space="preserve">Reader's Guide</w:t>
      </w:r>
    </w:p>
    <w:p>
      <w:pPr>
        <w:pStyle w:val="FirstParagraph"/>
      </w:pPr>
      <w:r>
        <w:rPr>
          <w:b/>
          <w:bCs/>
        </w:rPr>
        <w:t xml:space="preserve">Who this is for.</w:t>
      </w:r>
      <w:r>
        <w:t xml:space="preserve"> </w:t>
      </w:r>
      <w:r>
        <w:t xml:space="preserve">Operators of essential or important entities in</w:t>
      </w:r>
      <w:r>
        <w:t xml:space="preserve"> </w:t>
      </w:r>
      <w:r>
        <w:t xml:space="preserve">scope of NIS2 across the EU — energy, transport, banking, financial</w:t>
      </w:r>
      <w:r>
        <w:t xml:space="preserve"> </w:t>
      </w:r>
      <w:r>
        <w:t xml:space="preserve">market infrastructure, health, drinking water, waste water, digital</w:t>
      </w:r>
      <w:r>
        <w:t xml:space="preserve"> </w:t>
      </w:r>
      <w:r>
        <w:t xml:space="preserve">infrastructure, ICT service management (B2B), public administration,</w:t>
      </w:r>
      <w:r>
        <w:t xml:space="preserve"> </w:t>
      </w:r>
      <w:r>
        <w:t xml:space="preserve">space, postal/courier, waste management, chemicals, food, manufacture</w:t>
      </w:r>
      <w:r>
        <w:t xml:space="preserve"> </w:t>
      </w:r>
      <w:r>
        <w:t xml:space="preserve">of critical products, digital providers, research — together with the</w:t>
      </w:r>
      <w:r>
        <w:t xml:space="preserve"> </w:t>
      </w:r>
      <w:r>
        <w:t xml:space="preserve">CISOs and security architects preparing those entities for their</w:t>
      </w:r>
      <w:r>
        <w:t xml:space="preserve"> </w:t>
      </w:r>
      <w:r>
        <w:t xml:space="preserve">national competent authority's review.</w:t>
      </w:r>
    </w:p>
    <w:p>
      <w:pPr>
        <w:pStyle w:val="BodyText"/>
      </w:pPr>
      <w:r>
        <w:rPr>
          <w:b/>
          <w:bCs/>
        </w:rPr>
        <w:t xml:space="preserve">Questions this runbook helps you answer: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Article 21(2)(a) — risk-analysis and information-system security</w:t>
      </w:r>
      <w:r>
        <w:rPr>
          <w:i/>
          <w:iCs/>
        </w:rPr>
        <w:t xml:space="preserve"> </w:t>
      </w:r>
      <w:r>
        <w:rPr>
          <w:i/>
          <w:iCs/>
        </w:rPr>
        <w:t xml:space="preserve">policies: do my policies translate into something a workload</w:t>
      </w:r>
      <w:r>
        <w:rPr>
          <w:i/>
          <w:iCs/>
        </w:rPr>
        <w:t xml:space="preserve"> </w:t>
      </w:r>
      <w:r>
        <w:rPr>
          <w:i/>
          <w:iCs/>
        </w:rPr>
        <w:t xml:space="preserve">actually does, or do they live only in a policy document?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Article 21(2)(b) — incident handling: when an incident occurs,</w:t>
      </w:r>
      <w:r>
        <w:rPr>
          <w:i/>
          <w:iCs/>
        </w:rPr>
        <w:t xml:space="preserve"> </w:t>
      </w:r>
      <w:r>
        <w:rPr>
          <w:i/>
          <w:iCs/>
        </w:rPr>
        <w:t xml:space="preserve">what's my workload-level evidence pack, and can I assemble it</w:t>
      </w:r>
      <w:r>
        <w:rPr>
          <w:i/>
          <w:iCs/>
        </w:rPr>
        <w:t xml:space="preserve"> </w:t>
      </w:r>
      <w:r>
        <w:rPr>
          <w:i/>
          <w:iCs/>
        </w:rPr>
        <w:t xml:space="preserve">inside the early-warning window of 24 hours?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Article 21(2)(d) — supply chain security: do I know what my</w:t>
      </w:r>
      <w:r>
        <w:rPr>
          <w:i/>
          <w:iCs/>
        </w:rPr>
        <w:t xml:space="preserve"> </w:t>
      </w:r>
      <w:r>
        <w:rPr>
          <w:i/>
          <w:iCs/>
        </w:rPr>
        <w:t xml:space="preserve">workloads are actually doing with each of my suppliers'</w:t>
      </w:r>
      <w:r>
        <w:rPr>
          <w:i/>
          <w:iCs/>
        </w:rPr>
        <w:t xml:space="preserve"> </w:t>
      </w:r>
      <w:r>
        <w:rPr>
          <w:i/>
          <w:iCs/>
        </w:rPr>
        <w:t xml:space="preserve">endpoints — independent of the SBOM, the questionnaire, and the</w:t>
      </w:r>
      <w:r>
        <w:rPr>
          <w:i/>
          <w:iCs/>
        </w:rPr>
        <w:t xml:space="preserve"> </w:t>
      </w:r>
      <w:r>
        <w:rPr>
          <w:i/>
          <w:iCs/>
        </w:rPr>
        <w:t xml:space="preserve">contract?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Article 21(2)(e) — security in network and information systems</w:t>
      </w:r>
      <w:r>
        <w:rPr>
          <w:i/>
          <w:iCs/>
        </w:rPr>
        <w:t xml:space="preserve"> </w:t>
      </w:r>
      <w:r>
        <w:rPr>
          <w:i/>
          <w:iCs/>
        </w:rPr>
        <w:t xml:space="preserve">acquisition, development and maintenance, including vulnerability</w:t>
      </w:r>
      <w:r>
        <w:rPr>
          <w:i/>
          <w:iCs/>
        </w:rPr>
        <w:t xml:space="preserve"> </w:t>
      </w:r>
      <w:r>
        <w:rPr>
          <w:i/>
          <w:iCs/>
        </w:rPr>
        <w:t xml:space="preserve">handling and disclosure: when a CVE drops on a library inside one</w:t>
      </w:r>
      <w:r>
        <w:rPr>
          <w:i/>
          <w:iCs/>
        </w:rPr>
        <w:t xml:space="preserve"> </w:t>
      </w:r>
      <w:r>
        <w:rPr>
          <w:i/>
          <w:iCs/>
        </w:rPr>
        <w:t xml:space="preserve">of my containers, can I show which workloads are exposed and which</w:t>
      </w:r>
      <w:r>
        <w:rPr>
          <w:i/>
          <w:iCs/>
        </w:rPr>
        <w:t xml:space="preserve"> </w:t>
      </w:r>
      <w:r>
        <w:rPr>
          <w:i/>
          <w:iCs/>
        </w:rPr>
        <w:t xml:space="preserve">paths attackers could traverse to reach them, on the same day?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Article 21(2)(f) — policies and procedures to assess the</w:t>
      </w:r>
      <w:r>
        <w:rPr>
          <w:i/>
          <w:iCs/>
        </w:rPr>
        <w:t xml:space="preserve"> </w:t>
      </w:r>
      <w:r>
        <w:rPr>
          <w:i/>
          <w:iCs/>
        </w:rPr>
        <w:t xml:space="preserve">effectiveness of cybersecurity risk-management measures: what do I</w:t>
      </w:r>
      <w:r>
        <w:rPr>
          <w:i/>
          <w:iCs/>
        </w:rPr>
        <w:t xml:space="preserve"> </w:t>
      </w:r>
      <w:r>
        <w:rPr>
          <w:i/>
          <w:iCs/>
        </w:rPr>
        <w:t xml:space="preserve">show a competent authority as evidence that the measures are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operating effectively</w:t>
      </w:r>
      <w:r>
        <w:rPr>
          <w:i/>
          <w:iCs/>
        </w:rPr>
        <w:t xml:space="preserve">, not just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implemented</w:t>
      </w:r>
      <w:r>
        <w:rPr>
          <w:i/>
          <w:iCs/>
        </w:rPr>
        <w:t xml:space="preserve">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Article 21(2)(i) — human resources security, access control and</w:t>
      </w:r>
      <w:r>
        <w:rPr>
          <w:i/>
          <w:iCs/>
        </w:rPr>
        <w:t xml:space="preserve"> </w:t>
      </w:r>
      <w:r>
        <w:rPr>
          <w:i/>
          <w:iCs/>
        </w:rPr>
        <w:t xml:space="preserve">asset management: where is the asset-management telemetry that</w:t>
      </w:r>
      <w:r>
        <w:rPr>
          <w:i/>
          <w:iCs/>
        </w:rPr>
        <w:t xml:space="preserve"> </w:t>
      </w:r>
      <w:r>
        <w:rPr>
          <w:i/>
          <w:iCs/>
        </w:rPr>
        <w:t xml:space="preserve">feeds the rest of the programme?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Article 21(2)(j) — multi-factor authentication, secured voice/video</w:t>
      </w:r>
      <w:r>
        <w:rPr>
          <w:i/>
          <w:iCs/>
        </w:rPr>
        <w:t xml:space="preserve"> </w:t>
      </w:r>
      <w:r>
        <w:rPr>
          <w:i/>
          <w:iCs/>
        </w:rPr>
        <w:t xml:space="preserve">and emergency communications, secured workload-to-workload</w:t>
      </w:r>
      <w:r>
        <w:rPr>
          <w:i/>
          <w:iCs/>
        </w:rPr>
        <w:t xml:space="preserve"> </w:t>
      </w:r>
      <w:r>
        <w:rPr>
          <w:i/>
          <w:iCs/>
        </w:rPr>
        <w:t xml:space="preserve">channels: how do I demonstrate that workload-to-workload</w:t>
      </w:r>
      <w:r>
        <w:rPr>
          <w:i/>
          <w:iCs/>
        </w:rPr>
        <w:t xml:space="preserve"> </w:t>
      </w:r>
      <w:r>
        <w:rPr>
          <w:i/>
          <w:iCs/>
        </w:rPr>
        <w:t xml:space="preserve">communication is restricted to what is authorised?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Article 23 — reporting: when something major happens, can I meet</w:t>
      </w:r>
      <w:r>
        <w:rPr>
          <w:i/>
          <w:iCs/>
        </w:rPr>
        <w:t xml:space="preserve"> </w:t>
      </w:r>
      <w:r>
        <w:rPr>
          <w:i/>
          <w:iCs/>
        </w:rPr>
        <w:t xml:space="preserve">the 24h early-warning, 72h notification, and 1-month final-report</w:t>
      </w:r>
      <w:r>
        <w:rPr>
          <w:i/>
          <w:iCs/>
        </w:rPr>
        <w:t xml:space="preserve"> </w:t>
      </w:r>
      <w:r>
        <w:rPr>
          <w:i/>
          <w:iCs/>
        </w:rPr>
        <w:t xml:space="preserve">cadence with the same evidence pack each time?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If senior management is personally liable under Article 20(1), what</w:t>
      </w:r>
      <w:r>
        <w:rPr>
          <w:i/>
          <w:iCs/>
        </w:rPr>
        <w:t xml:space="preserve"> </w:t>
      </w:r>
      <w:r>
        <w:rPr>
          <w:i/>
          <w:iCs/>
        </w:rPr>
        <w:t xml:space="preserve">artefact do they look at to discharge that liability with confidence?</w:t>
      </w:r>
    </w:p>
    <w:p>
      <w:pPr>
        <w:pStyle w:val="FirstParagraph"/>
      </w:pPr>
      <w:r>
        <w:rPr>
          <w:b/>
          <w:bCs/>
        </w:rPr>
        <w:t xml:space="preserve">What you'll need.</w:t>
      </w:r>
      <w:r>
        <w:t xml:space="preserve"> </w:t>
      </w:r>
      <w:r>
        <w:t xml:space="preserve">Your entity's NIS2 classification (essential</w:t>
      </w:r>
      <w:r>
        <w:t xml:space="preserve"> </w:t>
      </w:r>
      <w:r>
        <w:t xml:space="preserve">vs. important — affects supervisory regime), your asset inventory,</w:t>
      </w:r>
      <w:r>
        <w:t xml:space="preserve"> </w:t>
      </w:r>
      <w:r>
        <w:t xml:space="preserve">the list of services your management body has identified as in scope,</w:t>
      </w:r>
      <w:r>
        <w:t xml:space="preserve"> </w:t>
      </w:r>
      <w:r>
        <w:t xml:space="preserve">your current incident-response runbook, your current supplier register,</w:t>
      </w:r>
      <w:r>
        <w:t xml:space="preserve"> </w:t>
      </w:r>
      <w:r>
        <w:t xml:space="preserve">and the contact details of your competent authority and CSIRT.</w:t>
      </w:r>
    </w:p>
    <w:p>
      <w:pPr>
        <w:pStyle w:val="BodyText"/>
      </w:pPr>
      <w:r>
        <w:rPr>
          <w:b/>
          <w:bCs/>
        </w:rPr>
        <w:t xml:space="preserve">Where to start.</w:t>
      </w:r>
      <w:r>
        <w:t xml:space="preserve"> </w:t>
      </w:r>
      <w:r>
        <w:t xml:space="preserve">Section 1 to align on what NIS2 actually requires</w:t>
      </w:r>
      <w:r>
        <w:t xml:space="preserve"> </w:t>
      </w:r>
      <w:r>
        <w:t xml:space="preserve">(it is broader and less prescriptive than DORA); section 2 if you're</w:t>
      </w:r>
      <w:r>
        <w:t xml:space="preserve"> </w:t>
      </w:r>
      <w:r>
        <w:t xml:space="preserve">mapping CSW to the ten Article 21(2) measures one-by-one; section 4</w:t>
      </w:r>
      <w:r>
        <w:t xml:space="preserve"> </w:t>
      </w:r>
      <w:r>
        <w:t xml:space="preserve">if reporting under Article 23 is the open item; section 5 if supply-</w:t>
      </w:r>
      <w:r>
        <w:t xml:space="preserve"> </w:t>
      </w:r>
      <w:r>
        <w:t xml:space="preserve">chain visibility is the gap; section 7 if you need the auditor /</w:t>
      </w:r>
      <w:r>
        <w:t xml:space="preserve"> </w:t>
      </w:r>
      <w:r>
        <w:t xml:space="preserve">competent-authority response cookbook.</w:t>
      </w:r>
    </w:p>
    <w:p>
      <w:pPr>
        <w:pStyle w:val="BodyText"/>
      </w:pPr>
      <w:r>
        <w:rPr>
          <w:b/>
          <w:bCs/>
        </w:rPr>
        <w:t xml:space="preserve">Important.</w:t>
      </w:r>
      <w:r>
        <w:t xml:space="preserve"> </w:t>
      </w:r>
      <w:r>
        <w:t xml:space="preserve">NIS2 places personal liability on management bodies</w:t>
      </w:r>
      <w:r>
        <w:t xml:space="preserve"> </w:t>
      </w:r>
      <w:r>
        <w:t xml:space="preserve">(Art. 20(1)) and explicit training obligations on them (Art. 20(2)).</w:t>
      </w:r>
      <w:r>
        <w:t xml:space="preserve"> </w:t>
      </w:r>
      <w:r>
        <w:t xml:space="preserve">Nothing in this runbook substitutes for that governance. CSW gives</w:t>
      </w:r>
      <w:r>
        <w:t xml:space="preserve"> </w:t>
      </w:r>
      <w:r>
        <w:t xml:space="preserve">the management body the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it needs to discharge that</w:t>
      </w:r>
      <w:r>
        <w:t xml:space="preserve"> </w:t>
      </w:r>
      <w:r>
        <w:t xml:space="preserve">accountability with confidence; it does not discharge it on the body's</w:t>
      </w:r>
      <w:r>
        <w:t xml:space="preserve"> </w:t>
      </w:r>
      <w:r>
        <w:t xml:space="preserve">behalf.</w:t>
      </w:r>
    </w:p>
    <w:p>
      <w:r>
        <w:pict>
          <v:rect style="width:0;height:1.5pt" o:hralign="center" o:hrstd="t" o:hr="t"/>
        </w:pict>
      </w:r>
    </w:p>
    <w:bookmarkEnd w:id="10"/>
    <w:bookmarkStart w:id="13" w:name="X9ea0bc5b10255d5807114f32c5382b01b68ee39"/>
    <w:p>
      <w:pPr>
        <w:pStyle w:val="Heading2"/>
      </w:pPr>
      <w:r>
        <w:t xml:space="preserve">CSW primer — if you are new to Cisco Secure Workload</w:t>
      </w:r>
    </w:p>
    <w:p>
      <w:pPr>
        <w:pStyle w:val="FirstParagraph"/>
      </w:pPr>
      <w:r>
        <w:t xml:space="preserve">Cisco Secure Workload (CSW) is a</w:t>
      </w:r>
      <w:r>
        <w:t xml:space="preserve"> </w:t>
      </w:r>
      <w:r>
        <w:rPr>
          <w:b/>
          <w:bCs/>
        </w:rPr>
        <w:t xml:space="preserve">workload protection platform</w:t>
      </w:r>
      <w:r>
        <w:t xml:space="preserve">. A lightweight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on each server/VM/container observes processes and network flows;</w:t>
      </w:r>
      <w:r>
        <w:t xml:space="preserve"> </w:t>
      </w:r>
      <w:r>
        <w:rPr>
          <w:b/>
          <w:bCs/>
        </w:rPr>
        <w:t xml:space="preserve">cloud connectors</w:t>
      </w:r>
      <w:r>
        <w:t xml:space="preserve"> </w:t>
      </w:r>
      <w:r>
        <w:t xml:space="preserve">add AWS/Azure/GCP inventory where agents are not deployed.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CSW 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Why compliance teams care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Logical boundary (CDE, PHI zone, CUI enclave)</w:t>
            </w:r>
          </w:p>
        </w:tc>
        <w:tc>
          <w:tcPr/>
          <w:p>
            <w:pPr>
              <w:pStyle w:val="Compact"/>
            </w:pPr>
            <w:r>
              <w:t xml:space="preserve">Defines the systems you must prove are isolated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Label / filter</w:t>
            </w:r>
          </w:p>
        </w:tc>
        <w:tc>
          <w:tcPr/>
          <w:p>
            <w:pPr>
              <w:pStyle w:val="Compact"/>
            </w:pPr>
            <w:r>
              <w:t xml:space="preserve">Tag or query assigning workloads to scopes</w:t>
            </w:r>
          </w:p>
        </w:tc>
        <w:tc>
          <w:tcPr/>
          <w:p>
            <w:pPr>
              <w:pStyle w:val="Compact"/>
            </w:pPr>
            <w:r>
              <w:t xml:space="preserve">Automates scope membership — reduces drift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</w:t>
            </w:r>
          </w:p>
        </w:tc>
        <w:tc>
          <w:tcPr/>
          <w:p>
            <w:pPr>
              <w:pStyle w:val="Compact"/>
            </w:pPr>
            <w:r>
              <w:t xml:space="preserve">Application Dependency Mapping from observed traffic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</w:t>
            </w:r>
            <w:r>
              <w:t xml:space="preserve"> </w:t>
            </w:r>
            <w:r>
              <w:t xml:space="preserve">network/data-flow diagram for assessors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Workspace</w:t>
            </w:r>
          </w:p>
        </w:tc>
        <w:tc>
          <w:tcPr/>
          <w:p>
            <w:pPr>
              <w:pStyle w:val="Compact"/>
            </w:pPr>
            <w:r>
              <w:t xml:space="preserve">Policy container for one scope or application</w:t>
            </w:r>
          </w:p>
        </w:tc>
        <w:tc>
          <w:tcPr/>
          <w:p>
            <w:pPr>
              <w:pStyle w:val="Compact"/>
            </w:pPr>
            <w:r>
              <w:t xml:space="preserve">Where allow/deny rules are authored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 → Simulation → Enforce</w:t>
            </w:r>
          </w:p>
        </w:tc>
        <w:tc>
          <w:tcPr/>
          <w:p>
            <w:pPr>
              <w:pStyle w:val="Compact"/>
            </w:pPr>
            <w:r>
              <w:t xml:space="preserve">Safe rollout sequence</w:t>
            </w:r>
          </w:p>
        </w:tc>
        <w:tc>
          <w:tcPr/>
          <w:p>
            <w:pPr>
              <w:pStyle w:val="Compact"/>
            </w:pPr>
            <w:r>
              <w:t xml:space="preserve">Simulation = change-board evidence before blocking traffic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Denied Connections</w:t>
            </w:r>
          </w:p>
        </w:tc>
        <w:tc>
          <w:tcPr/>
          <w:p>
            <w:pPr>
              <w:pStyle w:val="Compact"/>
            </w:pPr>
            <w:r>
              <w:t xml:space="preserve">Log of flows blocked by policy</w:t>
            </w:r>
          </w:p>
        </w:tc>
        <w:tc>
          <w:tcPr/>
          <w:p>
            <w:pPr>
              <w:pStyle w:val="Compact"/>
            </w:pPr>
            <w:r>
              <w:t xml:space="preserve">Primary proof that enforcement</w:t>
            </w:r>
            <w:r>
              <w:t xml:space="preserve"> </w:t>
            </w:r>
            <w:r>
              <w:rPr>
                <w:b/>
                <w:bCs/>
              </w:rPr>
              <w:t xml:space="preserve">operates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Console areas:</w:t>
      </w:r>
      <w:r>
        <w:t xml:space="preserve"> </w:t>
      </w:r>
      <w:r>
        <w:t xml:space="preserve">Investigate (inventory, flows, vulns) · Defend/Segmentation (policy) · Manage (agents) · Platform (connectors) · Administration (audit log)</w:t>
      </w:r>
    </w:p>
    <w:p>
      <w:pPr>
        <w:pStyle w:val="BodyText"/>
      </w:pPr>
      <w:r>
        <w:rPr>
          <w:b/>
          <w:bCs/>
        </w:rPr>
        <w:t xml:space="preserve">Read next:</w:t>
      </w:r>
      <w:r>
        <w:t xml:space="preserve"> </w:t>
      </w:r>
      <w:hyperlink r:id="rId11">
        <w:r>
          <w:rPr>
            <w:rStyle w:val="Hyperlink"/>
          </w:rPr>
          <w:t xml:space="preserve">Compliance evidence playbook</w:t>
        </w:r>
      </w:hyperlink>
      <w:r>
        <w:t xml:space="preserve"> </w:t>
      </w:r>
      <w:r>
        <w:t xml:space="preserve">(full step-by-step) ·</w:t>
      </w:r>
      <w:r>
        <w:t xml:space="preserve"> </w:t>
      </w:r>
      <w:hyperlink r:id="rId12">
        <w:r>
          <w:rPr>
            <w:rStyle w:val="Hyperlink"/>
          </w:rPr>
          <w:t xml:space="preserve">About CSW</w:t>
        </w:r>
      </w:hyperlink>
      <w:r>
        <w:t xml:space="preserve"> </w:t>
      </w:r>
      <w:r>
        <w:t xml:space="preserve">(platform intro)</w:t>
      </w:r>
    </w:p>
    <w:p>
      <w:r>
        <w:pict>
          <v:rect style="width:0;height:1.5pt" o:hralign="center" o:hrstd="t" o:hr="t"/>
        </w:pict>
      </w:r>
    </w:p>
    <w:bookmarkEnd w:id="13"/>
    <w:bookmarkStart w:id="19" w:name="universal-evidence-workflow"/>
    <w:p>
      <w:pPr>
        <w:pStyle w:val="Heading2"/>
      </w:pPr>
      <w:r>
        <w:t xml:space="preserve">Universal evidence workflow</w:t>
      </w:r>
    </w:p>
    <w:p>
      <w:pPr>
        <w:pStyle w:val="FirstParagraph"/>
      </w:pPr>
      <w:r>
        <w:t xml:space="preserve">Execute these phases for</w:t>
      </w:r>
      <w:r>
        <w:t xml:space="preserve"> </w:t>
      </w:r>
      <w:r>
        <w:rPr>
          <w:b/>
          <w:bCs/>
        </w:rPr>
        <w:t xml:space="preserve">this framework's</w:t>
      </w:r>
      <w:r>
        <w:t xml:space="preserve"> </w:t>
      </w:r>
      <w:r>
        <w:t xml:space="preserve">compliance boundary. Map exports to control IDs in the</w:t>
      </w:r>
      <w:r>
        <w:t xml:space="preserve"> </w:t>
      </w:r>
      <w:r>
        <w:rPr>
          <w:b/>
          <w:bCs/>
        </w:rPr>
        <w:t xml:space="preserve">Reporting &amp; Evidence</w:t>
      </w:r>
      <w:r>
        <w:t xml:space="preserve"> </w:t>
      </w:r>
      <w:r>
        <w:t xml:space="preserve">section below.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Key CSW actions</w:t>
            </w:r>
          </w:p>
        </w:tc>
        <w:tc>
          <w:tcPr/>
          <w:p>
            <w:pPr>
              <w:pStyle w:val="Compact"/>
            </w:pPr>
            <w:r>
              <w:t xml:space="preserve">Typical duration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— Coverage</w:t>
            </w:r>
          </w:p>
        </w:tc>
        <w:tc>
          <w:tcPr/>
          <w:p>
            <w:pPr>
              <w:pStyle w:val="Compact"/>
            </w:pPr>
            <w:r>
              <w:t xml:space="preserve">Every in-scope workload in CSW</w:t>
            </w:r>
          </w:p>
        </w:tc>
        <w:tc>
          <w:tcPr/>
          <w:p>
            <w:pPr>
              <w:pStyle w:val="Compact"/>
            </w:pPr>
            <w:r>
              <w:t xml:space="preserve">Install agents/connectors; apply compliance labels; create scope</w:t>
            </w:r>
          </w:p>
        </w:tc>
        <w:tc>
          <w:tcPr/>
          <w:p>
            <w:pPr>
              <w:pStyle w:val="Compact"/>
            </w:pPr>
            <w:r>
              <w:t xml:space="preserve">Days 1–10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— Baseline</w:t>
            </w:r>
          </w:p>
        </w:tc>
        <w:tc>
          <w:tcPr/>
          <w:p>
            <w:pPr>
              <w:pStyle w:val="Compact"/>
            </w:pPr>
            <w:r>
              <w:t xml:space="preserve">Machine-generated flow map</w:t>
            </w:r>
          </w:p>
        </w:tc>
        <w:tc>
          <w:tcPr/>
          <w:p>
            <w:pPr>
              <w:pStyle w:val="Compact"/>
            </w:pPr>
            <w:r>
              <w:t xml:space="preserve">Run ADM ≥2 weeks; export clusters; app-owner signoff</w:t>
            </w:r>
          </w:p>
        </w:tc>
        <w:tc>
          <w:tcPr/>
          <w:p>
            <w:pPr>
              <w:pStyle w:val="Compact"/>
            </w:pPr>
            <w:r>
              <w:t xml:space="preserve">Days 11–28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— Policy</w:t>
            </w:r>
          </w:p>
        </w:tc>
        <w:tc>
          <w:tcPr/>
          <w:p>
            <w:pPr>
              <w:pStyle w:val="Compact"/>
            </w:pPr>
            <w:r>
              <w:t xml:space="preserve">Designed isolation before enforce</w:t>
            </w:r>
          </w:p>
        </w:tc>
        <w:tc>
          <w:tcPr/>
          <w:p>
            <w:pPr>
              <w:pStyle w:val="Compact"/>
            </w:pPr>
            <w:r>
              <w:t xml:space="preserve">Build workspace; Simulation mode; fix false positives</w:t>
            </w:r>
          </w:p>
        </w:tc>
        <w:tc>
          <w:tcPr/>
          <w:p>
            <w:pPr>
              <w:pStyle w:val="Compact"/>
            </w:pPr>
            <w:r>
              <w:t xml:space="preserve">Days 29–45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— Operate</w:t>
            </w:r>
          </w:p>
        </w:tc>
        <w:tc>
          <w:tcPr/>
          <w:p>
            <w:pPr>
              <w:pStyle w:val="Compact"/>
            </w:pPr>
            <w:r>
              <w:t xml:space="preserve">Continuous proof between audits</w:t>
            </w:r>
          </w:p>
        </w:tc>
        <w:tc>
          <w:tcPr/>
          <w:p>
            <w:pPr>
              <w:pStyle w:val="Compact"/>
            </w:pPr>
            <w:r>
              <w:t xml:space="preserve">Enforce; quarterly export pack; ADM refresh every 90 days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</w:tr>
    </w:tbl>
    <w:bookmarkStart w:id="14" w:name="phase-1-checklist-coverage"/>
    <w:p>
      <w:pPr>
        <w:pStyle w:val="Heading3"/>
      </w:pPr>
      <w:r>
        <w:t xml:space="preserve">Phase 1 checklist (coverage)</w:t>
      </w:r>
    </w:p>
    <w:p>
      <w:pPr>
        <w:pStyle w:val="Compact"/>
        <w:numPr>
          <w:ilvl w:val="0"/>
          <w:numId w:val="1002"/>
        </w:numPr>
      </w:pPr>
      <w:r>
        <w:t xml:space="preserve">In-scope host list reconciled to CSW Inventory (100% or documented exceptions)</w:t>
      </w:r>
    </w:p>
    <w:p>
      <w:pPr>
        <w:pStyle w:val="Compact"/>
        <w:numPr>
          <w:ilvl w:val="0"/>
          <w:numId w:val="1003"/>
        </w:numPr>
      </w:pPr>
      <w:r>
        <w:t xml:space="preserve">Labels applied:</w:t>
      </w:r>
      <w:r>
        <w:t xml:space="preserve"> </w:t>
      </w:r>
      <w:r>
        <w:rPr>
          <w:rStyle w:val="VerbatimChar"/>
        </w:rPr>
        <w:t xml:space="preserve">compliance:&lt;framework&gt;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data:&lt;classification&gt;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env:&lt;tier&gt;</w:t>
      </w:r>
    </w:p>
    <w:p>
      <w:pPr>
        <w:pStyle w:val="Compact"/>
        <w:numPr>
          <w:ilvl w:val="0"/>
          <w:numId w:val="1004"/>
        </w:numPr>
      </w:pPr>
      <w:r>
        <w:t xml:space="preserve">CSW scope created matching compliance boundary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inventory CSV + agent status screenshot</w:t>
      </w:r>
    </w:p>
    <w:bookmarkEnd w:id="14"/>
    <w:bookmarkStart w:id="15" w:name="phase-2-checklist-baseline"/>
    <w:p>
      <w:pPr>
        <w:pStyle w:val="Heading3"/>
      </w:pPr>
      <w:r>
        <w:t xml:space="preserve">Phase 2 checklist (baseline)</w:t>
      </w:r>
    </w:p>
    <w:p>
      <w:pPr>
        <w:pStyle w:val="Compact"/>
        <w:numPr>
          <w:ilvl w:val="0"/>
          <w:numId w:val="1006"/>
        </w:numPr>
      </w:pPr>
      <w:r>
        <w:t xml:space="preserve">ADM running on compliance scope for full business cycle (≥2 weeks)</w:t>
      </w:r>
    </w:p>
    <w:p>
      <w:pPr>
        <w:pStyle w:val="Compact"/>
        <w:numPr>
          <w:ilvl w:val="0"/>
          <w:numId w:val="1007"/>
        </w:numPr>
      </w:pPr>
      <w:r>
        <w:t xml:space="preserve">Unexpected flows documented (shadow IT, vendor egress, scope creep)</w:t>
      </w:r>
    </w:p>
    <w:p>
      <w:pPr>
        <w:pStyle w:val="Compact"/>
        <w:numPr>
          <w:ilvl w:val="0"/>
          <w:numId w:val="1008"/>
        </w:numPr>
      </w:pPr>
      <w:r>
        <w:t xml:space="preserve">App owners signed cluster-to-application mapping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ADM diagram + flow samples with process context</w:t>
      </w:r>
    </w:p>
    <w:bookmarkEnd w:id="15"/>
    <w:bookmarkStart w:id="16" w:name="phase-3-checklist-policy"/>
    <w:p>
      <w:pPr>
        <w:pStyle w:val="Heading3"/>
      </w:pPr>
      <w:r>
        <w:t xml:space="preserve">Phase 3 checklist (policy)</w:t>
      </w:r>
    </w:p>
    <w:p>
      <w:pPr>
        <w:pStyle w:val="Compact"/>
        <w:numPr>
          <w:ilvl w:val="0"/>
          <w:numId w:val="1010"/>
        </w:numPr>
      </w:pPr>
      <w:r>
        <w:t xml:space="preserve">Default-deny posture defined for sensitive scope</w:t>
      </w:r>
    </w:p>
    <w:p>
      <w:pPr>
        <w:pStyle w:val="Compact"/>
        <w:numPr>
          <w:ilvl w:val="0"/>
          <w:numId w:val="1011"/>
        </w:numPr>
      </w:pPr>
      <w:r>
        <w:t xml:space="preserve">ADM-imported rules refined; Simulation run ≥1 week</w:t>
      </w:r>
    </w:p>
    <w:p>
      <w:pPr>
        <w:pStyle w:val="Compact"/>
        <w:numPr>
          <w:ilvl w:val="0"/>
          <w:numId w:val="1012"/>
        </w:numPr>
      </w:pPr>
      <w:r>
        <w:t xml:space="preserve">Change tickets for false-positive fixes; exception register updated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policy export + simulation report</w:t>
      </w:r>
    </w:p>
    <w:bookmarkEnd w:id="16"/>
    <w:bookmarkStart w:id="17" w:name="phase-4-checklist-operate"/>
    <w:p>
      <w:pPr>
        <w:pStyle w:val="Heading3"/>
      </w:pPr>
      <w:r>
        <w:t xml:space="preserve">Phase 4 checklist (operate)</w:t>
      </w:r>
    </w:p>
    <w:p>
      <w:pPr>
        <w:pStyle w:val="Compact"/>
        <w:numPr>
          <w:ilvl w:val="0"/>
          <w:numId w:val="1014"/>
        </w:numPr>
      </w:pPr>
      <w:r>
        <w:t xml:space="preserve">Enforcement enabled on pilot scope; negative test recorded in Denied Connections</w:t>
      </w:r>
    </w:p>
    <w:p>
      <w:pPr>
        <w:pStyle w:val="Compact"/>
        <w:numPr>
          <w:ilvl w:val="0"/>
          <w:numId w:val="1015"/>
        </w:numPr>
      </w:pPr>
      <w:r>
        <w:t xml:space="preserve">Quarterly pack: inventory, policy, denies, vulns, audit log (see playbook)</w:t>
      </w:r>
    </w:p>
    <w:p>
      <w:pPr>
        <w:pStyle w:val="Compact"/>
        <w:numPr>
          <w:ilvl w:val="0"/>
          <w:numId w:val="1016"/>
        </w:numPr>
      </w:pPr>
      <w:r>
        <w:t xml:space="preserve">SIEM integration verified (sample events)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enforcement screenshot + quarterly binder</w:t>
      </w:r>
    </w:p>
    <w:bookmarkEnd w:id="17"/>
    <w:bookmarkStart w:id="18" w:name="what-csw-evidence-does-not-replace"/>
    <w:p>
      <w:pPr>
        <w:pStyle w:val="Heading3"/>
      </w:pPr>
      <w:r>
        <w:t xml:space="preserve">What CSW evidence does not replace</w:t>
      </w:r>
    </w:p>
    <w:p>
      <w:pPr>
        <w:pStyle w:val="FirstParagraph"/>
      </w:pPr>
      <w:r>
        <w:t xml:space="preserve">Physical access, HR/training records, encryption key management, signed BAAs/vendor contracts, formal pen tests, and assessor attestation still require separate programmes. CSW addresses the</w:t>
      </w:r>
      <w:r>
        <w:t xml:space="preserve"> </w:t>
      </w:r>
      <w:r>
        <w:rPr>
          <w:b/>
          <w:bCs/>
        </w:rPr>
        <w:t xml:space="preserve">workload-resident</w:t>
      </w:r>
      <w:r>
        <w:t xml:space="preserve"> </w:t>
      </w:r>
      <w:r>
        <w:t xml:space="preserve">slice: segmentation, flows, process context, vuln reachability, and change drift.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csw-effectiveness-for-this-framework"/>
    <w:p>
      <w:pPr>
        <w:pStyle w:val="Heading2"/>
      </w:pPr>
      <w:r>
        <w:t xml:space="preserve">CSW effectiveness for this framework</w:t>
      </w:r>
    </w:p>
    <w:p>
      <w:pPr>
        <w:pStyle w:val="Compact"/>
        <w:numPr>
          <w:ilvl w:val="0"/>
          <w:numId w:val="1018"/>
        </w:numPr>
      </w:pPr>
      <w:r>
        <w:t xml:space="preserve">Art. 21(2) risk-management mapping with continuous workload evidence</w:t>
      </w:r>
    </w:p>
    <w:p>
      <w:pPr>
        <w:pStyle w:val="Compact"/>
        <w:numPr>
          <w:ilvl w:val="0"/>
          <w:numId w:val="1018"/>
        </w:numPr>
      </w:pPr>
      <w:r>
        <w:t xml:space="preserve">Art. 23 incident timeline support (24h/72h/1-month)</w:t>
      </w:r>
    </w:p>
    <w:p>
      <w:pPr>
        <w:pStyle w:val="Compact"/>
        <w:numPr>
          <w:ilvl w:val="0"/>
          <w:numId w:val="1018"/>
        </w:numPr>
      </w:pPr>
      <w:r>
        <w:t xml:space="preserve">Art. 21(2)(d) supply-chain egress visibility</w:t>
      </w:r>
    </w:p>
    <w:p>
      <w:pPr>
        <w:pStyle w:val="FirstParagraph"/>
      </w:pPr>
      <w:r>
        <w:rPr>
          <w:b/>
          <w:bCs/>
        </w:rPr>
        <w:t xml:space="preserve">Compared to manual programmes:</w:t>
      </w:r>
      <w:r>
        <w:t xml:space="preserve"> </w:t>
      </w:r>
      <w:r>
        <w:t xml:space="preserve">static diagrams and annual firewall samples age immediately; CSW ties evidence to</w:t>
      </w:r>
      <w:r>
        <w:t xml:space="preserve"> </w:t>
      </w:r>
      <w:r>
        <w:rPr>
          <w:b/>
          <w:bCs/>
        </w:rPr>
        <w:t xml:space="preserve">live workload behaviour</w:t>
      </w:r>
      <w:r>
        <w:t xml:space="preserve"> </w:t>
      </w:r>
      <w:r>
        <w:t xml:space="preserve">and produces queryable exports on demand — supporting "operating effectively" language in PCI v4.0, SOC 2 CC7, and HIPAA risk analysis.</w:t>
      </w:r>
    </w:p>
    <w:p>
      <w:r>
        <w:pict>
          <v:rect style="width:0;height:1.5pt" o:hralign="center" o:hrstd="t" o:hr="t"/>
        </w:pict>
      </w:r>
    </w:p>
    <w:bookmarkEnd w:id="20"/>
    <w:bookmarkStart w:id="21" w:name="Xc8951b796c7b61cbdd4998c72efbdeed0056e13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NIS2 replaces NIS1 and applies to a far broader set of sectors and</w:t>
      </w:r>
      <w:r>
        <w:t xml:space="preserve"> </w:t>
      </w:r>
      <w:r>
        <w:t xml:space="preserve">entities. It establishes:</w:t>
      </w:r>
    </w:p>
    <w:p>
      <w:pPr>
        <w:pStyle w:val="Compact"/>
        <w:numPr>
          <w:ilvl w:val="0"/>
          <w:numId w:val="1019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two-tier scope</w:t>
      </w:r>
      <w:r>
        <w:t xml:space="preserve">: essential entities (more intensive supervision</w:t>
      </w:r>
      <w:r>
        <w:t xml:space="preserve"> </w:t>
      </w:r>
      <w:r>
        <w:t xml:space="preserve">and higher fines) and important entities (lighter ex-post</w:t>
      </w:r>
      <w:r>
        <w:t xml:space="preserve"> </w:t>
      </w:r>
      <w:r>
        <w:t xml:space="preserve">supervision).</w:t>
      </w:r>
    </w:p>
    <w:p>
      <w:pPr>
        <w:pStyle w:val="Compact"/>
        <w:numPr>
          <w:ilvl w:val="0"/>
          <w:numId w:val="1019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risk-management framework</w:t>
      </w:r>
      <w:r>
        <w:t xml:space="preserve"> </w:t>
      </w:r>
      <w:r>
        <w:t xml:space="preserve">in Article 21(2) listing 10</w:t>
      </w:r>
      <w:r>
        <w:t xml:space="preserve"> </w:t>
      </w:r>
      <w:r>
        <w:t xml:space="preserve">cybersecurity measures every in-scope entity must implement.</w:t>
      </w:r>
    </w:p>
    <w:p>
      <w:pPr>
        <w:pStyle w:val="Compact"/>
        <w:numPr>
          <w:ilvl w:val="0"/>
          <w:numId w:val="1019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harmonised reporting regime</w:t>
      </w:r>
      <w:r>
        <w:t xml:space="preserve"> </w:t>
      </w:r>
      <w:r>
        <w:t xml:space="preserve">in Article 23 with three</w:t>
      </w:r>
      <w:r>
        <w:t xml:space="preserve"> </w:t>
      </w:r>
      <w:r>
        <w:t xml:space="preserve">deadlines: 24-hour early warning, 72-hour incident notification,</w:t>
      </w:r>
      <w:r>
        <w:t xml:space="preserve"> </w:t>
      </w:r>
      <w:r>
        <w:t xml:space="preserve">1-month final report.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Management body accountability</w:t>
      </w:r>
      <w:r>
        <w:t xml:space="preserve"> </w:t>
      </w:r>
      <w:r>
        <w:t xml:space="preserve">in Article 20 with personal</w:t>
      </w:r>
      <w:r>
        <w:t xml:space="preserve"> </w:t>
      </w:r>
      <w:r>
        <w:t xml:space="preserve">liability and a training obligation.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Supervisory and enforcement</w:t>
      </w:r>
      <w:r>
        <w:t xml:space="preserve"> </w:t>
      </w:r>
      <w:r>
        <w:t xml:space="preserve">regimes in Articles 32–33 with</w:t>
      </w:r>
      <w:r>
        <w:t xml:space="preserve"> </w:t>
      </w:r>
      <w:r>
        <w:t xml:space="preserve">fines up to €10m or 2% of worldwide turnover (essential entities).</w:t>
      </w:r>
    </w:p>
    <w:p>
      <w:pPr>
        <w:pStyle w:val="FirstParagraph"/>
      </w:pPr>
      <w:r>
        <w:t xml:space="preserve">CSW is most directly relevant to seven of the ten Article 21(2)</w:t>
      </w:r>
      <w:r>
        <w:t xml:space="preserve"> </w:t>
      </w:r>
      <w:r>
        <w:t xml:space="preserve">measures and to the technical evidence layer underneath Article 23</w:t>
      </w:r>
      <w:r>
        <w:t xml:space="preserve"> </w:t>
      </w:r>
      <w:r>
        <w:t xml:space="preserve">reporting. Identity, awareness training, cryptography, and HR-process</w:t>
      </w:r>
      <w:r>
        <w:t xml:space="preserve"> </w:t>
      </w:r>
      <w:r>
        <w:t xml:space="preserve">controls are addressed by complementary parts of the Cisco Security</w:t>
      </w:r>
      <w:r>
        <w:t xml:space="preserve"> </w:t>
      </w:r>
      <w:r>
        <w:t xml:space="preserve">portfolio (Duo, Identity Services Engine, Umbrella) and by the</w:t>
      </w:r>
      <w:r>
        <w:t xml:space="preserve"> </w:t>
      </w:r>
      <w:r>
        <w:t xml:space="preserve">customer's own programme.</w:t>
      </w:r>
    </w:p>
    <w:p>
      <w:r>
        <w:pict>
          <v:rect style="width:0;height:1.5pt" o:hralign="center" o:hrstd="t" o:hr="t"/>
        </w:pict>
      </w:r>
    </w:p>
    <w:bookmarkEnd w:id="21"/>
    <w:bookmarkStart w:id="32" w:name="X9cef3d131dc5bfe5a5c0a906223ac553e177805"/>
    <w:p>
      <w:pPr>
        <w:pStyle w:val="Heading2"/>
      </w:pPr>
      <w:r>
        <w:t xml:space="preserve">2. Article 21(2) — The Ten Measures</w:t>
      </w:r>
    </w:p>
    <w:p>
      <w:pPr>
        <w:pStyle w:val="FirstParagraph"/>
      </w:pPr>
      <w:r>
        <w:t xml:space="preserve">NIS2 is</w:t>
      </w:r>
      <w:r>
        <w:t xml:space="preserve"> </w:t>
      </w:r>
      <w:r>
        <w:rPr>
          <w:i/>
          <w:iCs/>
        </w:rPr>
        <w:t xml:space="preserve">measure-based</w:t>
      </w:r>
      <w:r>
        <w:t xml:space="preserve"> </w:t>
      </w:r>
      <w:r>
        <w:t xml:space="preserve">rather than control-prescriptive. Each</w:t>
      </w:r>
      <w:r>
        <w:t xml:space="preserve"> </w:t>
      </w:r>
      <w:r>
        <w:t xml:space="preserve">measure below is paraphrased; consult the official text and any</w:t>
      </w:r>
      <w:r>
        <w:t xml:space="preserve"> </w:t>
      </w:r>
      <w:r>
        <w:t xml:space="preserve">implementing acts for the binding wording.</w:t>
      </w:r>
    </w:p>
    <w:bookmarkStart w:id="22" w:name="X853e3b3d1d92c66d6aec33cc9cf7fbc1df6ed2b"/>
    <w:p>
      <w:pPr>
        <w:pStyle w:val="Heading3"/>
      </w:pPr>
      <w:r>
        <w:t xml:space="preserve">(a) Policies on risk analysis and information system security</w:t>
      </w:r>
    </w:p>
    <w:p>
      <w:pPr>
        <w:pStyle w:val="FirstParagraph"/>
      </w:pPr>
      <w:r>
        <w:rPr>
          <w:b/>
          <w:bCs/>
        </w:rPr>
        <w:t xml:space="preserve">What it requires.</w:t>
      </w:r>
      <w:r>
        <w:t xml:space="preserve"> </w:t>
      </w:r>
      <w:r>
        <w:t xml:space="preserve">Documented risk analysis and policies for</w:t>
      </w:r>
      <w:r>
        <w:t xml:space="preserve"> </w:t>
      </w:r>
      <w:r>
        <w:t xml:space="preserve">information-system security, proportionate to the risk.</w:t>
      </w:r>
    </w:p>
    <w:p>
      <w:pPr>
        <w:pStyle w:val="BodyText"/>
      </w:pPr>
      <w:r>
        <w:rPr>
          <w:b/>
          <w:bCs/>
        </w:rPr>
        <w:t xml:space="preserve">CSW Implementation:</w:t>
      </w:r>
    </w:p>
    <w:p>
      <w:pPr>
        <w:pStyle w:val="SourceCode"/>
      </w:pPr>
      <w:r>
        <w:rPr>
          <w:rStyle w:val="VerbatimChar"/>
        </w:rPr>
        <w:t xml:space="preserve">Step 1: Convert each policy clause that describes a workload behaviour</w:t>
      </w:r>
      <w:r>
        <w:br/>
      </w:r>
      <w:r>
        <w:rPr>
          <w:rStyle w:val="VerbatimChar"/>
        </w:rPr>
        <w:t xml:space="preserve">        into a CSW Intent</w:t>
      </w:r>
      <w:r>
        <w:br/>
      </w:r>
      <w:r>
        <w:rPr>
          <w:rStyle w:val="VerbatimChar"/>
        </w:rPr>
        <w:t xml:space="preserve">  → "PII workloads must not communicate with the internet" → DENY policy</w:t>
      </w:r>
      <w:r>
        <w:br/>
      </w:r>
      <w:r>
        <w:rPr>
          <w:rStyle w:val="VerbatimChar"/>
        </w:rPr>
        <w:t xml:space="preserve">  → "Production must not call non-production" → DENY policy</w:t>
      </w:r>
      <w:r>
        <w:br/>
      </w:r>
      <w:r>
        <w:rPr>
          <w:rStyle w:val="VerbatimChar"/>
        </w:rPr>
        <w:t xml:space="preserve">  → "Plaintext protocols are not used for sensitive data" → DENY policy</w:t>
      </w:r>
      <w:r>
        <w:br/>
      </w:r>
      <w:r>
        <w:br/>
      </w:r>
      <w:r>
        <w:rPr>
          <w:rStyle w:val="VerbatimChar"/>
        </w:rPr>
        <w:t xml:space="preserve">Step 2: For each Intent, run in Simulation</w:t>
      </w:r>
      <w:r>
        <w:br/>
      </w:r>
      <w:r>
        <w:rPr>
          <w:rStyle w:val="VerbatimChar"/>
        </w:rPr>
        <w:t xml:space="preserve">  → Simulation surfaces the gap between policy-on-paper and reality</w:t>
      </w:r>
      <w:r>
        <w:br/>
      </w:r>
      <w:r>
        <w:br/>
      </w:r>
      <w:r>
        <w:rPr>
          <w:rStyle w:val="VerbatimChar"/>
        </w:rPr>
        <w:t xml:space="preserve">Step 3: Resolve the gap</w:t>
      </w:r>
      <w:r>
        <w:br/>
      </w:r>
      <w:r>
        <w:rPr>
          <w:rStyle w:val="VerbatimChar"/>
        </w:rPr>
        <w:t xml:space="preserve">  → Either: change the application (close the gap)</w:t>
      </w:r>
      <w:r>
        <w:br/>
      </w:r>
      <w:r>
        <w:rPr>
          <w:rStyle w:val="VerbatimChar"/>
        </w:rPr>
        <w:t xml:space="preserve">  → Or: document a time-bound exception in the workspace notes</w:t>
      </w:r>
      <w:r>
        <w:br/>
      </w:r>
      <w:r>
        <w:rPr>
          <w:rStyle w:val="VerbatimChar"/>
        </w:rPr>
        <w:t xml:space="preserve">  → Either way, the policy is now grounded in observable behaviour</w:t>
      </w:r>
    </w:p>
    <w:p>
      <w:pPr>
        <w:pStyle w:val="FirstParagraph"/>
      </w:pPr>
      <w:r>
        <w:rPr>
          <w:b/>
          <w:bCs/>
        </w:rPr>
        <w:t xml:space="preserve">Evidence:</w:t>
      </w:r>
      <w:r>
        <w:t xml:space="preserve"> </w:t>
      </w:r>
      <w:r>
        <w:t xml:space="preserve">Workspace export showing each policy Intent with</w:t>
      </w:r>
      <w:r>
        <w:t xml:space="preserve"> </w:t>
      </w:r>
      <w:r>
        <w:t xml:space="preserve">in-scope workload count, current Simulation status, and exception list.</w:t>
      </w:r>
    </w:p>
    <w:p>
      <w:r>
        <w:pict>
          <v:rect style="width:0;height:1.5pt" o:hralign="center" o:hrstd="t" o:hr="t"/>
        </w:pict>
      </w:r>
    </w:p>
    <w:bookmarkEnd w:id="22"/>
    <w:bookmarkStart w:id="23" w:name="b-incident-handling"/>
    <w:p>
      <w:pPr>
        <w:pStyle w:val="Heading3"/>
      </w:pPr>
      <w:r>
        <w:t xml:space="preserve">(b) Incident handling</w:t>
      </w:r>
    </w:p>
    <w:p>
      <w:pPr>
        <w:pStyle w:val="FirstParagraph"/>
      </w:pPr>
      <w:r>
        <w:rPr>
          <w:b/>
          <w:bCs/>
        </w:rPr>
        <w:t xml:space="preserve">What it requires.</w:t>
      </w:r>
      <w:r>
        <w:t xml:space="preserve"> </w:t>
      </w:r>
      <w:r>
        <w:t xml:space="preserve">Capability to detect, respond to and recover from</w:t>
      </w:r>
      <w:r>
        <w:t xml:space="preserve"> </w:t>
      </w:r>
      <w:r>
        <w:t xml:space="preserve">incidents.</w:t>
      </w:r>
    </w:p>
    <w:p>
      <w:pPr>
        <w:pStyle w:val="BodyText"/>
      </w:pPr>
      <w:r>
        <w:rPr>
          <w:b/>
          <w:bCs/>
        </w:rPr>
        <w:t xml:space="preserve">CSW Implementation:</w:t>
      </w:r>
      <w:r>
        <w:t xml:space="preserve"> </w:t>
      </w:r>
      <w:r>
        <w:t xml:space="preserve">see §3 (Detection) and §4 (Reporting Evidence).</w:t>
      </w:r>
    </w:p>
    <w:p>
      <w:pPr>
        <w:pStyle w:val="BodyText"/>
      </w:pPr>
      <w:r>
        <w:rPr>
          <w:b/>
          <w:bCs/>
        </w:rPr>
        <w:t xml:space="preserve">Evidence:</w:t>
      </w:r>
      <w:r>
        <w:t xml:space="preserve"> </w:t>
      </w:r>
      <w:r>
        <w:t xml:space="preserve">Detection rule catalogue (with last-modified dates),</w:t>
      </w:r>
      <w:r>
        <w:t xml:space="preserve"> </w:t>
      </w:r>
      <w:r>
        <w:t xml:space="preserve">SIEM forwarding configuration, mean-time-to-detect by service.</w:t>
      </w:r>
    </w:p>
    <w:p>
      <w:r>
        <w:pict>
          <v:rect style="width:0;height:1.5pt" o:hralign="center" o:hrstd="t" o:hr="t"/>
        </w:pict>
      </w:r>
    </w:p>
    <w:bookmarkEnd w:id="23"/>
    <w:bookmarkStart w:id="24" w:name="X7a7888f78e7d5140dd5fca7e38e97e31c07936b"/>
    <w:p>
      <w:pPr>
        <w:pStyle w:val="Heading3"/>
      </w:pPr>
      <w:r>
        <w:t xml:space="preserve">(c) Business continuity, including backup management and crisis management</w:t>
      </w:r>
    </w:p>
    <w:p>
      <w:pPr>
        <w:pStyle w:val="FirstParagraph"/>
      </w:pPr>
      <w:r>
        <w:rPr>
          <w:b/>
          <w:bCs/>
        </w:rPr>
        <w:t xml:space="preserve">What it requires.</w:t>
      </w:r>
      <w:r>
        <w:t xml:space="preserve"> </w:t>
      </w:r>
      <w:r>
        <w:t xml:space="preserve">Recovery, backup, and crisis management.</w:t>
      </w:r>
    </w:p>
    <w:p>
      <w:pPr>
        <w:pStyle w:val="BodyText"/>
      </w:pPr>
      <w:r>
        <w:rPr>
          <w:b/>
          <w:bCs/>
        </w:rPr>
        <w:t xml:space="preserve">CSW position:</w:t>
      </w:r>
      <w:r>
        <w:t xml:space="preserve"> </w:t>
      </w:r>
      <w:r>
        <w:t xml:space="preserve">Out of scope for backup/recovery primitives. CSW</w:t>
      </w:r>
      <w:r>
        <w:t xml:space="preserve"> </w:t>
      </w:r>
      <w:r>
        <w:t xml:space="preserve">contributes by:</w:t>
      </w:r>
    </w:p>
    <w:p>
      <w:pPr>
        <w:pStyle w:val="Compact"/>
        <w:numPr>
          <w:ilvl w:val="0"/>
          <w:numId w:val="1020"/>
        </w:numPr>
      </w:pPr>
      <w:r>
        <w:t xml:space="preserve">providing the segmentation that limits incident blast radius</w:t>
      </w:r>
      <w:r>
        <w:t xml:space="preserve"> </w:t>
      </w:r>
      <w:r>
        <w:t xml:space="preserve">(so fewer assets need recovery), and</w:t>
      </w:r>
    </w:p>
    <w:p>
      <w:pPr>
        <w:pStyle w:val="Compact"/>
        <w:numPr>
          <w:ilvl w:val="0"/>
          <w:numId w:val="1020"/>
        </w:numPr>
      </w:pPr>
      <w:r>
        <w:t xml:space="preserve">preserving forensic flow data through a recovery event so post-</w:t>
      </w:r>
      <w:r>
        <w:t xml:space="preserve"> </w:t>
      </w:r>
      <w:r>
        <w:t xml:space="preserve">incident review (Art. 21(2)(b)) is grounded in evidence.</w:t>
      </w:r>
    </w:p>
    <w:p>
      <w:pPr>
        <w:pStyle w:val="FirstParagraph"/>
      </w:pPr>
      <w:r>
        <w:rPr>
          <w:b/>
          <w:bCs/>
        </w:rPr>
        <w:t xml:space="preserve">Evidence:</w:t>
      </w:r>
      <w:r>
        <w:t xml:space="preserve"> </w:t>
      </w:r>
      <w:r>
        <w:t xml:space="preserve">Containment policy applied per IBF; pre/post recovery</w:t>
      </w:r>
      <w:r>
        <w:t xml:space="preserve"> </w:t>
      </w:r>
      <w:r>
        <w:t xml:space="preserve">flow comparison.</w:t>
      </w:r>
    </w:p>
    <w:p>
      <w:r>
        <w:pict>
          <v:rect style="width:0;height:1.5pt" o:hralign="center" o:hrstd="t" o:hr="t"/>
        </w:pict>
      </w:r>
    </w:p>
    <w:bookmarkEnd w:id="24"/>
    <w:bookmarkStart w:id="25" w:name="d-supply-chain-security"/>
    <w:p>
      <w:pPr>
        <w:pStyle w:val="Heading3"/>
      </w:pPr>
      <w:r>
        <w:t xml:space="preserve">(d) Supply chain security</w:t>
      </w:r>
    </w:p>
    <w:p>
      <w:pPr>
        <w:pStyle w:val="FirstParagraph"/>
      </w:pPr>
      <w:r>
        <w:rPr>
          <w:b/>
          <w:bCs/>
        </w:rPr>
        <w:t xml:space="preserve">What it requires.</w:t>
      </w:r>
      <w:r>
        <w:t xml:space="preserve"> </w:t>
      </w:r>
      <w:r>
        <w:t xml:space="preserve">Aspects related to the supply-chain security</w:t>
      </w:r>
      <w:r>
        <w:t xml:space="preserve"> </w:t>
      </w:r>
      <w:r>
        <w:t xml:space="preserve">relationship between each entity and its direct suppliers / service</w:t>
      </w:r>
      <w:r>
        <w:t xml:space="preserve"> </w:t>
      </w:r>
      <w:r>
        <w:t xml:space="preserve">providers.</w:t>
      </w:r>
    </w:p>
    <w:p>
      <w:pPr>
        <w:pStyle w:val="BodyText"/>
      </w:pPr>
      <w:r>
        <w:rPr>
          <w:b/>
          <w:bCs/>
        </w:rPr>
        <w:t xml:space="preserve">CSW Implementation:</w:t>
      </w:r>
      <w:r>
        <w:t xml:space="preserve"> </w:t>
      </w:r>
      <w:r>
        <w:t xml:space="preserve">see §5.</w:t>
      </w:r>
    </w:p>
    <w:p>
      <w:r>
        <w:pict>
          <v:rect style="width:0;height:1.5pt" o:hralign="center" o:hrstd="t" o:hr="t"/>
        </w:pict>
      </w:r>
    </w:p>
    <w:bookmarkEnd w:id="25"/>
    <w:bookmarkStart w:id="26" w:name="Xe091d2786cf521d450b4d7f2535778b4e3e54d3"/>
    <w:p>
      <w:pPr>
        <w:pStyle w:val="Heading3"/>
      </w:pPr>
      <w:r>
        <w:t xml:space="preserve">(e) Security in network and information systems acquisition, development and maintenance, including vulnerability handling and disclosure</w:t>
      </w:r>
    </w:p>
    <w:p>
      <w:pPr>
        <w:pStyle w:val="FirstParagraph"/>
      </w:pPr>
      <w:r>
        <w:rPr>
          <w:b/>
          <w:bCs/>
        </w:rPr>
        <w:t xml:space="preserve">What it requires.</w:t>
      </w:r>
      <w:r>
        <w:t xml:space="preserve"> </w:t>
      </w:r>
      <w:r>
        <w:t xml:space="preserve">Secure development, vulnerability management,</w:t>
      </w:r>
      <w:r>
        <w:t xml:space="preserve"> </w:t>
      </w:r>
      <w:r>
        <w:t xml:space="preserve">and coordinated disclosure handling.</w:t>
      </w:r>
    </w:p>
    <w:p>
      <w:pPr>
        <w:pStyle w:val="BodyText"/>
      </w:pPr>
      <w:r>
        <w:rPr>
          <w:b/>
          <w:bCs/>
        </w:rPr>
        <w:t xml:space="preserve">CSW Implementation:</w:t>
      </w:r>
    </w:p>
    <w:p>
      <w:pPr>
        <w:pStyle w:val="SourceCode"/>
      </w:pPr>
      <w:r>
        <w:rPr>
          <w:rStyle w:val="VerbatimChar"/>
        </w:rPr>
        <w:t xml:space="preserve">Step 1: Continuous workload vulnerability inventory</w:t>
      </w:r>
      <w:r>
        <w:br/>
      </w:r>
      <w:r>
        <w:rPr>
          <w:rStyle w:val="VerbatimChar"/>
        </w:rPr>
        <w:t xml:space="preserve">  CSW UI → Vulnerabilities → Workloads</w:t>
      </w:r>
      <w:r>
        <w:br/>
      </w:r>
      <w:r>
        <w:rPr>
          <w:rStyle w:val="VerbatimChar"/>
        </w:rPr>
        <w:t xml:space="preserve">  Filter: severity ≥ High AND ibf=true → priority remediation queue</w:t>
      </w:r>
      <w:r>
        <w:br/>
      </w:r>
      <w:r>
        <w:rPr>
          <w:rStyle w:val="VerbatimChar"/>
        </w:rPr>
        <w:t xml:space="preserve">  Output: per-workload CVE, CVSS, exploit availability, EPSS</w:t>
      </w:r>
      <w:r>
        <w:br/>
      </w:r>
      <w:r>
        <w:br/>
      </w:r>
      <w:r>
        <w:rPr>
          <w:rStyle w:val="VerbatimChar"/>
        </w:rPr>
        <w:t xml:space="preserve">Step 2: Pre-deployment vulnerability gating</w:t>
      </w:r>
      <w:r>
        <w:br/>
      </w:r>
      <w:r>
        <w:rPr>
          <w:rStyle w:val="VerbatimChar"/>
        </w:rPr>
        <w:t xml:space="preserve">  → CI/CD gate: query CSW API for CVE exposure of the candidate image</w:t>
      </w:r>
      <w:r>
        <w:br/>
      </w:r>
      <w:r>
        <w:rPr>
          <w:rStyle w:val="VerbatimChar"/>
        </w:rPr>
        <w:t xml:space="preserve">  → Block deployment if the image introduces a Critical/Exploitable</w:t>
      </w:r>
      <w:r>
        <w:br/>
      </w:r>
      <w:r>
        <w:rPr>
          <w:rStyle w:val="VerbatimChar"/>
        </w:rPr>
        <w:t xml:space="preserve">    CVE not present in production already</w:t>
      </w:r>
      <w:r>
        <w:br/>
      </w:r>
      <w:r>
        <w:br/>
      </w:r>
      <w:r>
        <w:rPr>
          <w:rStyle w:val="VerbatimChar"/>
        </w:rPr>
        <w:t xml:space="preserve">Step 3: Vulnerability-to-flow correlation</w:t>
      </w:r>
      <w:r>
        <w:br/>
      </w:r>
      <w:r>
        <w:rPr>
          <w:rStyle w:val="VerbatimChar"/>
        </w:rPr>
        <w:t xml:space="preserve">  → For each High/Critical CVE: which workloads are affected, what</w:t>
      </w:r>
      <w:r>
        <w:br/>
      </w:r>
      <w:r>
        <w:rPr>
          <w:rStyle w:val="VerbatimChar"/>
        </w:rPr>
        <w:t xml:space="preserve">    other workloads talk to them, what's the actual reachable</w:t>
      </w:r>
      <w:r>
        <w:br/>
      </w:r>
      <w:r>
        <w:rPr>
          <w:rStyle w:val="VerbatimChar"/>
        </w:rPr>
        <w:t xml:space="preserve">    attack path?</w:t>
      </w:r>
      <w:r>
        <w:br/>
      </w:r>
      <w:r>
        <w:rPr>
          <w:rStyle w:val="VerbatimChar"/>
        </w:rPr>
        <w:t xml:space="preserve">  → This is the artefact your competent authority and ENISA will</w:t>
      </w:r>
      <w:r>
        <w:br/>
      </w:r>
      <w:r>
        <w:rPr>
          <w:rStyle w:val="VerbatimChar"/>
        </w:rPr>
        <w:t xml:space="preserve">    increasingly expect under Art. 21(2)(e) and the CRA-aligned RTS.</w:t>
      </w:r>
    </w:p>
    <w:p>
      <w:pPr>
        <w:pStyle w:val="FirstParagraph"/>
      </w:pPr>
      <w:r>
        <w:rPr>
          <w:b/>
          <w:bCs/>
        </w:rPr>
        <w:t xml:space="preserve">Evidence:</w:t>
      </w:r>
      <w:r>
        <w:t xml:space="preserve"> </w:t>
      </w:r>
      <w:r>
        <w:t xml:space="preserve">Weekly vulnerability backlog by criticality, aged;</w:t>
      </w:r>
      <w:r>
        <w:t xml:space="preserve"> </w:t>
      </w:r>
      <w:r>
        <w:t xml:space="preserve">CI/CD gate audit log; CVE-to-attack-path report per major</w:t>
      </w:r>
      <w:r>
        <w:t xml:space="preserve"> </w:t>
      </w:r>
      <w:r>
        <w:t xml:space="preserve">vulnerability event.</w:t>
      </w:r>
    </w:p>
    <w:p>
      <w:r>
        <w:pict>
          <v:rect style="width:0;height:1.5pt" o:hralign="center" o:hrstd="t" o:hr="t"/>
        </w:pict>
      </w:r>
    </w:p>
    <w:bookmarkEnd w:id="26"/>
    <w:bookmarkStart w:id="27" w:name="X60153df10e224ca46fa9e73819165dc5c7b6353"/>
    <w:p>
      <w:pPr>
        <w:pStyle w:val="Heading3"/>
      </w:pPr>
      <w:r>
        <w:t xml:space="preserve">(f) Policies and procedures to assess the effectiveness of cybersecurity risk-management measures</w:t>
      </w:r>
    </w:p>
    <w:p>
      <w:pPr>
        <w:pStyle w:val="FirstParagraph"/>
      </w:pPr>
      <w:r>
        <w:rPr>
          <w:b/>
          <w:bCs/>
        </w:rPr>
        <w:t xml:space="preserve">What it requires.</w:t>
      </w:r>
      <w:r>
        <w:t xml:space="preserve"> </w:t>
      </w:r>
      <w:r>
        <w:t xml:space="preserve">Demonstrate that the measures are</w:t>
      </w:r>
      <w:r>
        <w:t xml:space="preserve"> </w:t>
      </w:r>
      <w:r>
        <w:rPr>
          <w:i/>
          <w:iCs/>
        </w:rPr>
        <w:t xml:space="preserve">effective</w:t>
      </w:r>
      <w:r>
        <w:t xml:space="preserve">,</w:t>
      </w:r>
      <w:r>
        <w:t xml:space="preserve"> </w:t>
      </w:r>
      <w:r>
        <w:t xml:space="preserve">not just present.</w:t>
      </w:r>
    </w:p>
    <w:p>
      <w:pPr>
        <w:pStyle w:val="BodyText"/>
      </w:pPr>
      <w:r>
        <w:rPr>
          <w:b/>
          <w:bCs/>
        </w:rPr>
        <w:t xml:space="preserve">CSW Implementation — the "effectiveness" pack:</w:t>
      </w:r>
    </w:p>
    <w:p>
      <w:pPr>
        <w:pStyle w:val="SourceCode"/>
      </w:pPr>
      <w:r>
        <w:rPr>
          <w:rStyle w:val="VerbatimChar"/>
        </w:rPr>
        <w:t xml:space="preserve">For each Article 21(2) measure CSW supports, produce one piece of</w:t>
      </w:r>
      <w:r>
        <w:br/>
      </w:r>
      <w:r>
        <w:rPr>
          <w:rStyle w:val="VerbatimChar"/>
        </w:rPr>
        <w:t xml:space="preserve">*operating effectiveness* evidence per quarter:</w:t>
      </w:r>
      <w:r>
        <w:br/>
      </w:r>
      <w:r>
        <w:br/>
      </w:r>
      <w:r>
        <w:rPr>
          <w:rStyle w:val="VerbatimChar"/>
        </w:rPr>
        <w:t xml:space="preserve">  Measure (a): policy-vs-observed Simulation diff (gap closure rate)</w:t>
      </w:r>
      <w:r>
        <w:br/>
      </w:r>
      <w:r>
        <w:rPr>
          <w:rStyle w:val="VerbatimChar"/>
        </w:rPr>
        <w:t xml:space="preserve">  Measure (b): MTTD trend per service, MTTR trend per incident class</w:t>
      </w:r>
      <w:r>
        <w:br/>
      </w:r>
      <w:r>
        <w:rPr>
          <w:rStyle w:val="VerbatimChar"/>
        </w:rPr>
        <w:t xml:space="preserve">  Measure (d): supplier egress drift count (new endpoints per quarter)</w:t>
      </w:r>
      <w:r>
        <w:br/>
      </w:r>
      <w:r>
        <w:rPr>
          <w:rStyle w:val="VerbatimChar"/>
        </w:rPr>
        <w:t xml:space="preserve">  Measure (e): CVE backlog trend by severity, mean-time-to-patch</w:t>
      </w:r>
      <w:r>
        <w:br/>
      </w:r>
      <w:r>
        <w:rPr>
          <w:rStyle w:val="VerbatimChar"/>
        </w:rPr>
        <w:t xml:space="preserve">  Measure (i): workloads without required asset labels (drift count)</w:t>
      </w:r>
      <w:r>
        <w:br/>
      </w:r>
      <w:r>
        <w:rPr>
          <w:rStyle w:val="VerbatimChar"/>
        </w:rPr>
        <w:t xml:space="preserve">  Measure (j): denied workload-to-workload connections per period</w:t>
      </w:r>
      <w:r>
        <w:br/>
      </w:r>
      <w:r>
        <w:br/>
      </w:r>
      <w:r>
        <w:rPr>
          <w:rStyle w:val="VerbatimChar"/>
        </w:rPr>
        <w:t xml:space="preserve">Bundle into a quarterly "NIS2 Article 21(2)(f) effectiveness pack"</w:t>
      </w:r>
      <w:r>
        <w:br/>
      </w:r>
      <w:r>
        <w:rPr>
          <w:rStyle w:val="VerbatimChar"/>
        </w:rPr>
        <w:t xml:space="preserve">that the management body reviews under Art. 20(1).</w:t>
      </w:r>
    </w:p>
    <w:p>
      <w:pPr>
        <w:pStyle w:val="FirstParagraph"/>
      </w:pPr>
      <w:r>
        <w:rPr>
          <w:b/>
          <w:bCs/>
        </w:rPr>
        <w:t xml:space="preserve">Evidence:</w:t>
      </w:r>
      <w:r>
        <w:t xml:space="preserve"> </w:t>
      </w:r>
      <w:r>
        <w:t xml:space="preserve">Quarterly effectiveness pack (PDF/CSV).</w:t>
      </w:r>
    </w:p>
    <w:p>
      <w:r>
        <w:pict>
          <v:rect style="width:0;height:1.5pt" o:hralign="center" o:hrstd="t" o:hr="t"/>
        </w:pict>
      </w:r>
    </w:p>
    <w:bookmarkEnd w:id="27"/>
    <w:bookmarkStart w:id="28" w:name="X5217d6973158e466f6176ec3531e78bfcaaad07"/>
    <w:p>
      <w:pPr>
        <w:pStyle w:val="Heading3"/>
      </w:pPr>
      <w:r>
        <w:t xml:space="preserve">(g) Basic cyber hygiene practices and cybersecurity training</w:t>
      </w:r>
    </w:p>
    <w:p>
      <w:pPr>
        <w:pStyle w:val="FirstParagraph"/>
      </w:pPr>
      <w:r>
        <w:rPr>
          <w:b/>
          <w:bCs/>
        </w:rPr>
        <w:t xml:space="preserve">CSW position:</w:t>
      </w:r>
      <w:r>
        <w:t xml:space="preserve"> </w:t>
      </w:r>
      <w:r>
        <w:t xml:space="preserve">Training is out of scope. Hygiene baseline (patch</w:t>
      </w:r>
      <w:r>
        <w:t xml:space="preserve"> </w:t>
      </w:r>
      <w:r>
        <w:t xml:space="preserve">status, configuration drift, dormant accounts) — CSW contributes</w:t>
      </w:r>
      <w:r>
        <w:t xml:space="preserve"> </w:t>
      </w:r>
      <w:r>
        <w:t xml:space="preserve">patch and process telemetry to populate the hygiene dashboard the</w:t>
      </w:r>
      <w:r>
        <w:t xml:space="preserve"> </w:t>
      </w:r>
      <w:r>
        <w:t xml:space="preserve">management body uses to confirm the baseline is met.</w:t>
      </w:r>
    </w:p>
    <w:p>
      <w:pPr>
        <w:pStyle w:val="BodyText"/>
      </w:pPr>
      <w:r>
        <w:rPr>
          <w:b/>
          <w:bCs/>
        </w:rPr>
        <w:t xml:space="preserve">Evidence:</w:t>
      </w:r>
      <w:r>
        <w:t xml:space="preserve"> </w:t>
      </w:r>
      <w:r>
        <w:t xml:space="preserve">Patch posture report; process anomaly summary.</w:t>
      </w:r>
    </w:p>
    <w:p>
      <w:r>
        <w:pict>
          <v:rect style="width:0;height:1.5pt" o:hralign="center" o:hrstd="t" o:hr="t"/>
        </w:pict>
      </w:r>
    </w:p>
    <w:bookmarkEnd w:id="28"/>
    <w:bookmarkStart w:id="29" w:name="X2dc1c87f26d805b06955b6a5554a5616fdb6804"/>
    <w:p>
      <w:pPr>
        <w:pStyle w:val="Heading3"/>
      </w:pPr>
      <w:r>
        <w:t xml:space="preserve">(h) Policies and procedures regarding the use of cryptography and, where appropriate, encryption</w:t>
      </w:r>
    </w:p>
    <w:p>
      <w:pPr>
        <w:pStyle w:val="FirstParagraph"/>
      </w:pPr>
      <w:r>
        <w:rPr>
          <w:b/>
          <w:bCs/>
        </w:rPr>
        <w:t xml:space="preserve">CSW position:</w:t>
      </w:r>
      <w:r>
        <w:t xml:space="preserve"> </w:t>
      </w:r>
      <w:r>
        <w:t xml:space="preserve">CSW does not provide cryptographic primitives. It</w:t>
      </w:r>
      <w:r>
        <w:t xml:space="preserve"> </w:t>
      </w:r>
      <w:r>
        <w:t xml:space="preserve">contributes by enforcing policies that</w:t>
      </w:r>
      <w:r>
        <w:t xml:space="preserve"> </w:t>
      </w:r>
      <w:r>
        <w:rPr>
          <w:i/>
          <w:iCs/>
        </w:rPr>
        <w:t xml:space="preserve">require</w:t>
      </w:r>
      <w:r>
        <w:t xml:space="preserve"> </w:t>
      </w:r>
      <w:r>
        <w:t xml:space="preserve">encrypted protocols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deny</w:t>
      </w:r>
      <w:r>
        <w:t xml:space="preserve"> </w:t>
      </w:r>
      <w:r>
        <w:t xml:space="preserve">plaintext (HTTP, FTP, Telnet, plain LDAP) on sensitive</w:t>
      </w:r>
      <w:r>
        <w:t xml:space="preserve"> </w:t>
      </w:r>
      <w:r>
        <w:t xml:space="preserve">scopes (see Article 21(2)(a) implementation above).</w:t>
      </w:r>
    </w:p>
    <w:p>
      <w:pPr>
        <w:pStyle w:val="BodyText"/>
      </w:pPr>
      <w:r>
        <w:rPr>
          <w:b/>
          <w:bCs/>
        </w:rPr>
        <w:t xml:space="preserve">Evidence:</w:t>
      </w:r>
      <w:r>
        <w:t xml:space="preserve"> </w:t>
      </w:r>
      <w:r>
        <w:t xml:space="preserve">Policy export showing plaintext-protocol DENY rules</w:t>
      </w:r>
      <w:r>
        <w:t xml:space="preserve"> </w:t>
      </w:r>
      <w:r>
        <w:t xml:space="preserve">in force on sensitive scopes.</w:t>
      </w:r>
    </w:p>
    <w:p>
      <w:r>
        <w:pict>
          <v:rect style="width:0;height:1.5pt" o:hralign="center" o:hrstd="t" o:hr="t"/>
        </w:pict>
      </w:r>
    </w:p>
    <w:bookmarkEnd w:id="29"/>
    <w:bookmarkStart w:id="30" w:name="X05a4d4f132c8e4b47adeeb83d43301f03478130"/>
    <w:p>
      <w:pPr>
        <w:pStyle w:val="Heading3"/>
      </w:pPr>
      <w:r>
        <w:t xml:space="preserve">(i) Human resources security, access control and asset management</w:t>
      </w:r>
    </w:p>
    <w:p>
      <w:pPr>
        <w:pStyle w:val="FirstParagraph"/>
      </w:pPr>
      <w:r>
        <w:rPr>
          <w:b/>
          <w:bCs/>
        </w:rPr>
        <w:t xml:space="preserve">What it requires (asset-management portion).</w:t>
      </w:r>
      <w:r>
        <w:t xml:space="preserve"> </w:t>
      </w:r>
      <w:r>
        <w:t xml:space="preserve">Maintain a current</w:t>
      </w:r>
      <w:r>
        <w:t xml:space="preserve"> </w:t>
      </w:r>
      <w:r>
        <w:t xml:space="preserve">asset inventory and apply access control proportionate to risk.</w:t>
      </w:r>
    </w:p>
    <w:p>
      <w:pPr>
        <w:pStyle w:val="BodyText"/>
      </w:pPr>
      <w:r>
        <w:rPr>
          <w:b/>
          <w:bCs/>
        </w:rPr>
        <w:t xml:space="preserve">CSW Implementation — asset-management baseline:</w:t>
      </w:r>
    </w:p>
    <w:p>
      <w:pPr>
        <w:pStyle w:val="SourceCode"/>
      </w:pPr>
      <w:r>
        <w:rPr>
          <w:rStyle w:val="VerbatimChar"/>
        </w:rPr>
        <w:t xml:space="preserve">Step 1: Sensor coverage on every server, VM and container</w:t>
      </w:r>
      <w:r>
        <w:br/>
      </w:r>
      <w:r>
        <w:rPr>
          <w:rStyle w:val="VerbatimChar"/>
        </w:rPr>
        <w:t xml:space="preserve">Step 2: Mandatory label set:</w:t>
      </w:r>
      <w:r>
        <w:br/>
      </w:r>
      <w:r>
        <w:rPr>
          <w:rStyle w:val="VerbatimChar"/>
        </w:rPr>
        <w:t xml:space="preserve">  service:        [in-scope service identifier]</w:t>
      </w:r>
      <w:r>
        <w:br/>
      </w:r>
      <w:r>
        <w:rPr>
          <w:rStyle w:val="VerbatimChar"/>
        </w:rPr>
        <w:t xml:space="preserve">  data_class:     personal | sensitive | confidential | public</w:t>
      </w:r>
      <w:r>
        <w:br/>
      </w:r>
      <w:r>
        <w:rPr>
          <w:rStyle w:val="VerbatimChar"/>
        </w:rPr>
        <w:t xml:space="preserve">  nis2_in_scope:  true | false</w:t>
      </w:r>
      <w:r>
        <w:br/>
      </w:r>
      <w:r>
        <w:rPr>
          <w:rStyle w:val="VerbatimChar"/>
        </w:rPr>
        <w:t xml:space="preserve">  owner:          [team]</w:t>
      </w:r>
      <w:r>
        <w:br/>
      </w:r>
      <w:r>
        <w:rPr>
          <w:rStyle w:val="VerbatimChar"/>
        </w:rPr>
        <w:t xml:space="preserve">  environment:    prod | non-prod</w:t>
      </w:r>
      <w:r>
        <w:br/>
      </w:r>
      <w:r>
        <w:rPr>
          <w:rStyle w:val="VerbatimChar"/>
        </w:rPr>
        <w:t xml:space="preserve">Step 3: Daily drift report</w:t>
      </w:r>
      <w:r>
        <w:br/>
      </w:r>
      <w:r>
        <w:rPr>
          <w:rStyle w:val="VerbatimChar"/>
        </w:rPr>
        <w:t xml:space="preserve">  → New workloads without labels = onboarding gap</w:t>
      </w:r>
      <w:r>
        <w:br/>
      </w:r>
      <w:r>
        <w:rPr>
          <w:rStyle w:val="VerbatimChar"/>
        </w:rPr>
        <w:t xml:space="preserve">  → Removed workloads = offboarding evidence</w:t>
      </w:r>
    </w:p>
    <w:p>
      <w:pPr>
        <w:pStyle w:val="FirstParagraph"/>
      </w:pPr>
      <w:r>
        <w:rPr>
          <w:b/>
          <w:bCs/>
        </w:rPr>
        <w:t xml:space="preserve">Evidence:</w:t>
      </w:r>
      <w:r>
        <w:t xml:space="preserve"> </w:t>
      </w:r>
      <w:r>
        <w:t xml:space="preserve">Per-service inventory export; label-coverage trend.</w:t>
      </w:r>
    </w:p>
    <w:p>
      <w:r>
        <w:pict>
          <v:rect style="width:0;height:1.5pt" o:hralign="center" o:hrstd="t" o:hr="t"/>
        </w:pict>
      </w:r>
    </w:p>
    <w:bookmarkEnd w:id="30"/>
    <w:bookmarkStart w:id="31" w:name="X4da2ff72da928bae53993d3c1e5c04e09fef1ef"/>
    <w:p>
      <w:pPr>
        <w:pStyle w:val="Heading3"/>
      </w:pPr>
      <w:r>
        <w:t xml:space="preserve">(j) Use of multi-factor authentication or continuous authentication solutions, secured voice, video and text communications and secured emergency communication systems within the entity, where appropriate</w:t>
      </w:r>
    </w:p>
    <w:p>
      <w:pPr>
        <w:pStyle w:val="FirstParagraph"/>
      </w:pPr>
      <w:r>
        <w:rPr>
          <w:b/>
          <w:bCs/>
        </w:rPr>
        <w:t xml:space="preserve">CSW position:</w:t>
      </w:r>
      <w:r>
        <w:t xml:space="preserve"> </w:t>
      </w:r>
      <w:r>
        <w:t xml:space="preserve">MFA itself is provided by Cisco Duo or equivalent.</w:t>
      </w:r>
      <w:r>
        <w:t xml:space="preserve"> </w:t>
      </w:r>
      <w:r>
        <w:t xml:space="preserve">CSW addresses a separate workload-to-workload secured-communication</w:t>
      </w:r>
      <w:r>
        <w:t xml:space="preserve"> </w:t>
      </w:r>
      <w:r>
        <w:t xml:space="preserve">control by:</w:t>
      </w:r>
    </w:p>
    <w:p>
      <w:pPr>
        <w:pStyle w:val="Compact"/>
        <w:numPr>
          <w:ilvl w:val="0"/>
          <w:numId w:val="1021"/>
        </w:numPr>
      </w:pPr>
      <w:r>
        <w:t xml:space="preserve">enforcing identity- and label-based segmentation for authorised</w:t>
      </w:r>
      <w:r>
        <w:t xml:space="preserve"> </w:t>
      </w:r>
      <w:r>
        <w:t xml:space="preserve">workload paths, and</w:t>
      </w:r>
    </w:p>
    <w:p>
      <w:pPr>
        <w:pStyle w:val="Compact"/>
        <w:numPr>
          <w:ilvl w:val="0"/>
          <w:numId w:val="1021"/>
        </w:numPr>
      </w:pPr>
      <w:r>
        <w:t xml:space="preserve">denying connection paths that the policy doesn't explicitly allow.</w:t>
      </w:r>
    </w:p>
    <w:p>
      <w:pPr>
        <w:pStyle w:val="FirstParagraph"/>
      </w:pPr>
      <w:r>
        <w:rPr>
          <w:b/>
          <w:bCs/>
        </w:rPr>
        <w:t xml:space="preserve">Evidence:</w:t>
      </w:r>
      <w:r>
        <w:t xml:space="preserve"> </w:t>
      </w:r>
      <w:r>
        <w:t xml:space="preserve">Segmentation workspace export; deny-by-default policy</w:t>
      </w:r>
      <w:r>
        <w:t xml:space="preserve"> </w:t>
      </w:r>
      <w:r>
        <w:t xml:space="preserve">proof.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X5e2470794b2150ada663e1a9470f1904575e477"/>
    <w:p>
      <w:pPr>
        <w:pStyle w:val="Heading2"/>
      </w:pPr>
      <w:r>
        <w:t xml:space="preserve">3. Article 21(3) — All-Hazards Approach (Detection)</w:t>
      </w:r>
    </w:p>
    <w:p>
      <w:pPr>
        <w:pStyle w:val="FirstParagraph"/>
      </w:pPr>
      <w:r>
        <w:t xml:space="preserve">NIS2 expects the measures above to be applied with an "all-hazards"</w:t>
      </w:r>
      <w:r>
        <w:t xml:space="preserve"> </w:t>
      </w:r>
      <w:r>
        <w:t xml:space="preserve">mindset. CSW contributes the workload-anomaly detection layer:</w:t>
      </w:r>
    </w:p>
    <w:p>
      <w:pPr>
        <w:pStyle w:val="SourceCode"/>
      </w:pPr>
      <w:r>
        <w:rPr>
          <w:rStyle w:val="VerbatimChar"/>
        </w:rPr>
        <w:t xml:space="preserve">Layer 1 — Behavioural rules (signature-style)</w:t>
      </w:r>
      <w:r>
        <w:br/>
      </w:r>
      <w:r>
        <w:rPr>
          <w:rStyle w:val="VerbatimChar"/>
        </w:rPr>
        <w:t xml:space="preserve">  CSW UI → Defend → Forensics → Rules</w:t>
      </w:r>
      <w:r>
        <w:br/>
      </w:r>
      <w:r>
        <w:rPr>
          <w:rStyle w:val="VerbatimChar"/>
        </w:rPr>
        <w:t xml:space="preserve">  Cover: privilege escalation, persistence, lateral movement,</w:t>
      </w:r>
      <w:r>
        <w:br/>
      </w:r>
      <w:r>
        <w:rPr>
          <w:rStyle w:val="VerbatimChar"/>
        </w:rPr>
        <w:t xml:space="preserve">         credential access, defence evasion, exfiltration</w:t>
      </w:r>
      <w:r>
        <w:br/>
      </w:r>
      <w:r>
        <w:br/>
      </w:r>
      <w:r>
        <w:rPr>
          <w:rStyle w:val="VerbatimChar"/>
        </w:rPr>
        <w:t xml:space="preserve">Layer 2 — Conversation-graph anomalies</w:t>
      </w:r>
      <w:r>
        <w:br/>
      </w:r>
      <w:r>
        <w:rPr>
          <w:rStyle w:val="VerbatimChar"/>
        </w:rPr>
        <w:t xml:space="preserve">  Auto-flag new edges in the dependency graph (workload starts</w:t>
      </w:r>
      <w:r>
        <w:br/>
      </w:r>
      <w:r>
        <w:rPr>
          <w:rStyle w:val="VerbatimChar"/>
        </w:rPr>
        <w:t xml:space="preserve">  talking to something it never talked to before)</w:t>
      </w:r>
      <w:r>
        <w:br/>
      </w:r>
      <w:r>
        <w:rPr>
          <w:rStyle w:val="VerbatimChar"/>
        </w:rPr>
        <w:t xml:space="preserve">  Auto-flag changes in port/protocol distribution per workload</w:t>
      </w:r>
      <w:r>
        <w:br/>
      </w:r>
      <w:r>
        <w:br/>
      </w:r>
      <w:r>
        <w:rPr>
          <w:rStyle w:val="VerbatimChar"/>
        </w:rPr>
        <w:t xml:space="preserve">Layer 3 — Vulnerability + reachability fusion</w:t>
      </w:r>
      <w:r>
        <w:br/>
      </w:r>
      <w:r>
        <w:rPr>
          <w:rStyle w:val="VerbatimChar"/>
        </w:rPr>
        <w:t xml:space="preserve">  When a new exploit-in-the-wild CVE drops, automatically intersect</w:t>
      </w:r>
      <w:r>
        <w:br/>
      </w:r>
      <w:r>
        <w:rPr>
          <w:rStyle w:val="VerbatimChar"/>
        </w:rPr>
        <w:t xml:space="preserve">  CVE-affected workloads × current reachable inbound paths</w:t>
      </w:r>
      <w:r>
        <w:br/>
      </w:r>
      <w:r>
        <w:rPr>
          <w:rStyle w:val="VerbatimChar"/>
        </w:rPr>
        <w:t xml:space="preserve">  → Prioritised "attackable today" list</w:t>
      </w:r>
    </w:p>
    <w:p>
      <w:pPr>
        <w:pStyle w:val="FirstParagraph"/>
      </w:pPr>
      <w:r>
        <w:t xml:space="preserve">All three feed the SOC SIEM with NIS2-relevant labels so they roll</w:t>
      </w:r>
      <w:r>
        <w:t xml:space="preserve"> </w:t>
      </w:r>
      <w:r>
        <w:t xml:space="preserve">into reporting under Art. 23 with the right context.</w:t>
      </w:r>
    </w:p>
    <w:p>
      <w:r>
        <w:pict>
          <v:rect style="width:0;height:1.5pt" o:hralign="center" o:hrstd="t" o:hr="t"/>
        </w:pict>
      </w:r>
    </w:p>
    <w:bookmarkEnd w:id="33"/>
    <w:bookmarkStart w:id="34" w:name="X36763c407c5fc66543c73642566dbb6418e4fe9"/>
    <w:p>
      <w:pPr>
        <w:pStyle w:val="Heading2"/>
      </w:pPr>
      <w:r>
        <w:t xml:space="preserve">4. Article 23 — Reporting</w:t>
      </w:r>
    </w:p>
    <w:p>
      <w:pPr>
        <w:pStyle w:val="FirstParagraph"/>
      </w:pPr>
      <w:r>
        <w:t xml:space="preserve">NIS2 establishes a single reporting flow with three deadlines (subject</w:t>
      </w:r>
      <w:r>
        <w:t xml:space="preserve"> </w:t>
      </w:r>
      <w:r>
        <w:t xml:space="preserve">to Member State implementing law and any further ENISA guidance):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Deadline</w:t>
            </w:r>
          </w:p>
        </w:tc>
        <w:tc>
          <w:tcPr/>
          <w:p>
            <w:pPr>
              <w:pStyle w:val="Compact"/>
            </w:pPr>
            <w:r>
              <w:t xml:space="preserve">Required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Early warning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Within 24 h</w:t>
            </w:r>
            <w:r>
              <w:t xml:space="preserve"> </w:t>
            </w:r>
            <w:r>
              <w:t xml:space="preserve">of becoming aware of a significant incident</w:t>
            </w:r>
          </w:p>
        </w:tc>
        <w:tc>
          <w:tcPr/>
          <w:p>
            <w:pPr>
              <w:pStyle w:val="Compact"/>
            </w:pPr>
            <w:r>
              <w:t xml:space="preserve">Initial assessment, indication of cross-border / malicious origin, request for cross-border assistance if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Incident notification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Within 72 h</w:t>
            </w:r>
            <w:r>
              <w:t xml:space="preserve"> </w:t>
            </w:r>
            <w:r>
              <w:t xml:space="preserve">of becoming aware</w:t>
            </w:r>
          </w:p>
        </w:tc>
        <w:tc>
          <w:tcPr/>
          <w:p>
            <w:pPr>
              <w:pStyle w:val="Compact"/>
            </w:pPr>
            <w:r>
              <w:t xml:space="preserve">Updated assessment, indicators of compromise, severity &amp; impact estimates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 report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Within 1 month</w:t>
            </w:r>
            <w:r>
              <w:t xml:space="preserve"> </w:t>
            </w:r>
            <w:r>
              <w:t xml:space="preserve">of the notification</w:t>
            </w:r>
          </w:p>
        </w:tc>
        <w:tc>
          <w:tcPr/>
          <w:p>
            <w:pPr>
              <w:pStyle w:val="Compact"/>
            </w:pPr>
            <w:r>
              <w:t xml:space="preserve">Detailed description, root cause, remediation, cross-border impact summary</w:t>
            </w:r>
          </w:p>
        </w:tc>
      </w:tr>
    </w:tbl>
    <w:p>
      <w:pPr>
        <w:pStyle w:val="BodyText"/>
      </w:pPr>
      <w:r>
        <w:t xml:space="preserve">Plus an</w:t>
      </w:r>
      <w:r>
        <w:t xml:space="preserve"> </w:t>
      </w:r>
      <w:r>
        <w:rPr>
          <w:b/>
          <w:bCs/>
        </w:rPr>
        <w:t xml:space="preserve">intermediate update</w:t>
      </w:r>
      <w:r>
        <w:t xml:space="preserve"> </w:t>
      </w:r>
      <w:r>
        <w:t xml:space="preserve">on request from the competent authority</w:t>
      </w:r>
      <w:r>
        <w:t xml:space="preserve"> </w:t>
      </w:r>
      <w:r>
        <w:t xml:space="preserve">or CSIRT.</w:t>
      </w:r>
    </w:p>
    <w:p>
      <w:pPr>
        <w:pStyle w:val="BodyText"/>
      </w:pPr>
      <w:r>
        <w:rPr>
          <w:b/>
          <w:bCs/>
        </w:rPr>
        <w:t xml:space="preserve">CSW Implementation — Reporting Evidence Pack:</w:t>
      </w:r>
    </w:p>
    <w:p>
      <w:pPr>
        <w:pStyle w:val="SourceCode"/>
      </w:pPr>
      <w:r>
        <w:rPr>
          <w:rStyle w:val="VerbatimChar"/>
        </w:rPr>
        <w:t xml:space="preserve">For each significant incident, assemble from CSW:</w:t>
      </w:r>
      <w:r>
        <w:br/>
      </w:r>
      <w:r>
        <w:br/>
      </w:r>
      <w:r>
        <w:rPr>
          <w:rStyle w:val="VerbatimChar"/>
        </w:rPr>
        <w:t xml:space="preserve">  (1) Affected workload set</w:t>
      </w:r>
      <w:r>
        <w:br/>
      </w:r>
      <w:r>
        <w:rPr>
          <w:rStyle w:val="VerbatimChar"/>
        </w:rPr>
        <w:t xml:space="preserve">      → Inventory query: hostnames, IPs, OS, service labels, ownership</w:t>
      </w:r>
      <w:r>
        <w:br/>
      </w:r>
      <w:r>
        <w:rPr>
          <w:rStyle w:val="VerbatimChar"/>
        </w:rPr>
        <w:t xml:space="preserve">  (2) Time-anchored flow record</w:t>
      </w:r>
      <w:r>
        <w:br/>
      </w:r>
      <w:r>
        <w:rPr>
          <w:rStyle w:val="VerbatimChar"/>
        </w:rPr>
        <w:t xml:space="preserve">      → Source, destination, port, byte counts, timestamps</w:t>
      </w:r>
      <w:r>
        <w:br/>
      </w:r>
      <w:r>
        <w:rPr>
          <w:rStyle w:val="VerbatimChar"/>
        </w:rPr>
        <w:t xml:space="preserve">      → Geographic context for the cross-border indicator</w:t>
      </w:r>
      <w:r>
        <w:br/>
      </w:r>
      <w:r>
        <w:rPr>
          <w:rStyle w:val="VerbatimChar"/>
        </w:rPr>
        <w:t xml:space="preserve">  (3) Process activity record</w:t>
      </w:r>
      <w:r>
        <w:br/>
      </w:r>
      <w:r>
        <w:rPr>
          <w:rStyle w:val="VerbatimChar"/>
        </w:rPr>
        <w:t xml:space="preserve">      → Every process spawned on affected workloads in the window</w:t>
      </w:r>
      <w:r>
        <w:br/>
      </w:r>
      <w:r>
        <w:rPr>
          <w:rStyle w:val="VerbatimChar"/>
        </w:rPr>
        <w:t xml:space="preserve">  (4) Software footprint at time of incident</w:t>
      </w:r>
      <w:r>
        <w:br/>
      </w:r>
      <w:r>
        <w:rPr>
          <w:rStyle w:val="VerbatimChar"/>
        </w:rPr>
        <w:t xml:space="preserve">      → Package list, CVE exposure as it stood at the moment of impact</w:t>
      </w:r>
      <w:r>
        <w:br/>
      </w:r>
      <w:r>
        <w:rPr>
          <w:rStyle w:val="VerbatimChar"/>
        </w:rPr>
        <w:t xml:space="preserve">  (5) Containment evidence</w:t>
      </w:r>
      <w:r>
        <w:br/>
      </w:r>
      <w:r>
        <w:rPr>
          <w:rStyle w:val="VerbatimChar"/>
        </w:rPr>
        <w:t xml:space="preserve">      → Policy applied; flow drop counts; time-to-quarantine</w:t>
      </w:r>
      <w:r>
        <w:br/>
      </w:r>
      <w:r>
        <w:rPr>
          <w:rStyle w:val="VerbatimChar"/>
        </w:rPr>
        <w:t xml:space="preserve">  (6) Cross-border footprint</w:t>
      </w:r>
      <w:r>
        <w:br/>
      </w:r>
      <w:r>
        <w:rPr>
          <w:rStyle w:val="VerbatimChar"/>
        </w:rPr>
        <w:t xml:space="preserve">      → Destinations / origins outside the home Member State</w:t>
      </w:r>
      <w:r>
        <w:br/>
      </w:r>
      <w:r>
        <w:rPr>
          <w:rStyle w:val="VerbatimChar"/>
        </w:rPr>
        <w:t xml:space="preserve">        (informs Art. 23(2) cross-border indicator)</w:t>
      </w:r>
      <w:r>
        <w:br/>
      </w:r>
      <w:r>
        <w:br/>
      </w:r>
      <w:r>
        <w:rPr>
          <w:rStyle w:val="VerbatimChar"/>
        </w:rPr>
        <w:t xml:space="preserve">These six artefacts populate every phase of the Art. 23 flow without</w:t>
      </w:r>
      <w:r>
        <w:br/>
      </w:r>
      <w:r>
        <w:rPr>
          <w:rStyle w:val="VerbatimChar"/>
        </w:rPr>
        <w:t xml:space="preserve">re-collecting data. The 24-hour early warning is short on detail by</w:t>
      </w:r>
      <w:r>
        <w:br/>
      </w:r>
      <w:r>
        <w:rPr>
          <w:rStyle w:val="VerbatimChar"/>
        </w:rPr>
        <w:t xml:space="preserve">design — the same six artefacts get progressively more complete by the</w:t>
      </w:r>
      <w:r>
        <w:br/>
      </w:r>
      <w:r>
        <w:rPr>
          <w:rStyle w:val="VerbatimChar"/>
        </w:rPr>
        <w:t xml:space="preserve">72-hour notification and the 1-month final report.</w:t>
      </w:r>
    </w:p>
    <w:p>
      <w:pPr>
        <w:pStyle w:val="FirstParagraph"/>
      </w:pPr>
      <w:r>
        <w:rPr>
          <w:b/>
          <w:bCs/>
        </w:rPr>
        <w:t xml:space="preserve">Evidence:</w:t>
      </w:r>
      <w:r>
        <w:t xml:space="preserve"> </w:t>
      </w:r>
      <w:r>
        <w:t xml:space="preserve">Incident dossier per significant event; aggregate</w:t>
      </w:r>
      <w:r>
        <w:t xml:space="preserve"> </w:t>
      </w:r>
      <w:r>
        <w:t xml:space="preserve">trend report fed into Art. 21(2)(f) effectiveness pack.</w:t>
      </w:r>
    </w:p>
    <w:p>
      <w:r>
        <w:pict>
          <v:rect style="width:0;height:1.5pt" o:hralign="center" o:hrstd="t" o:hr="t"/>
        </w:pict>
      </w:r>
    </w:p>
    <w:bookmarkEnd w:id="34"/>
    <w:bookmarkStart w:id="35" w:name="Xac524807a1580f756b25fd6630109b9987bcf5e"/>
    <w:p>
      <w:pPr>
        <w:pStyle w:val="Heading2"/>
      </w:pPr>
      <w:r>
        <w:t xml:space="preserve">5. Article 21(2)(d) — Supply Chain Security (Technical Lens)</w:t>
      </w:r>
    </w:p>
    <w:p>
      <w:pPr>
        <w:pStyle w:val="FirstParagraph"/>
      </w:pPr>
      <w:r>
        <w:t xml:space="preserve">NIS2 supply-chain security is broader than DORA's third-party-risk</w:t>
      </w:r>
      <w:r>
        <w:t xml:space="preserve"> </w:t>
      </w:r>
      <w:r>
        <w:t xml:space="preserve">pillar — it covers product suppliers, service providers, and the</w:t>
      </w:r>
      <w:r>
        <w:t xml:space="preserve"> </w:t>
      </w:r>
      <w:r>
        <w:t xml:space="preserve">quality of the</w:t>
      </w:r>
      <w:r>
        <w:t xml:space="preserve"> </w:t>
      </w:r>
      <w:r>
        <w:rPr>
          <w:i/>
          <w:iCs/>
        </w:rPr>
        <w:t xml:space="preserve">direct supplier's</w:t>
      </w:r>
      <w:r>
        <w:t xml:space="preserve"> </w:t>
      </w:r>
      <w:r>
        <w:t xml:space="preserve">own cybersecurity practices.</w:t>
      </w:r>
    </w:p>
    <w:p>
      <w:pPr>
        <w:pStyle w:val="BodyText"/>
      </w:pPr>
      <w:r>
        <w:t xml:space="preserve">CSW addresses the</w:t>
      </w:r>
      <w:r>
        <w:t xml:space="preserve"> </w:t>
      </w:r>
      <w:r>
        <w:rPr>
          <w:i/>
          <w:iCs/>
        </w:rPr>
        <w:t xml:space="preserve">what is my workload actually doing with my</w:t>
      </w:r>
      <w:r>
        <w:rPr>
          <w:i/>
          <w:iCs/>
        </w:rPr>
        <w:t xml:space="preserve"> </w:t>
      </w:r>
      <w:r>
        <w:rPr>
          <w:i/>
          <w:iCs/>
        </w:rPr>
        <w:t xml:space="preserve">suppliers</w:t>
      </w:r>
      <w:r>
        <w:t xml:space="preserve"> </w:t>
      </w:r>
      <w:r>
        <w:t xml:space="preserve">question:</w:t>
      </w:r>
    </w:p>
    <w:p>
      <w:pPr>
        <w:pStyle w:val="SourceCode"/>
      </w:pPr>
      <w:r>
        <w:rPr>
          <w:rStyle w:val="VerbatimChar"/>
        </w:rPr>
        <w:t xml:space="preserve">Step 1: Enumerate supplier-bound egress per in-scope service</w:t>
      </w:r>
      <w:r>
        <w:br/>
      </w:r>
      <w:r>
        <w:rPr>
          <w:rStyle w:val="VerbatimChar"/>
        </w:rPr>
        <w:t xml:space="preserve">  CSW UI → Investigate → Flow Search</w:t>
      </w:r>
      <w:r>
        <w:br/>
      </w:r>
      <w:r>
        <w:rPr>
          <w:rStyle w:val="VerbatimChar"/>
        </w:rPr>
        <w:t xml:space="preserve">  Filter: source_scope = service=X AND destination_ip ∉ internal_ranges</w:t>
      </w:r>
      <w:r>
        <w:br/>
      </w:r>
      <w:r>
        <w:rPr>
          <w:rStyle w:val="VerbatimChar"/>
        </w:rPr>
        <w:t xml:space="preserve">  → Group by destination FQDN/IP; rank by byte count, frequency</w:t>
      </w:r>
      <w:r>
        <w:br/>
      </w:r>
      <w:r>
        <w:br/>
      </w:r>
      <w:r>
        <w:rPr>
          <w:rStyle w:val="VerbatimChar"/>
        </w:rPr>
        <w:t xml:space="preserve">Step 2: Reconcile observed vs. supplier register</w:t>
      </w:r>
      <w:r>
        <w:br/>
      </w:r>
      <w:r>
        <w:rPr>
          <w:rStyle w:val="VerbatimChar"/>
        </w:rPr>
        <w:t xml:space="preserve">  → For every observed external destination, locate the corresponding</w:t>
      </w:r>
      <w:r>
        <w:br/>
      </w:r>
      <w:r>
        <w:rPr>
          <w:rStyle w:val="VerbatimChar"/>
        </w:rPr>
        <w:t xml:space="preserve">    entry in the supplier register</w:t>
      </w:r>
      <w:r>
        <w:br/>
      </w:r>
      <w:r>
        <w:rPr>
          <w:rStyle w:val="VerbatimChar"/>
        </w:rPr>
        <w:t xml:space="preserve">  → Flag missing / undocumented supplier endpoints</w:t>
      </w:r>
      <w:r>
        <w:br/>
      </w:r>
      <w:r>
        <w:br/>
      </w:r>
      <w:r>
        <w:rPr>
          <w:rStyle w:val="VerbatimChar"/>
        </w:rPr>
        <w:t xml:space="preserve">Step 3: Enforce supplier-egress allow-listing</w:t>
      </w:r>
      <w:r>
        <w:br/>
      </w:r>
      <w:r>
        <w:rPr>
          <w:rStyle w:val="VerbatimChar"/>
        </w:rPr>
        <w:t xml:space="preserve">  ALLOW: in-scope workloads → {register-listed supplier endpoints}</w:t>
      </w:r>
      <w:r>
        <w:br/>
      </w:r>
      <w:r>
        <w:rPr>
          <w:rStyle w:val="VerbatimChar"/>
        </w:rPr>
        <w:t xml:space="preserve">  DENY:  in-scope workloads → all other external destinations</w:t>
      </w:r>
      <w:r>
        <w:br/>
      </w:r>
      <w:r>
        <w:rPr>
          <w:rStyle w:val="VerbatimChar"/>
        </w:rPr>
        <w:t xml:space="preserve">  → Run in Simulation; resolve gaps; promote to Enforce</w:t>
      </w:r>
      <w:r>
        <w:br/>
      </w:r>
      <w:r>
        <w:br/>
      </w:r>
      <w:r>
        <w:rPr>
          <w:rStyle w:val="VerbatimChar"/>
        </w:rPr>
        <w:t xml:space="preserve">Step 4: Continuous monitoring with management notification</w:t>
      </w:r>
      <w:r>
        <w:br/>
      </w:r>
      <w:r>
        <w:rPr>
          <w:rStyle w:val="VerbatimChar"/>
        </w:rPr>
        <w:t xml:space="preserve">  → CSW alert on new external destination from in-scope service</w:t>
      </w:r>
      <w:r>
        <w:br/>
      </w:r>
      <w:r>
        <w:rPr>
          <w:rStyle w:val="VerbatimChar"/>
        </w:rPr>
        <w:t xml:space="preserve">  → Routes to compliance / supplier-management function for register</w:t>
      </w:r>
      <w:r>
        <w:br/>
      </w:r>
      <w:r>
        <w:rPr>
          <w:rStyle w:val="VerbatimChar"/>
        </w:rPr>
        <w:t xml:space="preserve">    update under Art. 21(2)(d)</w:t>
      </w:r>
    </w:p>
    <w:p>
      <w:pPr>
        <w:pStyle w:val="FirstParagraph"/>
      </w:pPr>
      <w:r>
        <w:rPr>
          <w:b/>
          <w:bCs/>
        </w:rPr>
        <w:t xml:space="preserve">Evidence:</w:t>
      </w:r>
      <w:r>
        <w:t xml:space="preserve"> </w:t>
      </w:r>
      <w:r>
        <w:t xml:space="preserve">Per-service supplier flow report; register-vs-observed</w:t>
      </w:r>
      <w:r>
        <w:t xml:space="preserve"> </w:t>
      </w:r>
      <w:r>
        <w:t xml:space="preserve">delta; egress policy enforcement diff.</w:t>
      </w:r>
    </w:p>
    <w:p>
      <w:pPr>
        <w:pStyle w:val="BlockText"/>
      </w:pPr>
      <w:r>
        <w:rPr>
          <w:b/>
          <w:bCs/>
        </w:rPr>
        <w:t xml:space="preserve">Caveat.</w:t>
      </w:r>
      <w:r>
        <w:t xml:space="preserve"> </w:t>
      </w:r>
      <w:r>
        <w:t xml:space="preserve">A supplier's</w:t>
      </w:r>
      <w:r>
        <w:t xml:space="preserve"> </w:t>
      </w:r>
      <w:r>
        <w:rPr>
          <w:i/>
          <w:iCs/>
        </w:rPr>
        <w:t xml:space="preserve">internal</w:t>
      </w:r>
      <w:r>
        <w:t xml:space="preserve"> </w:t>
      </w:r>
      <w:r>
        <w:t xml:space="preserve">security posture remains</w:t>
      </w:r>
      <w:r>
        <w:t xml:space="preserve"> </w:t>
      </w:r>
      <w:r>
        <w:t xml:space="preserve">contractual / questionnaire-based unless that supplier also runs</w:t>
      </w:r>
      <w:r>
        <w:t xml:space="preserve"> </w:t>
      </w:r>
      <w:r>
        <w:t xml:space="preserve">CSW (or comparable workload telemetry) and shares evidence.</w:t>
      </w:r>
    </w:p>
    <w:p>
      <w:r>
        <w:pict>
          <v:rect style="width:0;height:1.5pt" o:hralign="center" o:hrstd="t" o:hr="t"/>
        </w:pict>
      </w:r>
    </w:p>
    <w:bookmarkEnd w:id="35"/>
    <w:bookmarkStart w:id="36" w:name="Xff0195c6f5d4738196dff543d2f9bc10dac2730"/>
    <w:p>
      <w:pPr>
        <w:pStyle w:val="Heading2"/>
      </w:pPr>
      <w:r>
        <w:t xml:space="preserve">6. Article 20 — Governance Pack for the Management Body</w:t>
      </w:r>
    </w:p>
    <w:p>
      <w:pPr>
        <w:pStyle w:val="FirstParagraph"/>
      </w:pPr>
      <w:r>
        <w:t xml:space="preserve">Under Article 20(1), management bodies "approve the cybersecurity</w:t>
      </w:r>
      <w:r>
        <w:t xml:space="preserve"> </w:t>
      </w:r>
      <w:r>
        <w:t xml:space="preserve">risk-management measures" and "supervise their implementation," and</w:t>
      </w:r>
      <w:r>
        <w:t xml:space="preserve"> </w:t>
      </w:r>
      <w:r>
        <w:t xml:space="preserve">"can be held liable for infringements." Article 20(2) requires them to</w:t>
      </w:r>
      <w:r>
        <w:t xml:space="preserve"> </w:t>
      </w:r>
      <w:r>
        <w:t xml:space="preserve">"follow training" so they have sufficient knowledge to assess the</w:t>
      </w:r>
      <w:r>
        <w:t xml:space="preserve"> </w:t>
      </w:r>
      <w:r>
        <w:t xml:space="preserve">measures.</w:t>
      </w:r>
    </w:p>
    <w:p>
      <w:pPr>
        <w:pStyle w:val="BodyText"/>
      </w:pPr>
      <w:r>
        <w:t xml:space="preserve">The simplest way for the body to discharge this is the</w:t>
      </w:r>
      <w:r>
        <w:t xml:space="preserve"> </w:t>
      </w:r>
      <w:r>
        <w:rPr>
          <w:b/>
          <w:bCs/>
        </w:rPr>
        <w:t xml:space="preserve">quarterly</w:t>
      </w:r>
      <w:r>
        <w:rPr>
          <w:b/>
          <w:bCs/>
        </w:rPr>
        <w:t xml:space="preserve"> </w:t>
      </w:r>
      <w:r>
        <w:rPr>
          <w:b/>
          <w:bCs/>
        </w:rPr>
        <w:t xml:space="preserve">NIS2 pack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Asset-inventory drift summary (Art. 21(2)(i))</w:t>
      </w:r>
    </w:p>
    <w:p>
      <w:pPr>
        <w:pStyle w:val="Compact"/>
        <w:numPr>
          <w:ilvl w:val="0"/>
          <w:numId w:val="1022"/>
        </w:numPr>
      </w:pPr>
      <w:r>
        <w:t xml:space="preserve">Segmentation policy diff and exception status (Art. 21(2)(a), (j))</w:t>
      </w:r>
    </w:p>
    <w:p>
      <w:pPr>
        <w:pStyle w:val="Compact"/>
        <w:numPr>
          <w:ilvl w:val="0"/>
          <w:numId w:val="1022"/>
        </w:numPr>
      </w:pPr>
      <w:r>
        <w:t xml:space="preserve">Incident summary with MTTD/MTTR per service (Art. 21(2)(b))</w:t>
      </w:r>
    </w:p>
    <w:p>
      <w:pPr>
        <w:pStyle w:val="Compact"/>
        <w:numPr>
          <w:ilvl w:val="0"/>
          <w:numId w:val="1022"/>
        </w:numPr>
      </w:pPr>
      <w:r>
        <w:t xml:space="preserve">Vulnerability backlog aged by severity (Art. 21(2)(e))</w:t>
      </w:r>
    </w:p>
    <w:p>
      <w:pPr>
        <w:pStyle w:val="Compact"/>
        <w:numPr>
          <w:ilvl w:val="0"/>
          <w:numId w:val="1022"/>
        </w:numPr>
      </w:pPr>
      <w:r>
        <w:t xml:space="preserve">Supplier egress drift summary (Art. 21(2)(d))</w:t>
      </w:r>
    </w:p>
    <w:p>
      <w:pPr>
        <w:pStyle w:val="Compact"/>
        <w:numPr>
          <w:ilvl w:val="0"/>
          <w:numId w:val="1022"/>
        </w:numPr>
      </w:pPr>
      <w:r>
        <w:t xml:space="preserve">Effectiveness metrics per measure (Art. 21(2)(f))</w:t>
      </w:r>
    </w:p>
    <w:p>
      <w:pPr>
        <w:pStyle w:val="Compact"/>
        <w:numPr>
          <w:ilvl w:val="0"/>
          <w:numId w:val="1022"/>
        </w:numPr>
      </w:pPr>
      <w:r>
        <w:t xml:space="preserve">Open competent-authority findings and remediation status</w:t>
      </w:r>
    </w:p>
    <w:p>
      <w:pPr>
        <w:pStyle w:val="FirstParagraph"/>
      </w:pPr>
      <w:r>
        <w:t xml:space="preserve">This pack is the artefact a management body member can confidently</w:t>
      </w:r>
      <w:r>
        <w:t xml:space="preserve"> </w:t>
      </w:r>
      <w:r>
        <w:t xml:space="preserve">sign-off on, and the artefact a competent authority will increasingly</w:t>
      </w:r>
      <w:r>
        <w:t xml:space="preserve"> </w:t>
      </w:r>
      <w:r>
        <w:t xml:space="preserve">ask for as evidence of</w:t>
      </w:r>
      <w:r>
        <w:t xml:space="preserve"> </w:t>
      </w:r>
      <w:r>
        <w:rPr>
          <w:i/>
          <w:iCs/>
        </w:rPr>
        <w:t xml:space="preserve">operating effectiveness</w:t>
      </w:r>
      <w:r>
        <w:t xml:space="preserve">, not just policy.</w:t>
      </w:r>
    </w:p>
    <w:p>
      <w:r>
        <w:pict>
          <v:rect style="width:0;height:1.5pt" o:hralign="center" o:hrstd="t" o:hr="t"/>
        </w:pict>
      </w:r>
    </w:p>
    <w:bookmarkEnd w:id="36"/>
    <w:bookmarkStart w:id="37" w:name="X376a4576e42ac1af12bad077f3b7aa4675fec7f"/>
    <w:p>
      <w:pPr>
        <w:pStyle w:val="Heading2"/>
      </w:pPr>
      <w:r>
        <w:t xml:space="preserve">7. Mapping Table — NIS2 Measure → CSW Capability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NIS2 Provision</w:t>
            </w:r>
          </w:p>
        </w:tc>
        <w:tc>
          <w:tcPr/>
          <w:p>
            <w:pPr>
              <w:pStyle w:val="Compact"/>
            </w:pPr>
            <w:r>
              <w:t xml:space="preserve">Requirement (paraphrased)</w:t>
            </w:r>
          </w:p>
        </w:tc>
        <w:tc>
          <w:tcPr/>
          <w:p>
            <w:pPr>
              <w:pStyle w:val="Compact"/>
            </w:pPr>
            <w:r>
              <w:t xml:space="preserve">CSW Capability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Art. 20(1)</w:t>
            </w:r>
          </w:p>
        </w:tc>
        <w:tc>
          <w:tcPr/>
          <w:p>
            <w:pPr>
              <w:pStyle w:val="Compact"/>
            </w:pPr>
            <w:r>
              <w:t xml:space="preserve">Management body accountability</w:t>
            </w:r>
          </w:p>
        </w:tc>
        <w:tc>
          <w:tcPr/>
          <w:p>
            <w:pPr>
              <w:pStyle w:val="Compact"/>
            </w:pPr>
            <w:r>
              <w:t xml:space="preserve">Quarterly NIS2 pack (§6)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Art. 20(2)</w:t>
            </w:r>
          </w:p>
        </w:tc>
        <w:tc>
          <w:tcPr/>
          <w:p>
            <w:pPr>
              <w:pStyle w:val="Compact"/>
            </w:pPr>
            <w:r>
              <w:t xml:space="preserve">Management body training</w:t>
            </w:r>
          </w:p>
        </w:tc>
        <w:tc>
          <w:tcPr/>
          <w:p>
            <w:pPr>
              <w:pStyle w:val="Compact"/>
            </w:pPr>
            <w:r>
              <w:t xml:space="preserve">Pack section explanations are reusable training input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Art. 21(2)(a)</w:t>
            </w:r>
          </w:p>
        </w:tc>
        <w:tc>
          <w:tcPr/>
          <w:p>
            <w:pPr>
              <w:pStyle w:val="Compact"/>
            </w:pPr>
            <w:r>
              <w:t xml:space="preserve">Risk analysis &amp; IS security policies</w:t>
            </w:r>
          </w:p>
        </w:tc>
        <w:tc>
          <w:tcPr/>
          <w:p>
            <w:pPr>
              <w:pStyle w:val="Compact"/>
            </w:pPr>
            <w:r>
              <w:t xml:space="preserve">Workspace export with policy Intents grounded in observed behaviour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Art. 21(2)(b)</w:t>
            </w:r>
          </w:p>
        </w:tc>
        <w:tc>
          <w:tcPr/>
          <w:p>
            <w:pPr>
              <w:pStyle w:val="Compact"/>
            </w:pPr>
            <w:r>
              <w:t xml:space="preserve">Incident handling</w:t>
            </w:r>
          </w:p>
        </w:tc>
        <w:tc>
          <w:tcPr/>
          <w:p>
            <w:pPr>
              <w:pStyle w:val="Compact"/>
            </w:pPr>
            <w:r>
              <w:t xml:space="preserve">Detection rules + SIEM forwarding + 6-artefact dossier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Art. 21(2)(c)</w:t>
            </w:r>
          </w:p>
        </w:tc>
        <w:tc>
          <w:tcPr/>
          <w:p>
            <w:pPr>
              <w:pStyle w:val="Compact"/>
            </w:pPr>
            <w:r>
              <w:t xml:space="preserve">BCP / backup / crisis</w:t>
            </w:r>
          </w:p>
        </w:tc>
        <w:tc>
          <w:tcPr/>
          <w:p>
            <w:pPr>
              <w:pStyle w:val="Compact"/>
            </w:pPr>
            <w:r>
              <w:t xml:space="preserve">Containment &amp; forensic preservation only — backups are out of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Art. 21(2)(d)</w:t>
            </w:r>
          </w:p>
        </w:tc>
        <w:tc>
          <w:tcPr/>
          <w:p>
            <w:pPr>
              <w:pStyle w:val="Compact"/>
            </w:pPr>
            <w:r>
              <w:t xml:space="preserve">Supply chain security</w:t>
            </w:r>
          </w:p>
        </w:tc>
        <w:tc>
          <w:tcPr/>
          <w:p>
            <w:pPr>
              <w:pStyle w:val="Compact"/>
            </w:pPr>
            <w:r>
              <w:t xml:space="preserve">Supplier egress reconciliation (§5)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Art. 21(2)(e)</w:t>
            </w:r>
          </w:p>
        </w:tc>
        <w:tc>
          <w:tcPr/>
          <w:p>
            <w:pPr>
              <w:pStyle w:val="Compact"/>
            </w:pPr>
            <w:r>
              <w:t xml:space="preserve">Sec. acquisition / dev / maintenance + vuln handling</w:t>
            </w:r>
          </w:p>
        </w:tc>
        <w:tc>
          <w:tcPr/>
          <w:p>
            <w:pPr>
              <w:pStyle w:val="Compact"/>
            </w:pPr>
            <w:r>
              <w:t xml:space="preserve">Vulnerability inventory + CI/CD gate + CVE-to-attack-path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Art. 21(2)(f)</w:t>
            </w:r>
          </w:p>
        </w:tc>
        <w:tc>
          <w:tcPr/>
          <w:p>
            <w:pPr>
              <w:pStyle w:val="Compact"/>
            </w:pPr>
            <w:r>
              <w:t xml:space="preserve">Effectiveness assessment</w:t>
            </w:r>
          </w:p>
        </w:tc>
        <w:tc>
          <w:tcPr/>
          <w:p>
            <w:pPr>
              <w:pStyle w:val="Compact"/>
            </w:pPr>
            <w:r>
              <w:t xml:space="preserve">Quarterly effectiveness pack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Art. 21(2)(g)</w:t>
            </w:r>
          </w:p>
        </w:tc>
        <w:tc>
          <w:tcPr/>
          <w:p>
            <w:pPr>
              <w:pStyle w:val="Compact"/>
            </w:pPr>
            <w:r>
              <w:t xml:space="preserve">Basic cyber hygiene + training</w:t>
            </w:r>
          </w:p>
        </w:tc>
        <w:tc>
          <w:tcPr/>
          <w:p>
            <w:pPr>
              <w:pStyle w:val="Compact"/>
            </w:pPr>
            <w:r>
              <w:t xml:space="preserve">Patch &amp; process telemetry; training out of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Art. 21(2)(h)</w:t>
            </w:r>
          </w:p>
        </w:tc>
        <w:tc>
          <w:tcPr/>
          <w:p>
            <w:pPr>
              <w:pStyle w:val="Compact"/>
            </w:pPr>
            <w:r>
              <w:t xml:space="preserve">Cryptography / encryption</w:t>
            </w:r>
          </w:p>
        </w:tc>
        <w:tc>
          <w:tcPr/>
          <w:p>
            <w:pPr>
              <w:pStyle w:val="Compact"/>
            </w:pPr>
            <w:r>
              <w:t xml:space="preserve">Plaintext-protocol DENY enforcement (CSW does not provide crypto primitives)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Art. 21(2)(i)</w:t>
            </w:r>
          </w:p>
        </w:tc>
        <w:tc>
          <w:tcPr/>
          <w:p>
            <w:pPr>
              <w:pStyle w:val="Compact"/>
            </w:pPr>
            <w:r>
              <w:t xml:space="preserve">HR sec. / access control / asset mgmt</w:t>
            </w:r>
          </w:p>
        </w:tc>
        <w:tc>
          <w:tcPr/>
          <w:p>
            <w:pPr>
              <w:pStyle w:val="Compact"/>
            </w:pPr>
            <w:r>
              <w:t xml:space="preserve">Continuous inventory + label discipline (asset-mgmt part)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Art. 21(2)(j)</w:t>
            </w:r>
          </w:p>
        </w:tc>
        <w:tc>
          <w:tcPr/>
          <w:p>
            <w:pPr>
              <w:pStyle w:val="Compact"/>
            </w:pPr>
            <w:r>
              <w:t xml:space="preserve">MFA / secured comms</w:t>
            </w:r>
          </w:p>
        </w:tc>
        <w:tc>
          <w:tcPr/>
          <w:p>
            <w:pPr>
              <w:pStyle w:val="Compact"/>
            </w:pPr>
            <w:r>
              <w:t xml:space="preserve">Identity-based segmentation (workload-to-workload analogue)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Art. 23(1)</w:t>
            </w:r>
          </w:p>
        </w:tc>
        <w:tc>
          <w:tcPr/>
          <w:p>
            <w:pPr>
              <w:pStyle w:val="Compact"/>
            </w:pPr>
            <w:r>
              <w:t xml:space="preserve">24-h early warning</w:t>
            </w:r>
          </w:p>
        </w:tc>
        <w:tc>
          <w:tcPr/>
          <w:p>
            <w:pPr>
              <w:pStyle w:val="Compact"/>
            </w:pPr>
            <w:r>
              <w:t xml:space="preserve">6-artefact dossier (initial pass)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Art. 23(2)</w:t>
            </w:r>
          </w:p>
        </w:tc>
        <w:tc>
          <w:tcPr/>
          <w:p>
            <w:pPr>
              <w:pStyle w:val="Compact"/>
            </w:pPr>
            <w:r>
              <w:t xml:space="preserve">72-h notification</w:t>
            </w:r>
          </w:p>
        </w:tc>
        <w:tc>
          <w:tcPr/>
          <w:p>
            <w:pPr>
              <w:pStyle w:val="Compact"/>
            </w:pPr>
            <w:r>
              <w:t xml:space="preserve">Same dossier, progressively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Art. 23(3)</w:t>
            </w:r>
          </w:p>
        </w:tc>
        <w:tc>
          <w:tcPr/>
          <w:p>
            <w:pPr>
              <w:pStyle w:val="Compact"/>
            </w:pPr>
            <w:r>
              <w:t xml:space="preserve">1-month final report</w:t>
            </w:r>
          </w:p>
        </w:tc>
        <w:tc>
          <w:tcPr/>
          <w:p>
            <w:pPr>
              <w:pStyle w:val="Compact"/>
            </w:pPr>
            <w:r>
              <w:t xml:space="preserve">Same dossier, plus root-cause and remediation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Art. 32</w:t>
            </w:r>
          </w:p>
        </w:tc>
        <w:tc>
          <w:tcPr/>
          <w:p>
            <w:pPr>
              <w:pStyle w:val="Compact"/>
            </w:pPr>
            <w:r>
              <w:t xml:space="preserve">Supervisory measures (essential entities)</w:t>
            </w:r>
          </w:p>
        </w:tc>
        <w:tc>
          <w:tcPr/>
          <w:p>
            <w:pPr>
              <w:pStyle w:val="Compact"/>
            </w:pPr>
            <w:r>
              <w:t xml:space="preserve">Audit-ready exports on demand (§8)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Art. 33</w:t>
            </w:r>
          </w:p>
        </w:tc>
        <w:tc>
          <w:tcPr/>
          <w:p>
            <w:pPr>
              <w:pStyle w:val="Compact"/>
            </w:pPr>
            <w:r>
              <w:t xml:space="preserve">Supervisory measures (important entities)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X4bdbb622406e576526356ddceec496ed475a165"/>
    <w:p>
      <w:pPr>
        <w:pStyle w:val="Heading2"/>
      </w:pPr>
      <w:r>
        <w:t xml:space="preserve">8. Auditor / Competent-Authority Response Guide</w:t>
      </w:r>
    </w:p>
    <w:p>
      <w:pPr>
        <w:pStyle w:val="FirstParagraph"/>
      </w:pPr>
      <w:r>
        <w:t xml:space="preserve">When a competent authority or CSIRT asks for evidence: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Authority asks</w:t>
            </w:r>
          </w:p>
        </w:tc>
        <w:tc>
          <w:tcPr/>
          <w:p>
            <w:pPr>
              <w:pStyle w:val="Compact"/>
            </w:pPr>
            <w:r>
              <w:t xml:space="preserve">You provide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"Show your in-scope asset inventory as of [date]"</w:t>
            </w:r>
          </w:p>
        </w:tc>
        <w:tc>
          <w:tcPr/>
          <w:p>
            <w:pPr>
              <w:pStyle w:val="Compact"/>
            </w:pPr>
            <w:r>
              <w:t xml:space="preserve">CSW inventory snapshot filtered by</w:t>
            </w:r>
            <w:r>
              <w:t xml:space="preserve"> </w:t>
            </w:r>
            <w:r>
              <w:rPr>
                <w:rStyle w:val="VerbatimChar"/>
              </w:rPr>
              <w:t xml:space="preserve">nis2_in_scope=true</w:t>
            </w:r>
            <w:r>
              <w:t xml:space="preserve">, dated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"Demonstrate your segmentation between sensitive and public scopes"</w:t>
            </w:r>
          </w:p>
        </w:tc>
        <w:tc>
          <w:tcPr/>
          <w:p>
            <w:pPr>
              <w:pStyle w:val="Compact"/>
            </w:pPr>
            <w:r>
              <w:t xml:space="preserve">Workspace export + Simulation showing zero allowed flows across the boundary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"Provide the incident timeline for event [ID]"</w:t>
            </w:r>
          </w:p>
        </w:tc>
        <w:tc>
          <w:tcPr/>
          <w:p>
            <w:pPr>
              <w:pStyle w:val="Compact"/>
            </w:pPr>
            <w:r>
              <w:t xml:space="preserve">6-artefact dossier (§4)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"Show how Article 21(2)(d) supply-chain security is operating effectively"</w:t>
            </w:r>
          </w:p>
        </w:tc>
        <w:tc>
          <w:tcPr/>
          <w:p>
            <w:pPr>
              <w:pStyle w:val="Compact"/>
            </w:pPr>
            <w:r>
              <w:t xml:space="preserve">Register-vs-observed delta (§5) + enforcement diff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"Show effectiveness of your measures under Article 21(2)(f)"</w:t>
            </w:r>
          </w:p>
        </w:tc>
        <w:tc>
          <w:tcPr/>
          <w:p>
            <w:pPr>
              <w:pStyle w:val="Compact"/>
            </w:pPr>
            <w:r>
              <w:t xml:space="preserve">Quarterly effectiveness pack (§6)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"Show the management body has reviewed measures under Article 20"</w:t>
            </w:r>
          </w:p>
        </w:tc>
        <w:tc>
          <w:tcPr/>
          <w:p>
            <w:pPr>
              <w:pStyle w:val="Compact"/>
            </w:pPr>
            <w:r>
              <w:t xml:space="preserve">Pack with management-body sign-off cover sheet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43" w:name="Xe6fb7e9c3133d993c736543b606c44b5d0ac8e7"/>
    <w:p>
      <w:pPr>
        <w:pStyle w:val="Heading2"/>
      </w:pPr>
      <w:r>
        <w:t xml:space="preserve">9. Related Frameworks</w:t>
      </w:r>
    </w:p>
    <w:p>
      <w:pPr>
        <w:pStyle w:val="FirstParagraph"/>
      </w:pPr>
      <w:r>
        <w:t xml:space="preserve">NIS2 overlaps materially with: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DORA</w:t>
      </w:r>
      <w:r>
        <w:t xml:space="preserve"> </w:t>
      </w:r>
      <w:r>
        <w:t xml:space="preserve">— for financial-sector entities, DORA generally applies as</w:t>
      </w:r>
      <w:r>
        <w:t xml:space="preserve"> </w:t>
      </w:r>
      <w:r>
        <w:rPr>
          <w:i/>
          <w:iCs/>
        </w:rPr>
        <w:t xml:space="preserve">lex specialis</w:t>
      </w:r>
      <w:r>
        <w:t xml:space="preserve"> </w:t>
      </w:r>
      <w:r>
        <w:t xml:space="preserve">over NIS2 for the same control surface (see</w:t>
      </w:r>
      <w:r>
        <w:t xml:space="preserve"> </w:t>
      </w:r>
      <w:hyperlink r:id="rId39">
        <w:r>
          <w:rPr>
            <w:rStyle w:val="Hyperlink"/>
          </w:rPr>
          <w:t xml:space="preserve">DORA runbook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ISO/IEC 27001:2022</w:t>
      </w:r>
      <w:r>
        <w:t xml:space="preserve"> </w:t>
      </w:r>
      <w:r>
        <w:t xml:space="preserve">— Annex A controls map closely to Art. 21(2)</w:t>
      </w:r>
      <w:r>
        <w:t xml:space="preserve"> </w:t>
      </w:r>
      <w:r>
        <w:t xml:space="preserve">measures (see</w:t>
      </w:r>
      <w:r>
        <w:t xml:space="preserve"> </w:t>
      </w:r>
      <w:hyperlink r:id="rId40">
        <w:r>
          <w:rPr>
            <w:rStyle w:val="Hyperlink"/>
          </w:rPr>
          <w:t xml:space="preserve">ISO 27001 runbook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NIST SP 800-207</w:t>
      </w:r>
      <w:r>
        <w:t xml:space="preserve"> </w:t>
      </w:r>
      <w:r>
        <w:t xml:space="preserve">— segmentation and continuous-monitoring</w:t>
      </w:r>
      <w:r>
        <w:t xml:space="preserve"> </w:t>
      </w:r>
      <w:r>
        <w:t xml:space="preserve">expectations align with the seven ZTA tenets (see</w:t>
      </w:r>
      <w:r>
        <w:t xml:space="preserve"> </w:t>
      </w:r>
      <w:hyperlink r:id="rId41">
        <w:r>
          <w:rPr>
            <w:rStyle w:val="Hyperlink"/>
          </w:rPr>
          <w:t xml:space="preserve">800-207 runbook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NIST SP 800-53</w:t>
      </w:r>
      <w:r>
        <w:t xml:space="preserve"> </w:t>
      </w:r>
      <w:r>
        <w:t xml:space="preserve">— for cross-jurisdiction programmes, 800-53</w:t>
      </w:r>
      <w:r>
        <w:t xml:space="preserve"> </w:t>
      </w:r>
      <w:r>
        <w:t xml:space="preserve">controls give a useful detailed mapping for Article 21(2)(e), (f),</w:t>
      </w:r>
      <w:r>
        <w:t xml:space="preserve"> </w:t>
      </w:r>
      <w:r>
        <w:t xml:space="preserve">(i) (see</w:t>
      </w:r>
      <w:r>
        <w:t xml:space="preserve"> </w:t>
      </w:r>
      <w:hyperlink r:id="rId42">
        <w:r>
          <w:rPr>
            <w:rStyle w:val="Hyperlink"/>
          </w:rPr>
          <w:t xml:space="preserve">800-53 runbook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43"/>
    <w:bookmarkStart w:id="44" w:name="Xa80fea2b1d38e1a3db5da4972cbabfd285bd5fc"/>
    <w:p>
      <w:pPr>
        <w:pStyle w:val="Heading2"/>
      </w:pPr>
      <w:r>
        <w:t xml:space="preserve">10. Disclaimer</w:t>
      </w:r>
    </w:p>
    <w:p>
      <w:pPr>
        <w:pStyle w:val="FirstParagraph"/>
      </w:pPr>
      <w:r>
        <w:t xml:space="preserve">This runbook describes how Cisco Secure Workload product capabilities</w:t>
      </w:r>
      <w:r>
        <w:t xml:space="preserve"> </w:t>
      </w:r>
      <w:r>
        <w:t xml:space="preserve">can support a NIS2 programme.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legal, regulatory, or</w:t>
      </w:r>
      <w:r>
        <w:t xml:space="preserve"> </w:t>
      </w:r>
      <w:r>
        <w:t xml:space="preserve">audit advice. NIS2 is implemented through Member State law that may</w:t>
      </w:r>
      <w:r>
        <w:t xml:space="preserve"> </w:t>
      </w:r>
      <w:r>
        <w:t xml:space="preserve">add or refine requirements; classification as essential vs. important,</w:t>
      </w:r>
      <w:r>
        <w:t xml:space="preserve"> </w:t>
      </w:r>
      <w:r>
        <w:t xml:space="preserve">incident significance thresholds, and supplier-related obligations</w:t>
      </w:r>
      <w:r>
        <w:t xml:space="preserve"> </w:t>
      </w:r>
      <w:r>
        <w:t xml:space="preserve">are determined by your own management body and qualified counsel,</w:t>
      </w:r>
      <w:r>
        <w:t xml:space="preserve"> </w:t>
      </w:r>
      <w:r>
        <w:t xml:space="preserve">working with the relevant national competent authority and CSIRT.</w:t>
      </w:r>
      <w:r>
        <w:t xml:space="preserve"> </w:t>
      </w:r>
      <w:r>
        <w:t xml:space="preserve">Always validate against the latest implementing acts, ENISA guidance,</w:t>
      </w:r>
      <w:r>
        <w:t xml:space="preserve"> </w:t>
      </w:r>
      <w:r>
        <w:t xml:space="preserve">and Member State transposition before formal use.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9" Target="../DORA/CSW-DORA-Technical-Runbook.md" TargetMode="External" /><Relationship Type="http://schemas.openxmlformats.org/officeDocument/2006/relationships/hyperlink" Id="rId40" Target="../ISO-27001-2022/CSW-ISO27001-Technical-Runbook.md" TargetMode="External" /><Relationship Type="http://schemas.openxmlformats.org/officeDocument/2006/relationships/hyperlink" Id="rId41" Target="../NIST-800-207/CSW-NIST-800-207-Technical-Runbook.md" TargetMode="External" /><Relationship Type="http://schemas.openxmlformats.org/officeDocument/2006/relationships/hyperlink" Id="rId42" Target="../NIST-800-53/CSW-NIST-800-53-Technical-Runbook.md" TargetMode="External" /><Relationship Type="http://schemas.openxmlformats.org/officeDocument/2006/relationships/hyperlink" Id="rId12" Target="../docs/about-csw.md" TargetMode="External" /><Relationship Type="http://schemas.openxmlformats.org/officeDocument/2006/relationships/hyperlink" Id="rId11" Target="../docs/compliance-evidence-playbook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../DORA/CSW-DORA-Technical-Runbook.md" TargetMode="External" /><Relationship Type="http://schemas.openxmlformats.org/officeDocument/2006/relationships/hyperlink" Id="rId40" Target="../ISO-27001-2022/CSW-ISO27001-Technical-Runbook.md" TargetMode="External" /><Relationship Type="http://schemas.openxmlformats.org/officeDocument/2006/relationships/hyperlink" Id="rId41" Target="../NIST-800-207/CSW-NIST-800-207-Technical-Runbook.md" TargetMode="External" /><Relationship Type="http://schemas.openxmlformats.org/officeDocument/2006/relationships/hyperlink" Id="rId42" Target="../NIST-800-53/CSW-NIST-800-53-Technical-Runbook.md" TargetMode="External" /><Relationship Type="http://schemas.openxmlformats.org/officeDocument/2006/relationships/hyperlink" Id="rId12" Target="../docs/about-csw.md" TargetMode="External" /><Relationship Type="http://schemas.openxmlformats.org/officeDocument/2006/relationships/hyperlink" Id="rId11" Target="../docs/compliance-evidence-playbook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2026-05-29T22:01:14Z</dcterms:created>
  <dcterms:modified xsi:type="dcterms:W3CDTF">2026-05-29T22:01:14Z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