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X1fffbd1d179467f44956e024abdc1afd7ee463f"/>
    <w:p>
      <w:pPr>
        <w:pStyle w:val="Heading1"/>
      </w:pPr>
      <w:r>
        <w:t xml:space="preserve">Cisco Secure Workload — NIST SP 800-171 Rev. 3</w:t>
      </w:r>
    </w:p>
    <w:bookmarkStart w:id="9" w:name="X814014ec932fc2234e42ea7c60f3f5857413887"/>
    <w:p>
      <w:pPr>
        <w:pStyle w:val="Heading2"/>
      </w:pPr>
      <w:r>
        <w:t xml:space="preserve">Technical Runbook | CUI in Nonfederal Systems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Standard:</w:t>
      </w:r>
      <w:r>
        <w:t xml:space="preserve"> </w:t>
      </w:r>
      <w:r>
        <w:t xml:space="preserve">NIST SP 800-171 Rev. 3 (May 2024),</w:t>
      </w:r>
      <w:r>
        <w:t xml:space="preserve"> </w:t>
      </w:r>
      <w:r>
        <w:rPr>
          <w:i/>
          <w:iCs/>
        </w:rPr>
        <w:t xml:space="preserve">Protecting Controlled Unclassified Information in Nonfederal Systems and Organizations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(on-premises + cloud), CUI processing enclaves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Nonfederal organizations that process, store, or transmit CUI under federal contracts or agreements; security architects building CUI enclaves; and assessors collecting technical evidence for 800-171A assessment procedures.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requirement 03.13.06 (deny by default, allow by exception), can I show continuous enforcement at the workload tier—not only perimeter firewalls—with a documented allow-list derived from observed traffic?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03.01.03 (information flow enforcement for CUI), can I prove authorized flows between CUI and non-CUI segments and detect or block unauthorized cross-boundary paths?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03.03.x (audit and accountability), can I export flow and process-level telemetry that traces CUI-adjacent workloads to specific processes and time windows for SIEM retention?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03.04.x (configuration management), can I baseline communications and software exposure, then demonstrate drift when new services, ports, or binaries appear on CUI systems?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03.11.x (risk assessment) and vulnerability prioritization, can I combine CVE exposure with east-west reachability and EPSS-style context to support POA&amp;M and risk narratives?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A current CUI boundary definition (which components process, store, or transmit CUI), a system security plan (SSP) or equivalent scope description, labeling standards for workloads, and assessor or PMO expectations for evidence format (reports, exports, screenshots).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1–2 for scope alignment; 3–6 for deployment and baseline; 7–9 for policy design tied to 03.01.03, 03.01.05, and 03.13.x; section 13 if you are packaging evidence for an assessment window.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CUI enclave isolation with 03.01/03.13 flow enforcement</w:t>
      </w:r>
    </w:p>
    <w:p>
      <w:pPr>
        <w:pStyle w:val="Compact"/>
        <w:numPr>
          <w:ilvl w:val="0"/>
          <w:numId w:val="1018"/>
        </w:numPr>
      </w:pPr>
      <w:r>
        <w:t xml:space="preserve">CMMC L2 underpinning evidence</w:t>
      </w:r>
    </w:p>
    <w:p>
      <w:pPr>
        <w:pStyle w:val="Compact"/>
        <w:numPr>
          <w:ilvl w:val="0"/>
          <w:numId w:val="1018"/>
        </w:numPr>
      </w:pPr>
      <w:r>
        <w:t xml:space="preserve">800-53 Rev 3 family alignment for assessors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3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NIST SP 800-171 Rev. 3 modernizes the CUI protection requirements, aligns requirement numbering and structure with</w:t>
      </w:r>
      <w:r>
        <w:t xml:space="preserve"> </w:t>
      </w:r>
      <w:r>
        <w:rPr>
          <w:b/>
          <w:bCs/>
        </w:rPr>
        <w:t xml:space="preserve">NIST SP 800-53 Rev. 5</w:t>
      </w:r>
      <w:r>
        <w:t xml:space="preserve">, and preserves the core outcome: confidentiality of CUI in nonfederal systems. Cisco Secure Workload (CSW) contributes</w:t>
      </w:r>
      <w:r>
        <w:t xml:space="preserve"> </w:t>
      </w:r>
      <w:r>
        <w:rPr>
          <w:b/>
          <w:bCs/>
        </w:rPr>
        <w:t xml:space="preserve">technical and operational evidence</w:t>
      </w:r>
      <w:r>
        <w:t xml:space="preserve"> </w:t>
      </w:r>
      <w:r>
        <w:t xml:space="preserve">for requirements where workload visibility, micro-segmentation, vulnerability context, and forensic telemetry are relevant. It does not replace administrative, physical, or personnel controls, identity providers, or cryptographic implementations.</w:t>
      </w:r>
    </w:p>
    <w:bookmarkStart w:id="21" w:name="X9b33ce18b8171bb950b7b0219e45ecb4a697339"/>
    <w:p>
      <w:pPr>
        <w:pStyle w:val="Heading3"/>
      </w:pPr>
      <w:r>
        <w:t xml:space="preserve">1.1 Alignment with NIST SP 800-53 Rev. 5 and CMMC</w:t>
      </w:r>
    </w:p>
    <w:p>
      <w:pPr>
        <w:pStyle w:val="FirstParagraph"/>
      </w:pPr>
      <w:r>
        <w:t xml:space="preserve">Rev. 3 requirements include source-control references to 800-53 (for example, 03.13.06 maps from SC-7(5)). For a detailed control-family treatment mapped to CSW at the 800-53 control level, see the companion runbook below.</w:t>
      </w:r>
      <w:r>
        <w:t xml:space="preserve"> </w:t>
      </w:r>
      <w:r>
        <w:rPr>
          <w:b/>
          <w:bCs/>
        </w:rPr>
        <w:t xml:space="preserve">CMMC 2.0</w:t>
      </w:r>
      <w:r>
        <w:t xml:space="preserve"> </w:t>
      </w:r>
      <w:r>
        <w:t xml:space="preserve">uses NIST SP 800-171 as its technical basis for Level 2; contractors should</w:t>
      </w:r>
      <w:r>
        <w:t xml:space="preserve"> </w:t>
      </w:r>
      <w:r>
        <w:rPr>
          <w:b/>
          <w:bCs/>
        </w:rPr>
        <w:t xml:space="preserve">confirm which revision (Rev. 2 vs. Rev. 3)</w:t>
      </w:r>
      <w:r>
        <w:t xml:space="preserve"> </w:t>
      </w:r>
      <w:r>
        <w:t xml:space="preserve">their contracts, PMO, or assessment framework specify during any transition period. This runbook is written to</w:t>
      </w:r>
      <w:r>
        <w:t xml:space="preserve"> </w:t>
      </w:r>
      <w:r>
        <w:rPr>
          <w:b/>
          <w:bCs/>
        </w:rPr>
        <w:t xml:space="preserve">Rev. 3</w:t>
      </w:r>
      <w:r>
        <w:t xml:space="preserve"> </w:t>
      </w:r>
      <w:r>
        <w:t xml:space="preserve">identifiers (e.g., 03.01.03).</w:t>
      </w:r>
    </w:p>
    <w:bookmarkEnd w:id="21"/>
    <w:bookmarkStart w:id="22" w:name="X8cca1af5d5b1e7da6e524fd560970e1abb4007e"/>
    <w:p>
      <w:pPr>
        <w:pStyle w:val="Heading3"/>
      </w:pPr>
      <w:r>
        <w:t xml:space="preserve">1.2 Rev. 3 Family Structure and CSW Relevance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 (Rev. 3)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03.01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identity-aware and scope-based micro-segmentation; deny-by-default enforcement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03.02</w:t>
            </w:r>
          </w:p>
        </w:tc>
        <w:tc>
          <w:tcPr/>
          <w:p>
            <w:pPr>
              <w:pStyle w:val="Compact"/>
            </w:pPr>
            <w:r>
              <w:t xml:space="preserve">Awareness and Training</w:t>
            </w:r>
          </w:p>
        </w:tc>
        <w:tc>
          <w:tcPr/>
          <w:p>
            <w:pPr>
              <w:pStyle w:val="Compact"/>
            </w:pPr>
            <w:r>
              <w:t xml:space="preserve">Out of scope — HR/training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</w:t>
            </w:r>
          </w:p>
        </w:tc>
        <w:tc>
          <w:tcPr/>
          <w:p>
            <w:pPr>
              <w:pStyle w:val="Compact"/>
            </w:pPr>
            <w:r>
              <w:t xml:space="preserve">Audit and Accountability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flow + process telemetry; export to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03.04</w:t>
            </w:r>
          </w:p>
        </w:tc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software inventory, ADM baselines, drift versus approved communication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03.05</w:t>
            </w:r>
          </w:p>
        </w:tc>
        <w:tc>
          <w:tcPr/>
          <w:p>
            <w:pPr>
              <w:pStyle w:val="Compact"/>
            </w:pPr>
            <w:r>
              <w:t xml:space="preserve">Identification and Authentication</w:t>
            </w:r>
          </w:p>
        </w:tc>
        <w:tc>
          <w:tcPr/>
          <w:p>
            <w:pPr>
              <w:pStyle w:val="Compact"/>
            </w:pPr>
            <w:r>
              <w:t xml:space="preserve">Supporting — enforcement of authenticated paths (e.g., Kerberos/LDAPS-only); IdP configuration remains outside CSW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03.06</w:t>
            </w:r>
          </w:p>
        </w:tc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Supporting (evidence)</w:t>
            </w:r>
            <w:r>
              <w:t xml:space="preserve"> </w:t>
            </w:r>
            <w:r>
              <w:t xml:space="preserve">— forensics, timelines, scope of compromise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03.07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Supporting — monitoring of maintenance-related connectivity if expressed in policy baselines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03.08</w:t>
            </w:r>
          </w:p>
        </w:tc>
        <w:tc>
          <w:tcPr/>
          <w:p>
            <w:pPr>
              <w:pStyle w:val="Compact"/>
            </w:pPr>
            <w:r>
              <w:t xml:space="preserve">Media Protection</w:t>
            </w:r>
          </w:p>
        </w:tc>
        <w:tc>
          <w:tcPr/>
          <w:p>
            <w:pPr>
              <w:pStyle w:val="Compact"/>
            </w:pPr>
            <w:r>
              <w:t xml:space="preserve">Limited — no physical media control; logical exfiltration paths may be constrained by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03.09</w:t>
            </w:r>
          </w:p>
        </w:tc>
        <w:tc>
          <w:tcPr/>
          <w:p>
            <w:pPr>
              <w:pStyle w:val="Compact"/>
            </w:pPr>
            <w:r>
              <w:t xml:space="preserve">Personnel Security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03.10</w:t>
            </w:r>
          </w:p>
        </w:tc>
        <w:tc>
          <w:tcPr/>
          <w:p>
            <w:pPr>
              <w:pStyle w:val="Compact"/>
            </w:pPr>
            <w:r>
              <w:t xml:space="preserve">Physical Protection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03.11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CVE visibility, reachability from threat-facing workloads, prioritization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03.12</w:t>
            </w:r>
          </w:p>
        </w:tc>
        <w:tc>
          <w:tcPr/>
          <w:p>
            <w:pPr>
              <w:pStyle w:val="Compact"/>
            </w:pPr>
            <w:r>
              <w:t xml:space="preserve">Security Assessment and Monitoring</w:t>
            </w:r>
          </w:p>
        </w:tc>
        <w:tc>
          <w:tcPr/>
          <w:p>
            <w:pPr>
              <w:pStyle w:val="Compact"/>
            </w:pPr>
            <w:r>
              <w:t xml:space="preserve">Supporting — continuous monitoring artifacts; CSW does not replace formal control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03.13</w:t>
            </w:r>
          </w:p>
        </w:tc>
        <w:tc>
          <w:tcPr/>
          <w:p>
            <w:pPr>
              <w:pStyle w:val="Compact"/>
            </w:pPr>
            <w:r>
              <w:t xml:space="preserve">System and Communications Protection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CUI enclave isolation, boundary enforcement, plaintext/unauthorized protocol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03.14</w:t>
            </w:r>
          </w:p>
        </w:tc>
        <w:tc>
          <w:tcPr/>
          <w:p>
            <w:pPr>
              <w:pStyle w:val="Compact"/>
            </w:pPr>
            <w:r>
              <w:t xml:space="preserve">System and Information Integrity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process monitoring, anomaly signals, forensic integrity of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03.15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Supporting — inventory and scope evidence feed SSP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03.16</w:t>
            </w:r>
          </w:p>
        </w:tc>
        <w:tc>
          <w:tcPr/>
          <w:p>
            <w:pPr>
              <w:pStyle w:val="Compact"/>
            </w:pPr>
            <w:r>
              <w:t xml:space="preserve">System and Services Acquisition</w:t>
            </w:r>
          </w:p>
        </w:tc>
        <w:tc>
          <w:tcPr/>
          <w:p>
            <w:pPr>
              <w:pStyle w:val="Compact"/>
            </w:pPr>
            <w:r>
              <w:t xml:space="preserve">Limited — monitor connectivity to external services; contract terms remain organizational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03.17</w:t>
            </w:r>
          </w:p>
        </w:tc>
        <w:tc>
          <w:tcPr/>
          <w:p>
            <w:pPr>
              <w:pStyle w:val="Compact"/>
            </w:pPr>
            <w:r>
              <w:t xml:space="preserve">Supply Chain Risk Management</w:t>
            </w:r>
          </w:p>
        </w:tc>
        <w:tc>
          <w:tcPr/>
          <w:p>
            <w:pPr>
              <w:pStyle w:val="Compact"/>
            </w:pPr>
            <w:r>
              <w:t xml:space="preserve">Limited — workload component visibility; full SCRM is organizational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FirstParagraph"/>
      </w:pPr>
      <w:r>
        <w:t xml:space="preserve">Before deploying CSW sensors into CUI or CUI-adjacent enclaves, confirm the following:</w:t>
      </w:r>
    </w:p>
    <w:p>
      <w:pPr>
        <w:pStyle w:val="Compact"/>
        <w:numPr>
          <w:ilvl w:val="0"/>
          <w:numId w:val="1019"/>
        </w:numPr>
      </w:pPr>
      <w:r>
        <w:t xml:space="preserve">CSW cluster (SaaS or customer-managed) is provisioned; data residency and IRP for telemetry meet organizational and contractual rules for CUI.</w:t>
      </w:r>
    </w:p>
    <w:p>
      <w:pPr>
        <w:pStyle w:val="Compact"/>
        <w:numPr>
          <w:ilvl w:val="0"/>
          <w:numId w:val="1020"/>
        </w:numPr>
      </w:pPr>
      <w:r>
        <w:t xml:space="preserve">Outbound connectivity from workloads to the CSW cluster (typically TCP 443) is allowed and documented in the SSP connection table.</w:t>
      </w:r>
    </w:p>
    <w:p>
      <w:pPr>
        <w:pStyle w:val="Compact"/>
        <w:numPr>
          <w:ilvl w:val="0"/>
          <w:numId w:val="1021"/>
        </w:numPr>
      </w:pPr>
      <w:r>
        <w:t xml:space="preserve">Linux and Windows sensor versions are approved for all target OS builds in the CUI baseline.</w:t>
      </w:r>
    </w:p>
    <w:p>
      <w:pPr>
        <w:pStyle w:val="Compact"/>
        <w:numPr>
          <w:ilvl w:val="0"/>
          <w:numId w:val="1022"/>
        </w:numPr>
      </w:pPr>
      <w:r>
        <w:t xml:space="preserve">Cloud connectors (AWS, Azure, GCP) are authorized if agentless visibility is used; IAM roles / service principals are least-privilege and documented.</w:t>
      </w:r>
    </w:p>
    <w:p>
      <w:pPr>
        <w:pStyle w:val="Compact"/>
        <w:numPr>
          <w:ilvl w:val="0"/>
          <w:numId w:val="1023"/>
        </w:numPr>
      </w:pPr>
      <w:r>
        <w:t xml:space="preserve">Stakeholders engaged: ISSO, system owner, network operations, contracting/CUI program office.</w:t>
      </w:r>
    </w:p>
    <w:p>
      <w:pPr>
        <w:pStyle w:val="Compact"/>
        <w:numPr>
          <w:ilvl w:val="0"/>
          <w:numId w:val="1024"/>
        </w:numPr>
      </w:pPr>
      <w:r>
        <w:t xml:space="preserve">Change windows approved;</w:t>
      </w:r>
      <w:r>
        <w:t xml:space="preserve"> </w:t>
      </w:r>
      <w:r>
        <w:rPr>
          <w:b/>
          <w:bCs/>
        </w:rPr>
        <w:t xml:space="preserve">initial mode is monitoring</w:t>
      </w:r>
      <w:r>
        <w:t xml:space="preserve">, not enforcement, until ADM and policy simulation complete.</w:t>
      </w:r>
    </w:p>
    <w:p>
      <w:r>
        <w:pict>
          <v:rect style="width:0;height:1.5pt" o:hralign="center" o:hrstd="t" o:hr="t"/>
        </w:pict>
      </w:r>
    </w:p>
    <w:bookmarkEnd w:id="24"/>
    <w:bookmarkStart w:id="28" w:name="Xb2ed0b8df7dcaa445650af34cb5a6c449cd2e62"/>
    <w:p>
      <w:pPr>
        <w:pStyle w:val="Heading2"/>
      </w:pPr>
      <w:r>
        <w:t xml:space="preserve">3. Phase 1 — Sensor Deployment (Days 1–5)</w:t>
      </w:r>
    </w:p>
    <w:bookmarkStart w:id="25" w:name="X9178b1e11e802952dd9a87e8aea7ffcad9b93a8"/>
    <w:p>
      <w:pPr>
        <w:pStyle w:val="Heading3"/>
      </w:pPr>
      <w:r>
        <w:t xml:space="preserve">3.1 On-Premises Workloads</w:t>
      </w:r>
    </w:p>
    <w:p>
      <w:pPr>
        <w:pStyle w:val="FirstParagraph"/>
      </w:pPr>
      <w:r>
        <w:rPr>
          <w:b/>
          <w:bCs/>
        </w:rPr>
        <w:t xml:space="preserve">Install software sensors:</w:t>
      </w:r>
    </w:p>
    <w:p>
      <w:pPr>
        <w:pStyle w:val="SourceCode"/>
      </w:pPr>
      <w:r>
        <w:rPr>
          <w:rStyle w:val="CommentTok"/>
        </w:rPr>
        <w:t xml:space="preserve"># Linux (RHEL / CentOS stream / Ubuntu variants — use package matching your distro)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    </w:t>
      </w:r>
      <w:r>
        <w:rPr>
          <w:rStyle w:val="CommentTok"/>
        </w:rPr>
        <w:t xml:space="preserve"># RHEL family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     </w:t>
      </w:r>
      <w:r>
        <w:rPr>
          <w:rStyle w:val="CommentTok"/>
        </w:rPr>
        <w:t xml:space="preserve"># Debian family</w:t>
      </w:r>
      <w:r>
        <w:br/>
      </w:r>
      <w:r>
        <w:br/>
      </w:r>
      <w:r>
        <w:rPr>
          <w:rStyle w:val="CommentTok"/>
        </w:rPr>
        <w:t xml:space="preserve"># Verify agent service (name may vary slightly by release; consult release notes)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tet-engine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csw-agent</w:t>
      </w:r>
    </w:p>
    <w:p>
      <w:pPr>
        <w:pStyle w:val="FirstParagraph"/>
      </w:pPr>
      <w:r>
        <w:rPr>
          <w:b/>
          <w:bCs/>
        </w:rPr>
        <w:t xml:space="preserve">Configuration guardrails for CUI:</w:t>
      </w:r>
    </w:p>
    <w:p>
      <w:pPr>
        <w:pStyle w:val="Compact"/>
        <w:numPr>
          <w:ilvl w:val="0"/>
          <w:numId w:val="1025"/>
        </w:numPr>
      </w:pPr>
      <w:r>
        <w:t xml:space="preserve">Enforcement mode:</w:t>
      </w:r>
      <w:r>
        <w:t xml:space="preserve"> </w:t>
      </w:r>
      <w:r>
        <w:rPr>
          <w:b/>
          <w:bCs/>
        </w:rPr>
        <w:t xml:space="preserve">Monitoring only</w:t>
      </w:r>
      <w:r>
        <w:t xml:space="preserve"> </w:t>
      </w:r>
      <w:r>
        <w:t xml:space="preserve">until policy sign-off.</w:t>
      </w:r>
    </w:p>
    <w:p>
      <w:pPr>
        <w:pStyle w:val="Compact"/>
        <w:numPr>
          <w:ilvl w:val="0"/>
          <w:numId w:val="1025"/>
        </w:numPr>
      </w:pPr>
      <w:r>
        <w:t xml:space="preserve">Enable process hash, connection telemetry, and vulnerability exposure features supported on your agents.</w:t>
      </w:r>
    </w:p>
    <w:p>
      <w:pPr>
        <w:pStyle w:val="Compact"/>
        <w:numPr>
          <w:ilvl w:val="0"/>
          <w:numId w:val="1025"/>
        </w:numPr>
      </w:pPr>
      <w:r>
        <w:t xml:space="preserve">Apply labels at install time:</w:t>
      </w:r>
      <w:r>
        <w:t xml:space="preserve"> </w:t>
      </w:r>
      <w:r>
        <w:rPr>
          <w:rStyle w:val="VerbatimChar"/>
        </w:rPr>
        <w:t xml:space="preserve">cui_scope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enclave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.</w:t>
      </w:r>
    </w:p>
    <w:bookmarkEnd w:id="25"/>
    <w:bookmarkStart w:id="26" w:name="Xd0b0ef6dceaac6955235f831e88e249a16d9b2a"/>
    <w:p>
      <w:pPr>
        <w:pStyle w:val="Heading3"/>
      </w:pPr>
      <w:r>
        <w:t xml:space="preserve">3.2 Cloud Workloads</w:t>
      </w:r>
    </w:p>
    <w:p>
      <w:pPr>
        <w:pStyle w:val="FirstParagraph"/>
      </w:pPr>
      <w:r>
        <w:rPr>
          <w:b/>
          <w:bCs/>
        </w:rPr>
        <w:t xml:space="preserve">Option A — Agent on every CUI-bearing instance:</w:t>
      </w:r>
      <w:r>
        <w:t xml:space="preserve"> </w:t>
      </w:r>
      <w:r>
        <w:t xml:space="preserve">same as on-prem.</w:t>
      </w:r>
    </w:p>
    <w:p>
      <w:pPr>
        <w:pStyle w:val="BodyText"/>
      </w:pPr>
      <w:r>
        <w:rPr>
          <w:b/>
          <w:bCs/>
        </w:rPr>
        <w:t xml:space="preserve">Option B — Cloud connector (complementary):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Add AWS / Azure / GCP connector</w:t>
      </w:r>
      <w:r>
        <w:br/>
      </w:r>
      <w:r>
        <w:rPr>
          <w:rStyle w:val="VerbatimChar"/>
        </w:rPr>
        <w:t xml:space="preserve">  → Attach read-only discovery role (EC2/VM inventory, optional flow log paths per vendor)</w:t>
      </w:r>
      <w:r>
        <w:br/>
      </w:r>
      <w:r>
        <w:rPr>
          <w:rStyle w:val="VerbatimChar"/>
        </w:rPr>
        <w:t xml:space="preserve">  → Map cloud tags → CSW labels (e.g., tag CuiEnclave=ALPHA → scope CUI-ALPHA)</w:t>
      </w:r>
    </w:p>
    <w:bookmarkEnd w:id="26"/>
    <w:bookmarkStart w:id="27" w:name="Xbf64673a39e559956378fa0a164d0454987bd57"/>
    <w:p>
      <w:pPr>
        <w:pStyle w:val="Heading3"/>
      </w:pPr>
      <w:r>
        <w:t xml:space="preserve">3.3 Validation</w:t>
      </w:r>
    </w:p>
    <w:p>
      <w:pPr>
        <w:pStyle w:val="SourceCode"/>
      </w:pPr>
      <w:r>
        <w:rPr>
          <w:rStyle w:val="VerbatimChar"/>
        </w:rPr>
        <w:t xml:space="preserve">CSW UI → Manage → Agents</w:t>
      </w:r>
      <w:r>
        <w:br/>
      </w:r>
      <w:r>
        <w:rPr>
          <w:rStyle w:val="VerbatimChar"/>
        </w:rPr>
        <w:t xml:space="preserve">  → Status: Active for every in-scope workload</w:t>
      </w:r>
      <w:r>
        <w:br/>
      </w:r>
      <w:r>
        <w:rPr>
          <w:rStyle w:val="VerbatimChar"/>
        </w:rPr>
        <w:t xml:space="preserve">  → Version alignment with approved standard image</w:t>
      </w:r>
      <w:r>
        <w:br/>
      </w:r>
      <w:r>
        <w:rPr>
          <w:rStyle w:val="VerbatimChar"/>
        </w:rPr>
        <w:t xml:space="preserve">  → Confirm flows visible within 15–30 minutes of agent start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f57bc879a1d255d34e0bc8e02add998204e592b"/>
    <w:p>
      <w:pPr>
        <w:pStyle w:val="Heading2"/>
      </w:pPr>
      <w:r>
        <w:t xml:space="preserve">4. Phase 2 — Scope Design and CUI Inventory (Days 6–12)</w:t>
      </w:r>
    </w:p>
    <w:bookmarkStart w:id="29" w:name="X1c3af1ca99f7b9d1375f9c868673c8deb37e3a0"/>
    <w:p>
      <w:pPr>
        <w:pStyle w:val="Heading3"/>
      </w:pPr>
      <w:r>
        <w:t xml:space="preserve">4.1 Recommended Scope Hierarchy</w:t>
      </w:r>
    </w:p>
    <w:p>
      <w:pPr>
        <w:pStyle w:val="FirstParagraph"/>
      </w:pPr>
      <w:r>
        <w:t xml:space="preserve">Model</w:t>
      </w:r>
      <w:r>
        <w:t xml:space="preserve"> </w:t>
      </w:r>
      <w:r>
        <w:rPr>
          <w:b/>
          <w:bCs/>
        </w:rPr>
        <w:t xml:space="preserve">CUI enclaves</w:t>
      </w:r>
      <w:r>
        <w:t xml:space="preserve"> </w:t>
      </w:r>
      <w:r>
        <w:t xml:space="preserve">explicitly; never rely on a single flat “production” scope for assessment evidence.</w:t>
      </w:r>
    </w:p>
    <w:p>
      <w:pPr>
        <w:pStyle w:val="SourceCode"/>
      </w:pP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└── Organization</w:t>
      </w:r>
      <w:r>
        <w:br/>
      </w:r>
      <w:r>
        <w:rPr>
          <w:rStyle w:val="VerbatimChar"/>
        </w:rPr>
        <w:t xml:space="preserve">    ├── CUI-Enclaves</w:t>
      </w:r>
      <w:r>
        <w:br/>
      </w:r>
      <w:r>
        <w:rPr>
          <w:rStyle w:val="VerbatimChar"/>
        </w:rPr>
        <w:t xml:space="preserve">    │   ├── CUI-Tier1-Apps</w:t>
      </w:r>
      <w:r>
        <w:br/>
      </w:r>
      <w:r>
        <w:rPr>
          <w:rStyle w:val="VerbatimChar"/>
        </w:rPr>
        <w:t xml:space="preserve">    │   ├── CUI-Datastores</w:t>
      </w:r>
      <w:r>
        <w:br/>
      </w:r>
      <w:r>
        <w:rPr>
          <w:rStyle w:val="VerbatimChar"/>
        </w:rPr>
        <w:t xml:space="preserve">    │   └── CUI-Integration-Brokers</w:t>
      </w:r>
      <w:r>
        <w:br/>
      </w:r>
      <w:r>
        <w:rPr>
          <w:rStyle w:val="VerbatimChar"/>
        </w:rPr>
        <w:t xml:space="preserve">    ├── Security-Protection-Assets</w:t>
      </w:r>
      <w:r>
        <w:br/>
      </w:r>
      <w:r>
        <w:rPr>
          <w:rStyle w:val="VerbatimChar"/>
        </w:rPr>
        <w:t xml:space="preserve">    │   ├── Identity (read-only policy exceptions)</w:t>
      </w:r>
      <w:r>
        <w:br/>
      </w:r>
      <w:r>
        <w:rPr>
          <w:rStyle w:val="VerbatimChar"/>
        </w:rPr>
        <w:t xml:space="preserve">    │   ├── Patch-Repo / Artifactories (as approved)</w:t>
      </w:r>
      <w:r>
        <w:br/>
      </w:r>
      <w:r>
        <w:rPr>
          <w:rStyle w:val="VerbatimChar"/>
        </w:rPr>
        <w:t xml:space="preserve">    │   ├── SOC-SIEM-Collectors</w:t>
      </w:r>
      <w:r>
        <w:br/>
      </w:r>
      <w:r>
        <w:rPr>
          <w:rStyle w:val="VerbatimChar"/>
        </w:rPr>
        <w:t xml:space="preserve">    │   └── Backup / DR targets</w:t>
      </w:r>
      <w:r>
        <w:br/>
      </w:r>
      <w:r>
        <w:rPr>
          <w:rStyle w:val="VerbatimChar"/>
        </w:rPr>
        <w:t xml:space="preserve">    └── Non-CUI (or “Corporate”)</w:t>
      </w:r>
      <w:r>
        <w:br/>
      </w:r>
      <w:r>
        <w:rPr>
          <w:rStyle w:val="VerbatimChar"/>
        </w:rPr>
        <w:t xml:space="preserve">        ├── Dev/Test (must not share policy workspace with CUI if contract requires segregation)</w:t>
      </w:r>
      <w:r>
        <w:br/>
      </w:r>
      <w:r>
        <w:rPr>
          <w:rStyle w:val="VerbatimChar"/>
        </w:rPr>
        <w:t xml:space="preserve">        └── General IT</w:t>
      </w:r>
    </w:p>
    <w:bookmarkEnd w:id="29"/>
    <w:bookmarkStart w:id="30" w:name="Xfb684d657fc1d649d6203727e8addc40e9059a7"/>
    <w:p>
      <w:pPr>
        <w:pStyle w:val="Heading3"/>
      </w:pPr>
      <w:r>
        <w:t xml:space="preserve">4.2 Label Schema (Minimum)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cui_scope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out_of_scope</w:t>
            </w:r>
          </w:p>
        </w:tc>
        <w:tc>
          <w:tcPr/>
          <w:p>
            <w:pPr>
              <w:pStyle w:val="Compact"/>
            </w:pPr>
            <w:r>
              <w:t xml:space="preserve">Aligns workload to SSP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cui_role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transmits</w:t>
            </w:r>
          </w:p>
        </w:tc>
        <w:tc>
          <w:tcPr/>
          <w:p>
            <w:pPr>
              <w:pStyle w:val="Compact"/>
            </w:pPr>
            <w:r>
              <w:t xml:space="preserve">Maps to CUI handling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enclave_id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ENCLAVE-A</w:t>
            </w:r>
          </w:p>
        </w:tc>
        <w:tc>
          <w:tcPr/>
          <w:p>
            <w:pPr>
              <w:pStyle w:val="Compact"/>
            </w:pPr>
            <w:r>
              <w:t xml:space="preserve">Groups policies and ADM workspaces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Drives segmentation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prog-office-xyz</w:t>
            </w:r>
          </w:p>
        </w:tc>
        <w:tc>
          <w:tcPr/>
          <w:p>
            <w:pPr>
              <w:pStyle w:val="Compact"/>
            </w:pPr>
            <w:r>
              <w:t xml:space="preserve">Accountability in exports</w:t>
            </w:r>
          </w:p>
        </w:tc>
      </w:tr>
    </w:tbl>
    <w:bookmarkEnd w:id="30"/>
    <w:bookmarkStart w:id="31" w:name="Xc9a3d51b95679f5d6e64634e528fcc13dceebcc"/>
    <w:p>
      <w:pPr>
        <w:pStyle w:val="Heading3"/>
      </w:pPr>
      <w:r>
        <w:t xml:space="preserve">4.3 Discovery Filters (Examples)</w:t>
      </w:r>
    </w:p>
    <w:p>
      <w:pPr>
        <w:pStyle w:val="SourceCode"/>
      </w:pPr>
      <w:r>
        <w:rPr>
          <w:rStyle w:val="VerbatimChar"/>
        </w:rPr>
        <w:t xml:space="preserve">Filter: CUI-Candidate-DBs</w:t>
      </w:r>
      <w:r>
        <w:br/>
      </w:r>
      <w:r>
        <w:rPr>
          <w:rStyle w:val="VerbatimChar"/>
        </w:rPr>
        <w:t xml:space="preserve">  - Process: postgres, oracle, mysqld, sqlservr, mongod</w:t>
      </w:r>
      <w:r>
        <w:br/>
      </w:r>
      <w:r>
        <w:rPr>
          <w:rStyle w:val="VerbatimChar"/>
        </w:rPr>
        <w:t xml:space="preserve">  - Ports: 5432, 1521, 1433, 3306, 27017</w:t>
      </w:r>
      <w:r>
        <w:br/>
      </w:r>
      <w:r>
        <w:br/>
      </w:r>
      <w:r>
        <w:rPr>
          <w:rStyle w:val="VerbatimChar"/>
        </w:rPr>
        <w:t xml:space="preserve">Filter: CUI-Candidate-App-Tiers</w:t>
      </w:r>
      <w:r>
        <w:br/>
      </w:r>
      <w:r>
        <w:rPr>
          <w:rStyle w:val="VerbatimChar"/>
        </w:rPr>
        <w:t xml:space="preserve">  - Tag from cloud: DataClassification=CUI</w:t>
      </w:r>
      <w:r>
        <w:br/>
      </w:r>
      <w:r>
        <w:rPr>
          <w:rStyle w:val="VerbatimChar"/>
        </w:rPr>
        <w:t xml:space="preserve">  - Hostname pattern: *cui*, *gov*, *fed*</w:t>
      </w:r>
      <w:r>
        <w:br/>
      </w:r>
      <w:r>
        <w:br/>
      </w:r>
      <w:r>
        <w:rPr>
          <w:rStyle w:val="VerbatimChar"/>
        </w:rPr>
        <w:t xml:space="preserve">Filter: Common-Exfil-Protocols (review only — policy may block after baseline)</w:t>
      </w:r>
      <w:r>
        <w:br/>
      </w:r>
      <w:r>
        <w:rPr>
          <w:rStyle w:val="VerbatimChar"/>
        </w:rPr>
        <w:t xml:space="preserve">  - Outbound destination not in approved list AND process in (curl, wget, ftp, scp)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e15557f1e1ff356d45440bd3e2eff9edb526873"/>
    <w:p>
      <w:pPr>
        <w:pStyle w:val="Heading2"/>
      </w:pPr>
      <w:r>
        <w:t xml:space="preserve">5. Phase 3 — Visibility and Baseline (Days 10–25)</w:t>
      </w:r>
    </w:p>
    <w:bookmarkStart w:id="33" w:name="X12081d41c24fbcedc4f8c56c8eea4e6db6b5893"/>
    <w:p>
      <w:pPr>
        <w:pStyle w:val="Heading3"/>
      </w:pPr>
      <w:r>
        <w:t xml:space="preserve">5.1 Application Dependency Mapping (ADM)</w:t>
      </w:r>
    </w:p>
    <w:p>
      <w:pPr>
        <w:pStyle w:val="FirstParagraph"/>
      </w:pPr>
      <w:r>
        <w:t xml:space="preserve">ADM establishes the</w:t>
      </w:r>
      <w:r>
        <w:t xml:space="preserve"> </w:t>
      </w:r>
      <w:r>
        <w:rPr>
          <w:b/>
          <w:bCs/>
        </w:rPr>
        <w:t xml:space="preserve">authorized communication baseline</w:t>
      </w:r>
      <w:r>
        <w:t xml:space="preserve"> </w:t>
      </w:r>
      <w:r>
        <w:t xml:space="preserve">needed for 03.01.03, 03.04.x comparison, and 03.13.06 allow-lists.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New Workspace</w:t>
      </w:r>
      <w:r>
        <w:br/>
      </w:r>
      <w:r>
        <w:rPr>
          <w:rStyle w:val="VerbatimChar"/>
        </w:rPr>
        <w:t xml:space="preserve">  → Name: CUI-ADM-&lt;Enclave&gt;-&lt;YYYYQQ&gt;</w:t>
      </w:r>
      <w:r>
        <w:br/>
      </w:r>
      <w:r>
        <w:rPr>
          <w:rStyle w:val="VerbatimChar"/>
        </w:rPr>
        <w:t xml:space="preserve">  → Scope: CUI-Enclaves (or single enclave for stricter separation)</w:t>
      </w:r>
      <w:r>
        <w:br/>
      </w:r>
      <w:r>
        <w:rPr>
          <w:rStyle w:val="VerbatimChar"/>
        </w:rPr>
        <w:t xml:space="preserve">  → Duration: ≥ 14 days (include month-end / payroll / batch cycles if applicable)</w:t>
      </w:r>
      <w:r>
        <w:br/>
      </w:r>
      <w:r>
        <w:rPr>
          <w:rStyle w:val="VerbatimChar"/>
        </w:rPr>
        <w:t xml:space="preserve">  → Enable rich process context and user context where supported</w:t>
      </w:r>
    </w:p>
    <w:p>
      <w:pPr>
        <w:pStyle w:val="FirstParagraph"/>
      </w:pPr>
      <w:r>
        <w:rPr>
          <w:b/>
          <w:bCs/>
        </w:rPr>
        <w:t xml:space="preserve">During review, document: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workloads initiate sessions</w:t>
            </w:r>
            <w:r>
              <w:t xml:space="preserve"> </w:t>
            </w:r>
            <w:r>
              <w:rPr>
                <w:b/>
                <w:bCs/>
              </w:rPr>
              <w:t xml:space="preserve">from</w:t>
            </w:r>
            <w:r>
              <w:t xml:space="preserve"> </w:t>
            </w:r>
            <w:r>
              <w:t xml:space="preserve">non-CUI into CUI?</w:t>
            </w:r>
          </w:p>
        </w:tc>
        <w:tc>
          <w:tcPr/>
          <w:p>
            <w:pPr>
              <w:pStyle w:val="Compact"/>
            </w:pPr>
            <w:r>
              <w:t xml:space="preserve">03.01.03, 03.13.01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CUI workloads initiate</w:t>
            </w:r>
            <w: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t xml:space="preserve"> </w:t>
            </w:r>
            <w:r>
              <w:t xml:space="preserve">non-CUI (break-glass, SaaS, email)?</w:t>
            </w:r>
          </w:p>
        </w:tc>
        <w:tc>
          <w:tcPr/>
          <w:p>
            <w:pPr>
              <w:pStyle w:val="Compact"/>
            </w:pPr>
            <w:r>
              <w:t xml:space="preserve">03.01.03, 03.01.20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traffic cleartext (HTTP, LDAP, FTP) versus encrypted?</w:t>
            </w:r>
          </w:p>
        </w:tc>
        <w:tc>
          <w:tcPr/>
          <w:p>
            <w:pPr>
              <w:pStyle w:val="Compact"/>
            </w:pPr>
            <w:r>
              <w:t xml:space="preserve">03.13.x, 03.13.08 (as applicable)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the blast radius if a given internet-facing tier is compromised?</w:t>
            </w:r>
          </w:p>
        </w:tc>
        <w:tc>
          <w:tcPr/>
          <w:p>
            <w:pPr>
              <w:pStyle w:val="Compact"/>
            </w:pPr>
            <w:r>
              <w:t xml:space="preserve">03.11.x</w:t>
            </w:r>
          </w:p>
        </w:tc>
      </w:tr>
    </w:tbl>
    <w:bookmarkEnd w:id="33"/>
    <w:bookmarkStart w:id="34" w:name="X484682134b3d140a650f09c14498f557e81f7e2"/>
    <w:p>
      <w:pPr>
        <w:pStyle w:val="Heading3"/>
      </w:pPr>
      <w:r>
        <w:t xml:space="preserve">5.2 Software Inventory and Drift</w:t>
      </w:r>
    </w:p>
    <w:p>
      <w:pPr>
        <w:pStyle w:val="SourceCode"/>
      </w:pPr>
      <w:r>
        <w:rPr>
          <w:rStyle w:val="VerbatimChar"/>
        </w:rPr>
        <w:t xml:space="preserve">CSW UI → Investigate → Inventory / Vulnerability (per product navigation)</w:t>
      </w:r>
      <w:r>
        <w:br/>
      </w:r>
      <w:r>
        <w:rPr>
          <w:rStyle w:val="VerbatimChar"/>
        </w:rPr>
        <w:t xml:space="preserve">  → Scope: CUI-Enclaves</w:t>
      </w:r>
      <w:r>
        <w:br/>
      </w:r>
      <w:r>
        <w:rPr>
          <w:rStyle w:val="VerbatimChar"/>
        </w:rPr>
        <w:t xml:space="preserve">  → Export: workload, package/CVE summary, listening ports, last seen</w:t>
      </w:r>
    </w:p>
    <w:p>
      <w:pPr>
        <w:pStyle w:val="FirstParagraph"/>
      </w:pPr>
      <w:r>
        <w:t xml:space="preserve">Re-run ADM</w:t>
      </w:r>
      <w:r>
        <w:t xml:space="preserve"> </w:t>
      </w:r>
      <w:r>
        <w:rPr>
          <w:b/>
          <w:bCs/>
        </w:rPr>
        <w:t xml:space="preserve">at least quarterly</w:t>
      </w:r>
      <w:r>
        <w:t xml:space="preserve"> </w:t>
      </w:r>
      <w:r>
        <w:t xml:space="preserve">or after major releases; treat newly observed flows as</w:t>
      </w:r>
      <w:r>
        <w:t xml:space="preserve"> </w:t>
      </w:r>
      <w:r>
        <w:rPr>
          <w:b/>
          <w:bCs/>
        </w:rPr>
        <w:t xml:space="preserve">configuration changes</w:t>
      </w:r>
      <w:r>
        <w:t xml:space="preserve"> </w:t>
      </w:r>
      <w:r>
        <w:t xml:space="preserve">under 03.04.x.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66dfdec6dd9e93155ece806688bf7f1ad96a0e5"/>
    <w:p>
      <w:pPr>
        <w:pStyle w:val="Heading2"/>
      </w:pPr>
      <w:r>
        <w:t xml:space="preserve">6. Phase 4 — Policy Design (Days 22–40)</w:t>
      </w:r>
    </w:p>
    <w:bookmarkStart w:id="36" w:name="X988c5108b7fc57b8fe339cb8bcf41296233f207"/>
    <w:p>
      <w:pPr>
        <w:pStyle w:val="Heading3"/>
      </w:pPr>
      <w:r>
        <w:t xml:space="preserve">6.1 Policy Workspace Pattern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New Workspace: CUI-&lt;Enclave&gt;-Enforcement</w:t>
      </w:r>
      <w:r>
        <w:br/>
      </w:r>
      <w:r>
        <w:rPr>
          <w:rStyle w:val="VerbatimChar"/>
        </w:rPr>
        <w:t xml:space="preserve">  → Scope: matching CUI scope from section 4</w:t>
      </w:r>
      <w:r>
        <w:br/>
      </w:r>
      <w:r>
        <w:rPr>
          <w:rStyle w:val="VerbatimChar"/>
        </w:rPr>
        <w:t xml:space="preserve">  → Import ADM-suggested rules → translate to explicit allow/deny with change tickets</w:t>
      </w:r>
      <w:r>
        <w:br/>
      </w:r>
      <w:r>
        <w:rPr>
          <w:rStyle w:val="VerbatimChar"/>
        </w:rPr>
        <w:t xml:space="preserve">  → Mode: Simulation → Enforcement (staged)</w:t>
      </w:r>
    </w:p>
    <w:bookmarkEnd w:id="36"/>
    <w:bookmarkStart w:id="37" w:name="X90b4046958357d9310948ac77e42cc4b57fa1ed"/>
    <w:p>
      <w:pPr>
        <w:pStyle w:val="Heading3"/>
      </w:pPr>
      <w:r>
        <w:t xml:space="preserve">6.2 Illustrative Policy Stanzas (Conceptual)</w:t>
      </w:r>
    </w:p>
    <w:p>
      <w:pPr>
        <w:pStyle w:val="FirstParagraph"/>
      </w:pPr>
      <w:r>
        <w:t xml:space="preserve">Translate organizational policy into CSW rules. Examples below are</w:t>
      </w:r>
      <w:r>
        <w:t xml:space="preserve"> </w:t>
      </w:r>
      <w:r>
        <w:rPr>
          <w:b/>
          <w:bCs/>
        </w:rPr>
        <w:t xml:space="preserve">patterns</w:t>
      </w:r>
      <w:r>
        <w:t xml:space="preserve">; port lists and peers must come from your ADM and SSP.</w:t>
      </w:r>
    </w:p>
    <w:p>
      <w:pPr>
        <w:pStyle w:val="BodyText"/>
      </w:pPr>
      <w:r>
        <w:rPr>
          <w:b/>
          <w:bCs/>
        </w:rPr>
        <w:t xml:space="preserve">03.13.06 — Deny by default, allow by exception (east-west at workload tier):</w:t>
      </w:r>
    </w:p>
    <w:p>
      <w:pPr>
        <w:pStyle w:val="SourceCode"/>
      </w:pPr>
      <w:r>
        <w:rPr>
          <w:rStyle w:val="VerbatimChar"/>
        </w:rPr>
        <w:t xml:space="preserve"># Implicit default: DENY unmatched intra-scope traffic after cutover</w:t>
      </w:r>
      <w:r>
        <w:br/>
      </w:r>
      <w:r>
        <w:rPr>
          <w:rStyle w:val="VerbatimChar"/>
        </w:rPr>
        <w:t xml:space="preserve"># Explicit allows (examples):</w:t>
      </w:r>
      <w:r>
        <w:br/>
      </w:r>
      <w:r>
        <w:rPr>
          <w:rStyle w:val="VerbatimChar"/>
        </w:rPr>
        <w:t xml:space="preserve">ALLOW: CUI-App-Tier → CUI-DB-Tier  [TCP 443, 5432 from approved SG/workload set only]</w:t>
      </w:r>
      <w:r>
        <w:br/>
      </w:r>
      <w:r>
        <w:rPr>
          <w:rStyle w:val="VerbatimChar"/>
        </w:rPr>
        <w:t xml:space="preserve">ALLOW: CUI-App-Tier → Identity  [TCP 636, 88, 464 — Kerberos/LDAPS paths per your design]</w:t>
      </w:r>
      <w:r>
        <w:br/>
      </w:r>
      <w:r>
        <w:rPr>
          <w:rStyle w:val="VerbatimChar"/>
        </w:rPr>
        <w:t xml:space="preserve">ALLOW: SOC-Collector → All-CUI  [TCP 443 agent telemetry — if architected this way]</w:t>
      </w:r>
      <w:r>
        <w:br/>
      </w:r>
      <w:r>
        <w:rPr>
          <w:rStyle w:val="VerbatimChar"/>
        </w:rPr>
        <w:t xml:space="preserve">DENY:  Non-CUI → CUI  [except documented jump hosts / service accounts]</w:t>
      </w:r>
      <w:r>
        <w:br/>
      </w:r>
      <w:r>
        <w:rPr>
          <w:rStyle w:val="VerbatimChar"/>
        </w:rPr>
        <w:t xml:space="preserve">DENY:  CUI → Internet  [except explicit proxy or vetted SaaS egress IPs]</w:t>
      </w:r>
      <w:r>
        <w:br/>
      </w:r>
      <w:r>
        <w:rPr>
          <w:rStyle w:val="VerbatimChar"/>
        </w:rPr>
        <w:t xml:space="preserve">LOG:   Any → CUI unmatched traffic (alert + SOC review)</w:t>
      </w:r>
    </w:p>
    <w:p>
      <w:pPr>
        <w:pStyle w:val="FirstParagraph"/>
      </w:pPr>
      <w:r>
        <w:rPr>
          <w:b/>
          <w:bCs/>
        </w:rPr>
        <w:t xml:space="preserve">03.01.03 — Information flow enforcement between CUI and non-CUI:</w:t>
      </w:r>
    </w:p>
    <w:p>
      <w:pPr>
        <w:pStyle w:val="SourceCode"/>
      </w:pPr>
      <w:r>
        <w:rPr>
          <w:rStyle w:val="VerbatimChar"/>
        </w:rPr>
        <w:t xml:space="preserve"># Separate policy chain or rule section titled "CUI-Boundary-Flow"</w:t>
      </w:r>
      <w:r>
        <w:br/>
      </w:r>
      <w:r>
        <w:rPr>
          <w:rStyle w:val="VerbatimChar"/>
        </w:rPr>
        <w:t xml:space="preserve">ALLOW: Approved-Integration-Host ↔ Partner-VDI  [documented in connection agreement]</w:t>
      </w:r>
      <w:r>
        <w:br/>
      </w:r>
      <w:r>
        <w:rPr>
          <w:rStyle w:val="VerbatimChar"/>
        </w:rPr>
        <w:t xml:space="preserve">DENY:  CUI-Datastores → Non-CUI-Desktops (default)</w:t>
      </w:r>
      <w:r>
        <w:br/>
      </w:r>
      <w:r>
        <w:rPr>
          <w:rStyle w:val="VerbatimChar"/>
        </w:rPr>
        <w:t xml:space="preserve">ALLOW: CUI-Datastores → Backup-Appliance  [narrow destination list]</w:t>
      </w:r>
    </w:p>
    <w:p>
      <w:pPr>
        <w:pStyle w:val="FirstParagraph"/>
      </w:pPr>
      <w:r>
        <w:rPr>
          <w:b/>
          <w:bCs/>
        </w:rPr>
        <w:t xml:space="preserve">03.01.05 — Least privilege (network dimension):</w:t>
      </w:r>
    </w:p>
    <w:p>
      <w:pPr>
        <w:pStyle w:val="Compact"/>
        <w:numPr>
          <w:ilvl w:val="0"/>
          <w:numId w:val="1026"/>
        </w:numPr>
      </w:pPr>
      <w:r>
        <w:t xml:space="preserve">Every ALLOW rule has: business owner, ticket ID, expected process set, expiry/review date.</w:t>
      </w:r>
    </w:p>
    <w:p>
      <w:pPr>
        <w:pStyle w:val="Compact"/>
        <w:numPr>
          <w:ilvl w:val="0"/>
          <w:numId w:val="1026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workload identity</w:t>
      </w:r>
      <w:r>
        <w:t xml:space="preserve"> </w:t>
      </w:r>
      <w:r>
        <w:t xml:space="preserve">(agent visibility) over coarse subnet-only rules.</w:t>
      </w:r>
    </w:p>
    <w:bookmarkEnd w:id="37"/>
    <w:bookmarkStart w:id="38" w:name="Xe99e4101247fac486a1f2d793d1a76cce0cb6fd"/>
    <w:p>
      <w:pPr>
        <w:pStyle w:val="Heading3"/>
      </w:pPr>
      <w:r>
        <w:t xml:space="preserve">6.3 Plaintext and Unexpected Protocol Handling (Support to 03.13.x)</w:t>
      </w:r>
    </w:p>
    <w:p>
      <w:pPr>
        <w:pStyle w:val="FirstParagraph"/>
      </w:pPr>
      <w:r>
        <w:t xml:space="preserve">Create alerts for flows that indicate cleartext or risky transports from CUI scopes (examples: HTTP to sensitive ports, LDAP:389 from CUI app tiers, unapproved RDP paths). Pair technical blocks with compensating monitoring where applications cannot yet migrate to TLS.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3971ee79c49e657afad1bf2adb38b57c989330c"/>
    <w:p>
      <w:pPr>
        <w:pStyle w:val="Heading2"/>
      </w:pPr>
      <w:r>
        <w:t xml:space="preserve">7. Phase 5 — Enforcement and Validation (Days 40+)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 (2+ weeks)</w:t>
            </w:r>
          </w:p>
        </w:tc>
        <w:tc>
          <w:tcPr/>
          <w:p>
            <w:pPr>
              <w:pStyle w:val="Compact"/>
            </w:pPr>
            <w:r>
              <w:t xml:space="preserve">Tune alerts; no production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Selective enforcement</w:t>
            </w:r>
          </w:p>
        </w:tc>
        <w:tc>
          <w:tcPr/>
          <w:p>
            <w:pPr>
              <w:pStyle w:val="Compact"/>
            </w:pPr>
            <w:r>
              <w:t xml:space="preserve">Enforce</w:t>
            </w:r>
            <w:r>
              <w:t xml:space="preserve"> </w:t>
            </w:r>
            <w:r>
              <w:rPr>
                <w:b/>
                <w:bCs/>
              </w:rPr>
              <w:t xml:space="preserve">obvious deny</w:t>
            </w:r>
            <w:r>
              <w:t xml:space="preserve"> </w:t>
            </w:r>
            <w:r>
              <w:t xml:space="preserve">rules (e.g., CUI → open internet)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Default deny with signed allow-list; break-glass process documented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Break-glass:</w:t>
      </w:r>
      <w:r>
        <w:t xml:space="preserve"> </w:t>
      </w:r>
      <w:r>
        <w:t xml:space="preserve">maintain an auditable process (ticket + time-bound policy toggle or scoped exception) for emergency change; avoid permanent “ANY ANY” exceptions.</w:t>
      </w:r>
    </w:p>
    <w:p>
      <w:r>
        <w:pict>
          <v:rect style="width:0;height:1.5pt" o:hralign="center" o:hrstd="t" o:hr="t"/>
        </w:pict>
      </w:r>
    </w:p>
    <w:bookmarkEnd w:id="40"/>
    <w:bookmarkStart w:id="41" w:name="X2fe7ccbf05b2cec86b353217235f1891e6ea5cc"/>
    <w:p>
      <w:pPr>
        <w:pStyle w:val="Heading2"/>
      </w:pPr>
      <w:r>
        <w:t xml:space="preserve">8. Phase 6 — Risk Assessment and Vulnerability Context (Ongoing)</w:t>
      </w:r>
    </w:p>
    <w:p>
      <w:pPr>
        <w:pStyle w:val="SourceCode"/>
      </w:pPr>
      <w:r>
        <w:rPr>
          <w:rStyle w:val="VerbatimChar"/>
        </w:rPr>
        <w:t xml:space="preserve">CSW UI → Investigate → Vulnerability Report</w:t>
      </w:r>
      <w:r>
        <w:br/>
      </w:r>
      <w:r>
        <w:rPr>
          <w:rStyle w:val="VerbatimChar"/>
        </w:rPr>
        <w:t xml:space="preserve">  → Scope: CUI-Enclaves</w:t>
      </w:r>
      <w:r>
        <w:br/>
      </w:r>
      <w:r>
        <w:rPr>
          <w:rStyle w:val="VerbatimChar"/>
        </w:rPr>
        <w:t xml:space="preserve">  → Sort by environmental priority (e.g., critical CVE on internet-adjacent + ADM path to datastore)</w:t>
      </w:r>
      <w:r>
        <w:br/>
      </w:r>
      <w:r>
        <w:rPr>
          <w:rStyle w:val="VerbatimChar"/>
        </w:rPr>
        <w:t xml:space="preserve">  → Export for POA&amp;M / risk register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reachability</w:t>
      </w:r>
      <w:r>
        <w:t xml:space="preserve"> </w:t>
      </w:r>
      <w:r>
        <w:t xml:space="preserve">from ADM plus exposure to justify remediation order (supports 03.11.x narrative). Where patching is delayed, document</w:t>
      </w:r>
      <w:r>
        <w:t xml:space="preserve"> </w:t>
      </w:r>
      <w:r>
        <w:rPr>
          <w:b/>
          <w:bCs/>
        </w:rPr>
        <w:t xml:space="preserve">compensating</w:t>
      </w:r>
      <w:r>
        <w:t xml:space="preserve"> </w:t>
      </w:r>
      <w:r>
        <w:t xml:space="preserve">CSW controls (tightened source IP, removal of path, extra logging on affected tier).</w:t>
      </w:r>
    </w:p>
    <w:p>
      <w:r>
        <w:pict>
          <v:rect style="width:0;height:1.5pt" o:hralign="center" o:hrstd="t" o:hr="t"/>
        </w:pict>
      </w:r>
    </w:p>
    <w:bookmarkEnd w:id="41"/>
    <w:bookmarkStart w:id="44" w:name="X594dadb363c1697ac2bc0f404c49835382a6dbf"/>
    <w:p>
      <w:pPr>
        <w:pStyle w:val="Heading2"/>
      </w:pPr>
      <w:r>
        <w:t xml:space="preserve">9. Phase 7 — Audit Readiness: Monitoring and Accountability (Ongoing)</w:t>
      </w:r>
    </w:p>
    <w:bookmarkStart w:id="42" w:name="Xbb0f8acc2bfc233fdfd632e6561d63587bf1770"/>
    <w:p>
      <w:pPr>
        <w:pStyle w:val="Heading3"/>
      </w:pPr>
      <w:r>
        <w:t xml:space="preserve">9.1 Alerts Suited to CUI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 theme</w:t>
            </w:r>
          </w:p>
        </w:tc>
        <w:tc>
          <w:tcPr/>
          <w:p>
            <w:pPr>
              <w:pStyle w:val="Compact"/>
            </w:pPr>
            <w:r>
              <w:t xml:space="preserve">Example trigger</w:t>
            </w:r>
          </w:p>
        </w:tc>
        <w:tc>
          <w:tcPr/>
          <w:p>
            <w:pPr>
              <w:pStyle w:val="Compact"/>
            </w:pPr>
            <w:r>
              <w:t xml:space="preserve">Typical requirement tie-in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violation</w:t>
            </w:r>
          </w:p>
        </w:tc>
        <w:tc>
          <w:tcPr/>
          <w:p>
            <w:pPr>
              <w:pStyle w:val="Compact"/>
            </w:pPr>
            <w:r>
              <w:t xml:space="preserve">Non-approved source connects to CUI tier</w:t>
            </w:r>
          </w:p>
        </w:tc>
        <w:tc>
          <w:tcPr/>
          <w:p>
            <w:pPr>
              <w:pStyle w:val="Compact"/>
            </w:pPr>
            <w:r>
              <w:t xml:space="preserve">03.01.02, 03.13.01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policy deny hit</w:t>
            </w:r>
          </w:p>
        </w:tc>
        <w:tc>
          <w:tcPr/>
          <w:p>
            <w:pPr>
              <w:pStyle w:val="Compact"/>
            </w:pPr>
            <w:r>
              <w:t xml:space="preserve">Enforcement drop / reject</w:t>
            </w:r>
          </w:p>
        </w:tc>
        <w:tc>
          <w:tcPr/>
          <w:p>
            <w:pPr>
              <w:pStyle w:val="Compact"/>
            </w:pPr>
            <w:r>
              <w:t xml:space="preserve">03.13.06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 lateral path</w:t>
            </w:r>
          </w:p>
        </w:tc>
        <w:tc>
          <w:tcPr/>
          <w:p>
            <w:pPr>
              <w:pStyle w:val="Compact"/>
            </w:pPr>
            <w:r>
              <w:t xml:space="preserve">New east-west service on CUI datastore</w:t>
            </w:r>
          </w:p>
        </w:tc>
        <w:tc>
          <w:tcPr/>
          <w:p>
            <w:pPr>
              <w:pStyle w:val="Compact"/>
            </w:pPr>
            <w:r>
              <w:t xml:space="preserve">03.01.03, 03.04.x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Cleartext indicator</w:t>
            </w:r>
          </w:p>
        </w:tc>
        <w:tc>
          <w:tcPr/>
          <w:p>
            <w:pPr>
              <w:pStyle w:val="Compact"/>
            </w:pPr>
            <w:r>
              <w:t xml:space="preserve">HTTP/LDAP from CUI app to sensitive listener</w:t>
            </w:r>
          </w:p>
        </w:tc>
        <w:tc>
          <w:tcPr/>
          <w:p>
            <w:pPr>
              <w:pStyle w:val="Compact"/>
            </w:pPr>
            <w:r>
              <w:t xml:space="preserve">03.13.x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gap</w:t>
            </w:r>
          </w:p>
        </w:tc>
        <w:tc>
          <w:tcPr/>
          <w:p>
            <w:pPr>
              <w:pStyle w:val="Compact"/>
            </w:pPr>
            <w:r>
              <w:t xml:space="preserve">Agent offline on CUI server</w:t>
            </w:r>
          </w:p>
        </w:tc>
        <w:tc>
          <w:tcPr/>
          <w:p>
            <w:pPr>
              <w:pStyle w:val="Compact"/>
            </w:pPr>
            <w:r>
              <w:t xml:space="preserve">03.03.x (visibility gap)</w:t>
            </w:r>
          </w:p>
        </w:tc>
      </w:tr>
    </w:tbl>
    <w:bookmarkEnd w:id="42"/>
    <w:bookmarkStart w:id="43" w:name="X70a07599120bec5df860358cfb699338ebf70d2"/>
    <w:p>
      <w:pPr>
        <w:pStyle w:val="Heading3"/>
      </w:pPr>
      <w:r>
        <w:t xml:space="preserve">9.2 Forensic Export Pattern</w:t>
      </w:r>
    </w:p>
    <w:p>
      <w:pPr>
        <w:pStyle w:val="SourceCode"/>
      </w:pPr>
      <w:r>
        <w:rPr>
          <w:rStyle w:val="VerbatimChar"/>
        </w:rPr>
        <w:t xml:space="preserve">CSW UI → Investigate → Flow Search</w:t>
      </w:r>
      <w:r>
        <w:br/>
      </w:r>
      <w:r>
        <w:rPr>
          <w:rStyle w:val="VerbatimChar"/>
        </w:rPr>
        <w:t xml:space="preserve">  → Time UTC window, source/destination workload, action</w:t>
      </w:r>
      <w:r>
        <w:br/>
      </w:r>
      <w:r>
        <w:rPr>
          <w:rStyle w:val="VerbatimChar"/>
        </w:rPr>
        <w:t xml:space="preserve">  → Export CSV/JSON per SOC runbook</w:t>
      </w:r>
      <w:r>
        <w:br/>
      </w:r>
      <w:r>
        <w:br/>
      </w:r>
      <w:r>
        <w:rPr>
          <w:rStyle w:val="VerbatimChar"/>
        </w:rPr>
        <w:t xml:space="preserve">CSW UI → Investigate → Process Search</w:t>
      </w:r>
      <w:r>
        <w:br/>
      </w:r>
      <w:r>
        <w:rPr>
          <w:rStyle w:val="VerbatimChar"/>
        </w:rPr>
        <w:t xml:space="preserve">  → Process tree for suspect host during same window</w:t>
      </w:r>
      <w:r>
        <w:br/>
      </w:r>
      <w:r>
        <w:rPr>
          <w:rStyle w:val="VerbatimChar"/>
        </w:rPr>
        <w:t xml:space="preserve">  → Attach exports to incident record</w:t>
      </w:r>
    </w:p>
    <w:p>
      <w:pPr>
        <w:pStyle w:val="FirstParagraph"/>
      </w:pPr>
      <w:r>
        <w:t xml:space="preserve">Integrate alerts and enriched logs with SIEM (syslog, API, or vendor connector per your subscription).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9f048798255bd36f4cb325c8186c2453dd548a6"/>
    <w:p>
      <w:pPr>
        <w:pStyle w:val="Heading2"/>
      </w:pPr>
      <w:r>
        <w:t xml:space="preserve">10. Control-by-Control Mapping (Representative Set)</w:t>
      </w:r>
    </w:p>
    <w:p>
      <w:pPr>
        <w:pStyle w:val="FirstParagraph"/>
      </w:pPr>
      <w:r>
        <w:t xml:space="preserve">The table below links</w:t>
      </w:r>
      <w:r>
        <w:t xml:space="preserve"> </w:t>
      </w:r>
      <w:r>
        <w:rPr>
          <w:b/>
          <w:bCs/>
        </w:rPr>
        <w:t xml:space="preserve">selected</w:t>
      </w:r>
      <w:r>
        <w:t xml:space="preserve"> </w:t>
      </w:r>
      <w:r>
        <w:t xml:space="preserve">Rev. 3 requirements to</w:t>
      </w:r>
      <w:r>
        <w:t xml:space="preserve"> </w:t>
      </w:r>
      <w:r>
        <w:rPr>
          <w:b/>
          <w:bCs/>
        </w:rPr>
        <w:t xml:space="preserve">CSW capabilities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example evidence</w:t>
      </w:r>
      <w:r>
        <w:t xml:space="preserve">. It is not exhaustive; complete coverage requires mapping every applicable requirement in your SSP and 800-171A assessment procedures.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Title / intent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03.01.02</w:t>
            </w:r>
          </w:p>
        </w:tc>
        <w:tc>
          <w:tcPr/>
          <w:p>
            <w:pPr>
              <w:pStyle w:val="Compact"/>
            </w:pPr>
            <w:r>
              <w:t xml:space="preserve">Access enforcement</w:t>
            </w:r>
          </w:p>
        </w:tc>
        <w:tc>
          <w:tcPr/>
          <w:p>
            <w:pPr>
              <w:pStyle w:val="Compact"/>
            </w:pPr>
            <w:r>
              <w:t xml:space="preserve">Scope-based micro-segmentation; deny default with explicit ALLOW</w:t>
            </w:r>
          </w:p>
        </w:tc>
        <w:tc>
          <w:tcPr/>
          <w:p>
            <w:pPr>
              <w:pStyle w:val="Compact"/>
            </w:pPr>
            <w:r>
              <w:t xml:space="preserve">Policy workspace export; enforcement hit logs; simulation vs production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03.01.03</w:t>
            </w:r>
          </w:p>
        </w:tc>
        <w:tc>
          <w:tcPr/>
          <w:p>
            <w:pPr>
              <w:pStyle w:val="Compact"/>
            </w:pPr>
            <w:r>
              <w:t xml:space="preserve">Information flow enforcement for CUI (CUI flow between connected systems)</w:t>
            </w:r>
          </w:p>
        </w:tc>
        <w:tc>
          <w:tcPr/>
          <w:p>
            <w:pPr>
              <w:pStyle w:val="Compact"/>
            </w:pPr>
            <w:r>
              <w:t xml:space="preserve">Boundary policies CUI↔non-CUI; ADM-approved paths</w:t>
            </w:r>
          </w:p>
        </w:tc>
        <w:tc>
          <w:tcPr/>
          <w:p>
            <w:pPr>
              <w:pStyle w:val="Compact"/>
            </w:pPr>
            <w:r>
              <w:t xml:space="preserve">ADM workspace export; boundary rule set; denied-flow report for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03.01.05</w:t>
            </w:r>
          </w:p>
        </w:tc>
        <w:tc>
          <w:tcPr/>
          <w:p>
            <w:pPr>
              <w:pStyle w:val="Compact"/>
            </w:pPr>
            <w:r>
              <w:t xml:space="preserve">Least privilege (incl. network)</w:t>
            </w:r>
          </w:p>
        </w:tc>
        <w:tc>
          <w:tcPr/>
          <w:p>
            <w:pPr>
              <w:pStyle w:val="Compact"/>
            </w:pPr>
            <w:r>
              <w:t xml:space="preserve">Minimal allow-list; process-scoped visibility</w:t>
            </w:r>
          </w:p>
        </w:tc>
        <w:tc>
          <w:tcPr/>
          <w:p>
            <w:pPr>
              <w:pStyle w:val="Compact"/>
            </w:pPr>
            <w:r>
              <w:t xml:space="preserve">Rule review with owner/ticket metadata; process-attributed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03.01.12</w:t>
            </w:r>
          </w:p>
        </w:tc>
        <w:tc>
          <w:tcPr/>
          <w:p>
            <w:pPr>
              <w:pStyle w:val="Compact"/>
            </w:pPr>
            <w:r>
              <w:t xml:space="preserve">Remote access</w:t>
            </w:r>
          </w:p>
        </w:tc>
        <w:tc>
          <w:tcPr/>
          <w:p>
            <w:pPr>
              <w:pStyle w:val="Compact"/>
            </w:pPr>
            <w:r>
              <w:t xml:space="preserve">Restrict remote paths to managed gateways; log allowed admin sessions</w:t>
            </w:r>
          </w:p>
        </w:tc>
        <w:tc>
          <w:tcPr/>
          <w:p>
            <w:pPr>
              <w:pStyle w:val="Compact"/>
            </w:pPr>
            <w:r>
              <w:t xml:space="preserve">Policies targeting jump hosts / bastions; flow logs for admin 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03.03.01</w:t>
            </w:r>
          </w:p>
        </w:tc>
        <w:tc>
          <w:tcPr/>
          <w:p>
            <w:pPr>
              <w:pStyle w:val="Compact"/>
            </w:pPr>
            <w:r>
              <w:t xml:space="preserve">Event logging</w:t>
            </w:r>
          </w:p>
        </w:tc>
        <w:tc>
          <w:tcPr/>
          <w:p>
            <w:pPr>
              <w:pStyle w:val="Compact"/>
            </w:pPr>
            <w:r>
              <w:t xml:space="preserve">Flow + process telemetry</w:t>
            </w:r>
          </w:p>
        </w:tc>
        <w:tc>
          <w:tcPr/>
          <w:p>
            <w:pPr>
              <w:pStyle w:val="Compact"/>
            </w:pPr>
            <w:r>
              <w:t xml:space="preserve">SIEM feed samples; retention configuration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03.03.02</w:t>
            </w:r>
          </w:p>
        </w:tc>
        <w:tc>
          <w:tcPr/>
          <w:p>
            <w:pPr>
              <w:pStyle w:val="Compact"/>
            </w:pPr>
            <w:r>
              <w:t xml:space="preserve">Audit events</w:t>
            </w:r>
          </w:p>
        </w:tc>
        <w:tc>
          <w:tcPr/>
          <w:p>
            <w:pPr>
              <w:pStyle w:val="Compact"/>
            </w:pPr>
            <w:r>
              <w:t xml:space="preserve">Detailed connection records</w:t>
            </w:r>
          </w:p>
        </w:tc>
        <w:tc>
          <w:tcPr/>
          <w:p>
            <w:pPr>
              <w:pStyle w:val="Compact"/>
            </w:pPr>
            <w:r>
              <w:t xml:space="preserve">Exported flows with 5-tuple, process, user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03.03.03</w:t>
            </w:r>
          </w:p>
        </w:tc>
        <w:tc>
          <w:tcPr/>
          <w:p>
            <w:pPr>
              <w:pStyle w:val="Compact"/>
            </w:pPr>
            <w:r>
              <w:t xml:space="preserve">Audit record content</w:t>
            </w:r>
          </w:p>
        </w:tc>
        <w:tc>
          <w:tcPr/>
          <w:p>
            <w:pPr>
              <w:pStyle w:val="Compact"/>
            </w:pPr>
            <w:r>
              <w:t xml:space="preserve">Rich telemetry</w:t>
            </w:r>
          </w:p>
        </w:tc>
        <w:tc>
          <w:tcPr/>
          <w:p>
            <w:pPr>
              <w:pStyle w:val="Compact"/>
            </w:pPr>
            <w:r>
              <w:t xml:space="preserve">Field mapping doc (see Appendix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03.03.04</w:t>
            </w:r>
          </w:p>
        </w:tc>
        <w:tc>
          <w:tcPr/>
          <w:p>
            <w:pPr>
              <w:pStyle w:val="Compact"/>
            </w:pPr>
            <w:r>
              <w:t xml:space="preserve">Response to audit logging process failures</w:t>
            </w:r>
          </w:p>
        </w:tc>
        <w:tc>
          <w:tcPr/>
          <w:p>
            <w:pPr>
              <w:pStyle w:val="Compact"/>
            </w:pPr>
            <w:r>
              <w:t xml:space="preserve">Alert when sensor/connectors stop; SIEM ingest health dashboards</w:t>
            </w:r>
          </w:p>
        </w:tc>
        <w:tc>
          <w:tcPr/>
          <w:p>
            <w:pPr>
              <w:pStyle w:val="Compact"/>
            </w:pPr>
            <w:r>
              <w:t xml:space="preserve">SOC runbooks; tickets for logging pipeline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03.03.05</w:t>
            </w:r>
          </w:p>
        </w:tc>
        <w:tc>
          <w:tcPr/>
          <w:p>
            <w:pPr>
              <w:pStyle w:val="Compact"/>
            </w:pPr>
            <w:r>
              <w:t xml:space="preserve">Audit record review, analysis, and reporting</w:t>
            </w:r>
          </w:p>
        </w:tc>
        <w:tc>
          <w:tcPr/>
          <w:p>
            <w:pPr>
              <w:pStyle w:val="Compact"/>
            </w:pPr>
            <w:r>
              <w:t xml:space="preserve">Export to SIEM; correlation with identity and netflow</w:t>
            </w:r>
          </w:p>
        </w:tc>
        <w:tc>
          <w:tcPr/>
          <w:p>
            <w:pPr>
              <w:pStyle w:val="Compact"/>
            </w:pPr>
            <w:r>
              <w:t xml:space="preserve">SOC review cadence; sample investigation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03.03.06</w:t>
            </w:r>
          </w:p>
        </w:tc>
        <w:tc>
          <w:tcPr/>
          <w:p>
            <w:pPr>
              <w:pStyle w:val="Compact"/>
            </w:pPr>
            <w:r>
              <w:t xml:space="preserve">Audit record reduction and report generation</w:t>
            </w:r>
          </w:p>
        </w:tc>
        <w:tc>
          <w:tcPr/>
          <w:p>
            <w:pPr>
              <w:pStyle w:val="Compact"/>
            </w:pPr>
            <w:r>
              <w:t xml:space="preserve">Flow/process summaries for investigations</w:t>
            </w:r>
          </w:p>
        </w:tc>
        <w:tc>
          <w:tcPr/>
          <w:p>
            <w:pPr>
              <w:pStyle w:val="Compact"/>
            </w:pPr>
            <w:r>
              <w:t xml:space="preserve">Saved queries / reports used for after-action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03.03.07</w:t>
            </w:r>
          </w:p>
        </w:tc>
        <w:tc>
          <w:tcPr/>
          <w:p>
            <w:pPr>
              <w:pStyle w:val="Compact"/>
            </w:pPr>
            <w:r>
              <w:t xml:space="preserve">Time stamps (UTC granularity)</w:t>
            </w:r>
          </w:p>
        </w:tc>
        <w:tc>
          <w:tcPr/>
          <w:p>
            <w:pPr>
              <w:pStyle w:val="Compact"/>
            </w:pPr>
            <w:r>
              <w:t xml:space="preserve">Telemetry timestamps aligned to enterprise time standard</w:t>
            </w:r>
          </w:p>
        </w:tc>
        <w:tc>
          <w:tcPr/>
          <w:p>
            <w:pPr>
              <w:pStyle w:val="Compact"/>
            </w:pPr>
            <w:r>
              <w:t xml:space="preserve">Sample records + NTP configuration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03.03.08</w:t>
            </w:r>
          </w:p>
        </w:tc>
        <w:tc>
          <w:tcPr/>
          <w:p>
            <w:pPr>
              <w:pStyle w:val="Compact"/>
            </w:pPr>
            <w:r>
              <w:t xml:space="preserve">Protection of audit information</w:t>
            </w:r>
          </w:p>
        </w:tc>
        <w:tc>
          <w:tcPr/>
          <w:p>
            <w:pPr>
              <w:pStyle w:val="Compact"/>
            </w:pPr>
            <w:r>
              <w:t xml:space="preserve">RBAC on CSW console; least-privilege admin to change logging</w:t>
            </w:r>
          </w:p>
        </w:tc>
        <w:tc>
          <w:tcPr/>
          <w:p>
            <w:pPr>
              <w:pStyle w:val="Compact"/>
            </w:pPr>
            <w:r>
              <w:t xml:space="preserve">Admin access list; change control for log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03.04.01</w:t>
            </w:r>
          </w:p>
        </w:tc>
        <w:tc>
          <w:tcPr/>
          <w:p>
            <w:pPr>
              <w:pStyle w:val="Compact"/>
            </w:pPr>
            <w:r>
              <w:t xml:space="preserve">Baseline configuration</w:t>
            </w:r>
          </w:p>
        </w:tc>
        <w:tc>
          <w:tcPr/>
          <w:p>
            <w:pPr>
              <w:pStyle w:val="Compact"/>
            </w:pPr>
            <w:r>
              <w:t xml:space="preserve">ADM as communication baseline</w:t>
            </w:r>
          </w:p>
        </w:tc>
        <w:tc>
          <w:tcPr/>
          <w:p>
            <w:pPr>
              <w:pStyle w:val="Compact"/>
            </w:pPr>
            <w:r>
              <w:t xml:space="preserve">Baseline vs current diff after change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03.04.02</w:t>
            </w:r>
          </w:p>
        </w:tc>
        <w:tc>
          <w:tcPr/>
          <w:p>
            <w:pPr>
              <w:pStyle w:val="Compact"/>
            </w:pPr>
            <w:r>
              <w:t xml:space="preserve">Configuration change</w:t>
            </w:r>
          </w:p>
        </w:tc>
        <w:tc>
          <w:tcPr/>
          <w:p>
            <w:pPr>
              <w:pStyle w:val="Compact"/>
            </w:pPr>
            <w:r>
              <w:t xml:space="preserve">New flows / listeners flagged</w:t>
            </w:r>
          </w:p>
        </w:tc>
        <w:tc>
          <w:tcPr/>
          <w:p>
            <w:pPr>
              <w:pStyle w:val="Compact"/>
            </w:pPr>
            <w:r>
              <w:t xml:space="preserve">Change tickets linked to observed deltas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03.04.08</w:t>
            </w:r>
          </w:p>
        </w:tc>
        <w:tc>
          <w:tcPr/>
          <w:p>
            <w:pPr>
              <w:pStyle w:val="Compact"/>
            </w:pPr>
            <w:r>
              <w:t xml:space="preserve">Authorized software — allow by exception</w:t>
            </w:r>
          </w:p>
        </w:tc>
        <w:tc>
          <w:tcPr/>
          <w:p>
            <w:pPr>
              <w:pStyle w:val="Compact"/>
            </w:pPr>
            <w:r>
              <w:t xml:space="preserve">Process / software inventory; block unexpected listeners via policy</w:t>
            </w:r>
          </w:p>
        </w:tc>
        <w:tc>
          <w:tcPr/>
          <w:p>
            <w:pPr>
              <w:pStyle w:val="Compact"/>
            </w:pPr>
            <w:r>
              <w:t xml:space="preserve">Approved software list vs CSW inventory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03.11.x</w:t>
            </w:r>
          </w:p>
        </w:tc>
        <w:tc>
          <w:tcPr/>
          <w:p>
            <w:pPr>
              <w:pStyle w:val="Compact"/>
            </w:pPr>
            <w:r>
              <w:t xml:space="preserve">Risk assessment inputs</w:t>
            </w:r>
          </w:p>
        </w:tc>
        <w:tc>
          <w:tcPr/>
          <w:p>
            <w:pPr>
              <w:pStyle w:val="Compact"/>
            </w:pPr>
            <w:r>
              <w:t xml:space="preserve">CVE + reachability + EPSS-style prioritization if enabled</w:t>
            </w:r>
          </w:p>
        </w:tc>
        <w:tc>
          <w:tcPr/>
          <w:p>
            <w:pPr>
              <w:pStyle w:val="Compact"/>
            </w:pPr>
            <w:r>
              <w:t xml:space="preserve">Risk workshop slides + CSW export 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03.13.01</w:t>
            </w:r>
          </w:p>
        </w:tc>
        <w:tc>
          <w:tcPr/>
          <w:p>
            <w:pPr>
              <w:pStyle w:val="Compact"/>
            </w:pPr>
            <w:r>
              <w:t xml:space="preserve">Boundary protection</w:t>
            </w:r>
          </w:p>
        </w:tc>
        <w:tc>
          <w:tcPr/>
          <w:p>
            <w:pPr>
              <w:pStyle w:val="Compact"/>
            </w:pPr>
            <w:r>
              <w:t xml:space="preserve">Enclave segmentation; internal key interfaces controlled</w:t>
            </w:r>
          </w:p>
        </w:tc>
        <w:tc>
          <w:tcPr/>
          <w:p>
            <w:pPr>
              <w:pStyle w:val="Compact"/>
            </w:pPr>
            <w:r>
              <w:t xml:space="preserve">Topology from ADM; internal boundary rule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03.13.06</w:t>
            </w:r>
          </w:p>
        </w:tc>
        <w:tc>
          <w:tcPr/>
          <w:p>
            <w:pPr>
              <w:pStyle w:val="Compact"/>
            </w:pPr>
            <w:r>
              <w:t xml:space="preserve">Deny by default / allow by exception</w:t>
            </w:r>
          </w:p>
        </w:tc>
        <w:tc>
          <w:tcPr/>
          <w:p>
            <w:pPr>
              <w:pStyle w:val="Compact"/>
            </w:pPr>
            <w:r>
              <w:t xml:space="preserve">Workload-level default deny</w:t>
            </w:r>
          </w:p>
        </w:tc>
        <w:tc>
          <w:tcPr/>
          <w:p>
            <w:pPr>
              <w:pStyle w:val="Compact"/>
            </w:pPr>
            <w:r>
              <w:t xml:space="preserve">Signed allow-list; percentage of traffic denied as “unknown” near zero post-tuning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03.13.08</w:t>
            </w:r>
          </w:p>
        </w:tc>
        <w:tc>
          <w:tcPr/>
          <w:p>
            <w:pPr>
              <w:pStyle w:val="Compact"/>
            </w:pPr>
            <w:r>
              <w:t xml:space="preserve">Transmission and storage confidentiality</w:t>
            </w:r>
          </w:p>
        </w:tc>
        <w:tc>
          <w:tcPr/>
          <w:p>
            <w:pPr>
              <w:pStyle w:val="Compact"/>
            </w:pPr>
            <w:r>
              <w:t xml:space="preserve">Detect/block prohibited cleartext paths; visibility into sensitive flows (</w:t>
            </w:r>
            <w:r>
              <w:rPr>
                <w:b/>
                <w:bCs/>
              </w:rPr>
              <w:t xml:space="preserve">transmission</w:t>
            </w:r>
            <w:r>
              <w:t xml:space="preserve">);</w:t>
            </w:r>
            <w:r>
              <w:t xml:space="preserve"> </w:t>
            </w:r>
            <w:r>
              <w:rPr>
                <w:i/>
                <w:iCs/>
              </w:rPr>
              <w:t xml:space="preserve">encryption at rest</w:t>
            </w:r>
            <w:r>
              <w:t xml:space="preserve"> </w:t>
            </w:r>
            <w:r>
              <w:t xml:space="preserve">is validated outside CSW</w:t>
            </w:r>
          </w:p>
        </w:tc>
        <w:tc>
          <w:tcPr/>
          <w:p>
            <w:pPr>
              <w:pStyle w:val="Compact"/>
            </w:pPr>
            <w:r>
              <w:t xml:space="preserve">Protocol analysis exports; blocked-flow metrics; SSP narrative for TLS/IPsec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03.14.01</w:t>
            </w:r>
          </w:p>
        </w:tc>
        <w:tc>
          <w:tcPr/>
          <w:p>
            <w:pPr>
              <w:pStyle w:val="Compact"/>
            </w:pPr>
            <w:r>
              <w:t xml:space="preserve">Flaw remediation (visibility / prioritization support)</w:t>
            </w:r>
          </w:p>
        </w:tc>
        <w:tc>
          <w:tcPr/>
          <w:p>
            <w:pPr>
              <w:pStyle w:val="Compact"/>
            </w:pPr>
            <w:r>
              <w:t xml:space="preserve">Vulnerability exposure reports; reachability-aware prioritization</w:t>
            </w:r>
          </w:p>
        </w:tc>
        <w:tc>
          <w:tcPr/>
          <w:p>
            <w:pPr>
              <w:pStyle w:val="Compact"/>
            </w:pPr>
            <w:r>
              <w:t xml:space="preserve">POA&amp;M extracts; weekly export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03.14.02</w:t>
            </w:r>
          </w:p>
        </w:tc>
        <w:tc>
          <w:tcPr/>
          <w:p>
            <w:pPr>
              <w:pStyle w:val="Compact"/>
            </w:pPr>
            <w:r>
              <w:t xml:space="preserve">Malicious code protection (complementary signal)</w:t>
            </w:r>
          </w:p>
        </w:tc>
        <w:tc>
          <w:tcPr/>
          <w:p>
            <w:pPr>
              <w:pStyle w:val="Compact"/>
            </w:pPr>
            <w:r>
              <w:t xml:space="preserve">Process lineage; anomalous egress</w:t>
            </w:r>
            <w:r>
              <w:t xml:space="preserve"> </w:t>
            </w:r>
            <w:r>
              <w:rPr>
                <w:b/>
                <w:bCs/>
              </w:rPr>
              <w:t xml:space="preserve">in addition to</w:t>
            </w:r>
            <w:r>
              <w:t xml:space="preserve"> </w:t>
            </w:r>
            <w:r>
              <w:t xml:space="preserve">AV/EDR</w:t>
            </w:r>
          </w:p>
        </w:tc>
        <w:tc>
          <w:tcPr/>
          <w:p>
            <w:pPr>
              <w:pStyle w:val="Compact"/>
            </w:pPr>
            <w:r>
              <w:t xml:space="preserve">CSW process-tree exports correlated with AV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03.14.06</w:t>
            </w:r>
          </w:p>
        </w:tc>
        <w:tc>
          <w:tcPr/>
          <w:p>
            <w:pPr>
              <w:pStyle w:val="Compact"/>
            </w:pPr>
            <w:r>
              <w:t xml:space="preserve">System monitoring</w:t>
            </w:r>
          </w:p>
        </w:tc>
        <w:tc>
          <w:tcPr/>
          <w:p>
            <w:pPr>
              <w:pStyle w:val="Compact"/>
            </w:pPr>
            <w:r>
              <w:t xml:space="preserve">Workload network + process monitoring; unauthorized connection detection</w:t>
            </w:r>
          </w:p>
        </w:tc>
        <w:tc>
          <w:tcPr/>
          <w:p>
            <w:pPr>
              <w:pStyle w:val="Compact"/>
            </w:pPr>
            <w:r>
              <w:t xml:space="preserve">Alert catalog; dashboard screenshots; SOC coverage 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03.06.x</w:t>
            </w:r>
          </w:p>
        </w:tc>
        <w:tc>
          <w:tcPr/>
          <w:p>
            <w:pPr>
              <w:pStyle w:val="Compact"/>
            </w:pPr>
            <w:r>
              <w:t xml:space="preserve">Incident handling (technical evidence)</w:t>
            </w:r>
          </w:p>
        </w:tc>
        <w:tc>
          <w:tcPr/>
          <w:p>
            <w:pPr>
              <w:pStyle w:val="Compact"/>
            </w:pPr>
            <w:r>
              <w:t xml:space="preserve">Scope and timeline reconstruction</w:t>
            </w:r>
          </w:p>
        </w:tc>
        <w:tc>
          <w:tcPr/>
          <w:p>
            <w:pPr>
              <w:pStyle w:val="Compact"/>
            </w:pPr>
            <w:r>
              <w:t xml:space="preserve">Forensic export bundle per IR playbook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03.12.03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</w:pPr>
            <w:r>
              <w:t xml:space="preserve">Ongoing workload telemetry + policy effectiveness metrics</w:t>
            </w:r>
          </w:p>
        </w:tc>
        <w:tc>
          <w:tcPr/>
          <w:p>
            <w:pPr>
              <w:pStyle w:val="Compact"/>
            </w:pPr>
            <w:r>
              <w:t xml:space="preserve">Monitoring strategy attachment referencing CSW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03.12.05</w:t>
            </w:r>
          </w:p>
        </w:tc>
        <w:tc>
          <w:tcPr/>
          <w:p>
            <w:pPr>
              <w:pStyle w:val="Compact"/>
            </w:pPr>
            <w:r>
              <w:t xml:space="preserve">Information exchange agreements (technical interfaces)</w:t>
            </w:r>
          </w:p>
        </w:tc>
        <w:tc>
          <w:tcPr/>
          <w:p>
            <w:pPr>
              <w:pStyle w:val="Compact"/>
            </w:pPr>
            <w:r>
              <w:t xml:space="preserve">ADM shows live interfaces; policy enforces approved interconnections only</w:t>
            </w:r>
          </w:p>
        </w:tc>
        <w:tc>
          <w:tcPr/>
          <w:p>
            <w:pPr>
              <w:pStyle w:val="Compact"/>
            </w:pPr>
            <w:r>
              <w:t xml:space="preserve">Interface list from ADM + signed exchange agreement references in SSP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3a0851872a13412add7784181f5bc7c74c6084b"/>
    <w:p>
      <w:pPr>
        <w:pStyle w:val="Heading2"/>
      </w:pPr>
      <w:r>
        <w:t xml:space="preserve">11.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CUI workload missing from CSW inventory</w:t>
            </w:r>
          </w:p>
        </w:tc>
        <w:tc>
          <w:tcPr/>
          <w:p>
            <w:pPr>
              <w:pStyle w:val="Compact"/>
            </w:pPr>
            <w:r>
              <w:t xml:space="preserve">Weekly reconcile against SSP; auto-label from cloud metadata where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Over-broad rules (subnet-only) undermine 03.01.05 evidence</w:t>
            </w:r>
          </w:p>
        </w:tc>
        <w:tc>
          <w:tcPr/>
          <w:p>
            <w:pPr>
              <w:pStyle w:val="Compact"/>
            </w:pPr>
            <w:r>
              <w:t xml:space="preserve">Prefer workload + process context from ADM; document exceptions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window too short (misses batch jobs)</w:t>
            </w:r>
          </w:p>
        </w:tc>
        <w:tc>
          <w:tcPr/>
          <w:p>
            <w:pPr>
              <w:pStyle w:val="Compact"/>
            </w:pPr>
            <w:r>
              <w:t xml:space="preserve">Run ≥14 days; include month-end and patch cycles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cleartext on non-standard ports</w:t>
            </w:r>
          </w:p>
        </w:tc>
        <w:tc>
          <w:tcPr/>
          <w:p>
            <w:pPr>
              <w:pStyle w:val="Compact"/>
            </w:pPr>
            <w:r>
              <w:t xml:space="preserve">Inspect process-level protocol data; do not assume encryption by port number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without successful simulation</w:t>
            </w:r>
          </w:p>
        </w:tc>
        <w:tc>
          <w:tcPr/>
          <w:p>
            <w:pPr>
              <w:pStyle w:val="Compact"/>
            </w:pPr>
            <w:r>
              <w:t xml:space="preserve">Complete simulation with CAB sign-off; stage by enclave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retained only in CSW console</w:t>
            </w:r>
          </w:p>
        </w:tc>
        <w:tc>
          <w:tcPr/>
          <w:p>
            <w:pPr>
              <w:pStyle w:val="Compact"/>
            </w:pPr>
            <w:r>
              <w:t xml:space="preserve">Forward to SIEM / immutable store for assessor retention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71d6bf55dda9307c14f1b7eacc4504086727674"/>
    <w:p>
      <w:pPr>
        <w:pStyle w:val="Heading2"/>
      </w:pPr>
      <w:r>
        <w:t xml:space="preserve">12.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Policy, training, personnel, and HR workflows</w:t>
      </w:r>
      <w:r>
        <w:t xml:space="preserve"> </w:t>
      </w:r>
      <w:r>
        <w:t xml:space="preserve">(families 03.02, 03.09, parts of 03.15–03.17 documentation obligations).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Physical security</w:t>
      </w:r>
      <w:r>
        <w:t xml:space="preserve"> </w:t>
      </w:r>
      <w:r>
        <w:t xml:space="preserve">(03.10) and</w:t>
      </w:r>
      <w:r>
        <w:t xml:space="preserve"> </w:t>
      </w:r>
      <w:r>
        <w:rPr>
          <w:b/>
          <w:bCs/>
        </w:rPr>
        <w:t xml:space="preserve">media handling</w:t>
      </w:r>
      <w:r>
        <w:t xml:space="preserve"> </w:t>
      </w:r>
      <w:r>
        <w:t xml:space="preserve">procedures (03.08).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Cryptographic module validation</w:t>
      </w:r>
      <w:r>
        <w:t xml:space="preserve"> </w:t>
      </w:r>
      <w:r>
        <w:t xml:space="preserve">(FIPS 140) — CSW may help you see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crypto should be enforced, not</w:t>
      </w:r>
      <w:r>
        <w:t xml:space="preserve"> </w:t>
      </w:r>
      <w:r>
        <w:rPr>
          <w:b/>
          <w:bCs/>
        </w:rPr>
        <w:t xml:space="preserve">certify</w:t>
      </w:r>
      <w:r>
        <w:t xml:space="preserve"> </w:t>
      </w:r>
      <w:r>
        <w:t xml:space="preserve">implementations.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Authoritative identity lifecycle</w:t>
      </w:r>
      <w:r>
        <w:t xml:space="preserve"> </w:t>
      </w:r>
      <w:r>
        <w:t xml:space="preserve">(account provisioning, MFA enrollment, PIV issuance) — CSW consumes identity context where integrated but does not replace IdP/IAM.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Formal security assessments</w:t>
      </w:r>
      <w:r>
        <w:t xml:space="preserve"> </w:t>
      </w:r>
      <w:r>
        <w:t xml:space="preserve">— CSW supplies artifacts; assessors render official findings.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Out-of-scope workloads</w:t>
      </w:r>
      <w:r>
        <w:t xml:space="preserve"> </w:t>
      </w:r>
      <w:r>
        <w:t xml:space="preserve">— if an asset is missing an agent or connector, CSW cannot assert controls for it.</w:t>
      </w:r>
    </w:p>
    <w:p>
      <w:r>
        <w:pict>
          <v:rect style="width:0;height:1.5pt" o:hralign="center" o:hrstd="t" o:hr="t"/>
        </w:pict>
      </w:r>
    </w:p>
    <w:bookmarkEnd w:id="47"/>
    <w:bookmarkStart w:id="50" w:name="X8957b60837b0b5bff85e7cf8278022e01354e23"/>
    <w:p>
      <w:pPr>
        <w:pStyle w:val="Heading2"/>
      </w:pPr>
      <w:r>
        <w:t xml:space="preserve">13. Audit Preparation and Evidence Export</w:t>
      </w:r>
    </w:p>
    <w:bookmarkStart w:id="48" w:name="X3ee22f3a7a428a9fa364e9bd958213596ad874c"/>
    <w:p>
      <w:pPr>
        <w:pStyle w:val="Heading3"/>
      </w:pPr>
      <w:r>
        <w:t xml:space="preserve">13.1 Quarterly Evidence Bundle (Suggested Contents)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membership export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Must reconcile to SSP component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baseline snapshot</w:t>
            </w:r>
          </w:p>
        </w:tc>
        <w:tc>
          <w:tcPr/>
          <w:p>
            <w:pPr>
              <w:pStyle w:val="Compact"/>
            </w:pPr>
            <w:r>
              <w:t xml:space="preserve">ADM workspace</w:t>
            </w:r>
          </w:p>
        </w:tc>
        <w:tc>
          <w:tcPr/>
          <w:p>
            <w:pPr>
              <w:pStyle w:val="Compact"/>
            </w:pPr>
            <w:r>
              <w:t xml:space="preserve">Time-bounded, signed by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policy workspace</w:t>
            </w:r>
          </w:p>
        </w:tc>
        <w:tc>
          <w:tcPr/>
          <w:p>
            <w:pPr>
              <w:pStyle w:val="Compact"/>
            </w:pPr>
            <w:r>
              <w:t xml:space="preserve">Defend</w:t>
            </w:r>
          </w:p>
        </w:tc>
        <w:tc>
          <w:tcPr/>
          <w:p>
            <w:pPr>
              <w:pStyle w:val="Compact"/>
            </w:pPr>
            <w:r>
              <w:t xml:space="preserve">Version ID + 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/ simulation report</w:t>
            </w:r>
          </w:p>
        </w:tc>
        <w:tc>
          <w:tcPr/>
          <w:p>
            <w:pPr>
              <w:pStyle w:val="Compact"/>
            </w:pPr>
            <w:r>
              <w:t xml:space="preserve">Policy analytics</w:t>
            </w:r>
          </w:p>
        </w:tc>
        <w:tc>
          <w:tcPr/>
          <w:p>
            <w:pPr>
              <w:pStyle w:val="Compact"/>
            </w:pPr>
            <w:r>
              <w:t xml:space="preserve">Show drift vs prior quarter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exposure report</w:t>
            </w:r>
          </w:p>
        </w:tc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CUI scope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SIEM ingest</w:t>
            </w:r>
          </w:p>
        </w:tc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Proof of central retention</w:t>
            </w:r>
          </w:p>
        </w:tc>
      </w:tr>
    </w:tbl>
    <w:bookmarkEnd w:id="48"/>
    <w:bookmarkStart w:id="49" w:name="Xf8ee9f5c4809663db8843032ca0a90c87048bbf"/>
    <w:p>
      <w:pPr>
        <w:pStyle w:val="Heading3"/>
      </w:pPr>
      <w:r>
        <w:t xml:space="preserve">13.2 Optional CLI / Automation Examples</w:t>
      </w:r>
    </w:p>
    <w:p>
      <w:pPr>
        <w:pStyle w:val="FirstParagraph"/>
      </w:pPr>
      <w:r>
        <w:t xml:space="preserve">Use your enterprise automation pattern (CI pipeline, SOC playbook). Example:</w:t>
      </w:r>
      <w:r>
        <w:t xml:space="preserve"> </w:t>
      </w:r>
      <w:r>
        <w:rPr>
          <w:b/>
          <w:bCs/>
        </w:rPr>
        <w:t xml:space="preserve">periodic inventory pull</w:t>
      </w:r>
      <w:r>
        <w:t xml:space="preserve"> </w:t>
      </w:r>
      <w:r>
        <w:t xml:space="preserve">via your supported API/automation tool (replace with your gateway host and tokens):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CommentTok"/>
        </w:rPr>
        <w:t xml:space="preserve"># Illustrative only — use the official Cisco Secure Workload API / automation documented for your tenant.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CSW_API_BASE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"https://&lt;tenant-api-endpoint&gt;"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CSW_API_TOKEN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kv get </w:t>
      </w:r>
      <w:r>
        <w:rPr>
          <w:rStyle w:val="AttributeTok"/>
        </w:rPr>
        <w:t xml:space="preserve">-field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 secret/csw/automation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${CSW_API_TOKEN}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${CSW_API_BASE}</w:t>
      </w:r>
      <w:r>
        <w:rPr>
          <w:rStyle w:val="StringTok"/>
        </w:rPr>
        <w:t xml:space="preserve">/v2/inventory/export?scope=CUI-Enclaves"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"cui_inventory_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+%Y%m%dT%H%M%SZ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.csv"</w:t>
      </w:r>
    </w:p>
    <w:p>
      <w:pPr>
        <w:pStyle w:val="FirstParagraph"/>
      </w:pPr>
      <w:r>
        <w:t xml:space="preserve">Store exports in protectively marked storage consistent with CUI handling rules.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5f49bc02a206b1aa1693c6321ed0434dda2e3b2"/>
    <w:p>
      <w:pPr>
        <w:pStyle w:val="Heading2"/>
      </w:pPr>
      <w:r>
        <w:t xml:space="preserve">Appendix A — Cross-Walk to NIST SP 800-53 Rev. 5 (Illustrative)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800-171 Rev. 3</w:t>
            </w:r>
          </w:p>
        </w:tc>
        <w:tc>
          <w:tcPr/>
          <w:p>
            <w:pPr>
              <w:pStyle w:val="Compact"/>
            </w:pPr>
            <w:r>
              <w:t xml:space="preserve">Related 800-53 control(s) (per NIST mapping)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03.01.03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03.01.05</w:t>
            </w:r>
          </w:p>
        </w:tc>
        <w:tc>
          <w:tcPr/>
          <w:p>
            <w:pPr>
              <w:pStyle w:val="Compact"/>
            </w:pPr>
            <w:r>
              <w:t xml:space="preserve">AC-6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03.13.01</w:t>
            </w:r>
          </w:p>
        </w:tc>
        <w:tc>
          <w:tcPr/>
          <w:p>
            <w:pPr>
              <w:pStyle w:val="Compact"/>
            </w:pPr>
            <w:r>
              <w:t xml:space="preserve">SC-7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03.13.06</w:t>
            </w:r>
          </w:p>
        </w:tc>
        <w:tc>
          <w:tcPr/>
          <w:p>
            <w:pPr>
              <w:pStyle w:val="Compact"/>
            </w:pPr>
            <w:r>
              <w:t xml:space="preserve">SC-7(5)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03.03.x</w:t>
            </w:r>
          </w:p>
        </w:tc>
        <w:tc>
          <w:tcPr/>
          <w:p>
            <w:pPr>
              <w:pStyle w:val="Compact"/>
            </w:pPr>
            <w:r>
              <w:t xml:space="preserve">AU-2, AU-3, AU-6, AU-12 (family-dependent)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03.14.x</w:t>
            </w:r>
          </w:p>
        </w:tc>
        <w:tc>
          <w:tcPr/>
          <w:p>
            <w:pPr>
              <w:pStyle w:val="Compact"/>
            </w:pPr>
            <w:r>
              <w:t xml:space="preserve">SI-4, SI-7 (representative)</w:t>
            </w:r>
          </w:p>
        </w:tc>
      </w:tr>
    </w:tbl>
    <w:p>
      <w:pPr>
        <w:pStyle w:val="BodyText"/>
      </w:pPr>
      <w:r>
        <w:t xml:space="preserve">Use official NIST mapping tables in</w:t>
      </w:r>
      <w:r>
        <w:t xml:space="preserve"> </w:t>
      </w:r>
      <w:r>
        <w:rPr>
          <w:b/>
          <w:bCs/>
        </w:rPr>
        <w:t xml:space="preserve">SP 800-171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 800-171A</w:t>
      </w:r>
      <w:r>
        <w:t xml:space="preserve"> </w:t>
      </w:r>
      <w:r>
        <w:t xml:space="preserve">as the authoritative cross-walk.</w:t>
      </w:r>
    </w:p>
    <w:p>
      <w:r>
        <w:pict>
          <v:rect style="width:0;height:1.5pt" o:hralign="center" o:hrstd="t" o:hr="t"/>
        </w:pict>
      </w:r>
    </w:p>
    <w:bookmarkEnd w:id="51"/>
    <w:bookmarkStart w:id="52" w:name="appendix-b--siem-field-mapping-example"/>
    <w:p>
      <w:pPr>
        <w:pStyle w:val="Heading2"/>
      </w:pPr>
      <w:r>
        <w:t xml:space="preserve">Appendix B — SIEM Field Mapping (Example)</w:t>
      </w:r>
    </w:p>
    <w:p>
      <w:pPr>
        <w:pStyle w:val="FirstParagraph"/>
      </w:pPr>
      <w:r>
        <w:t xml:space="preserve">Map exported events to your logging standard. Minimum useful fields:</w:t>
      </w:r>
    </w:p>
    <w:p>
      <w:pPr>
        <w:pStyle w:val="Compact"/>
        <w:numPr>
          <w:ilvl w:val="0"/>
          <w:numId w:val="1028"/>
        </w:numPr>
      </w:pPr>
      <w:r>
        <w:t xml:space="preserve">Timestamp (UTC), sensor/workload ID, source/destination IP and port, protocol, action (allow/deny/alert), policy ID, process name, process hash, user (if available), scope labels (</w:t>
      </w:r>
      <w:r>
        <w:rPr>
          <w:rStyle w:val="VerbatimChar"/>
        </w:rPr>
        <w:t xml:space="preserve">cui_scope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enclave_id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2"/>
    <w:bookmarkStart w:id="57" w:name="appendix-c--related-framework-runbooks"/>
    <w:p>
      <w:pPr>
        <w:pStyle w:val="Heading2"/>
      </w:pPr>
      <w:r>
        <w:t xml:space="preserve">Appendix C — Related Framework Runbooks</w:t>
      </w:r>
    </w:p>
    <w:p>
      <w:pPr>
        <w:pStyle w:val="Compact"/>
        <w:numPr>
          <w:ilvl w:val="0"/>
          <w:numId w:val="1029"/>
        </w:numPr>
      </w:pPr>
      <w:hyperlink r:id="rId53">
        <w:r>
          <w:rPr>
            <w:rStyle w:val="Hyperlink"/>
          </w:rPr>
          <w:t xml:space="preserve">NIST SP 800-53 Rev. 5</w:t>
        </w:r>
      </w:hyperlink>
      <w:r>
        <w:t xml:space="preserve"> </w:t>
      </w:r>
      <w:r>
        <w:t xml:space="preserve">— federal control catalog alignment at AC, AU, CM, IR, RA, SC, SI.</w:t>
      </w:r>
    </w:p>
    <w:p>
      <w:pPr>
        <w:pStyle w:val="Compact"/>
        <w:numPr>
          <w:ilvl w:val="0"/>
          <w:numId w:val="1029"/>
        </w:numPr>
      </w:pPr>
      <w:hyperlink r:id="rId54">
        <w:r>
          <w:rPr>
            <w:rStyle w:val="Hyperlink"/>
          </w:rPr>
          <w:t xml:space="preserve">CMMC 2.0</w:t>
        </w:r>
      </w:hyperlink>
      <w:r>
        <w:t xml:space="preserve"> </w:t>
      </w:r>
      <w:r>
        <w:t xml:space="preserve">— assessment-oriented CUI scope patterns and Level 2 practice mapping (verify Rev. 2 vs. Rev. 3 contract baseline).</w:t>
      </w:r>
    </w:p>
    <w:p>
      <w:pPr>
        <w:pStyle w:val="Compact"/>
        <w:numPr>
          <w:ilvl w:val="0"/>
          <w:numId w:val="1029"/>
        </w:numPr>
      </w:pPr>
      <w:hyperlink r:id="rId55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Zero Trust architectural context for segmentation and telemetry.</w:t>
      </w:r>
    </w:p>
    <w:p>
      <w:pPr>
        <w:pStyle w:val="Compact"/>
        <w:numPr>
          <w:ilvl w:val="0"/>
          <w:numId w:val="1029"/>
        </w:numPr>
      </w:pPr>
      <w:hyperlink r:id="rId56">
        <w:r>
          <w:rPr>
            <w:rStyle w:val="Hyperlink"/>
          </w:rPr>
          <w:t xml:space="preserve">FedRAMP</w:t>
        </w:r>
      </w:hyperlink>
      <w:r>
        <w:t xml:space="preserve"> </w:t>
      </w:r>
      <w:r>
        <w:t xml:space="preserve">— when CUI processing shares infrastructure with FedRAMP-style packages.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Replace organization-specific names and bracketed placeholders before external distribution. For contractual compliance, rely on your legal and program office interpretation of applicable NIST revisions.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../CMMC-2/CSW-CMMC-Technical-Runbook.md" TargetMode="External" /><Relationship Type="http://schemas.openxmlformats.org/officeDocument/2006/relationships/hyperlink" Id="rId56" Target="../FedRAMP/CSW-FedRAMP-Technical-Runbook.md" TargetMode="External" /><Relationship Type="http://schemas.openxmlformats.org/officeDocument/2006/relationships/hyperlink" Id="rId55" Target="../NIST-800-207/CSW-NIST-800-207-Technical-Runbook.md" TargetMode="External" /><Relationship Type="http://schemas.openxmlformats.org/officeDocument/2006/relationships/hyperlink" Id="rId53" Target="../NIST-800-53/CSW-NIST-800-53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../CMMC-2/CSW-CMMC-Technical-Runbook.md" TargetMode="External" /><Relationship Type="http://schemas.openxmlformats.org/officeDocument/2006/relationships/hyperlink" Id="rId56" Target="../FedRAMP/CSW-FedRAMP-Technical-Runbook.md" TargetMode="External" /><Relationship Type="http://schemas.openxmlformats.org/officeDocument/2006/relationships/hyperlink" Id="rId55" Target="../NIST-800-207/CSW-NIST-800-207-Technical-Runbook.md" TargetMode="External" /><Relationship Type="http://schemas.openxmlformats.org/officeDocument/2006/relationships/hyperlink" Id="rId53" Target="../NIST-800-53/CSW-NIST-800-53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2026-05-29T22:01:17Z</dcterms:created>
  <dcterms:modified xsi:type="dcterms:W3CDTF">2026-05-29T22:01:17Z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