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fca378461aa4ea3d750701ca5f3658806dc7900"/>
    <w:p>
      <w:pPr>
        <w:pStyle w:val="Heading1"/>
      </w:pPr>
      <w:r>
        <w:t xml:space="preserve">Cisco Secure Workload — NIST SP 800-207 Zero Trust Architecture</w:t>
      </w:r>
    </w:p>
    <w:bookmarkStart w:id="9" w:name="X750d200c5b15fc0b155e2d60dc8ee3edced172c"/>
    <w:p>
      <w:pPr>
        <w:pStyle w:val="Heading2"/>
      </w:pPr>
      <w:r>
        <w:t xml:space="preserve">Technical Runbook | Federal Agencies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800-207 (Zero Trust Architecture — Seven Tenets)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Any organization adopting Zero Trust</w:t>
      </w:r>
      <w:r>
        <w:t xml:space="preserve"> </w:t>
      </w:r>
      <w:r>
        <w:t xml:space="preserve">Architecture — federal agencies executing on EO 14028, federal</w:t>
      </w:r>
      <w:r>
        <w:t xml:space="preserve"> </w:t>
      </w:r>
      <w:r>
        <w:t xml:space="preserve">contractors, enterprises with a strategic ZT initiative — plus the</w:t>
      </w:r>
      <w:r>
        <w:t xml:space="preserve"> </w:t>
      </w:r>
      <w:r>
        <w:t xml:space="preserve">security architects working with them.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each of the seven tenets, where do I have a real working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 today vs. a slide that says "we do this"?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1 says "all data sources and computing services are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resources" — what's my live inventory of those resources, and how</w:t>
      </w:r>
      <w:r>
        <w:rPr>
          <w:i/>
          <w:iCs/>
        </w:rPr>
        <w:t xml:space="preserve"> </w:t>
      </w:r>
      <w:r>
        <w:rPr>
          <w:i/>
          <w:iCs/>
        </w:rPr>
        <w:t xml:space="preserve">current is 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2 (all communication is secured regardless of network</w:t>
      </w:r>
      <w:r>
        <w:rPr>
          <w:i/>
          <w:iCs/>
        </w:rPr>
        <w:t xml:space="preserve"> </w:t>
      </w:r>
      <w:r>
        <w:rPr>
          <w:i/>
          <w:iCs/>
        </w:rPr>
        <w:t xml:space="preserve">location) — can I prove that every workload-to-workload conversation</w:t>
      </w:r>
      <w:r>
        <w:rPr>
          <w:i/>
          <w:iCs/>
        </w:rPr>
        <w:t xml:space="preserve"> </w:t>
      </w:r>
      <w:r>
        <w:rPr>
          <w:i/>
          <w:iCs/>
        </w:rPr>
        <w:t xml:space="preserve">is policy-allowed, not just network-reachable?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5 says the enterprise monitors and measures "integrity and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posture of all assets" — what does that look like as a</w:t>
      </w:r>
      <w:r>
        <w:rPr>
          <w:i/>
          <w:iCs/>
        </w:rPr>
        <w:t xml:space="preserve"> </w:t>
      </w:r>
      <w:r>
        <w:rPr>
          <w:i/>
          <w:iCs/>
        </w:rPr>
        <w:t xml:space="preserve">daily artifact, not an annual audit?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 my deployment model (agent-based, enclave-based, resource</w:t>
      </w:r>
      <w:r>
        <w:rPr>
          <w:i/>
          <w:iCs/>
        </w:rPr>
        <w:t xml:space="preserve"> </w:t>
      </w:r>
      <w:r>
        <w:rPr>
          <w:i/>
          <w:iCs/>
        </w:rPr>
        <w:t xml:space="preserve">portal), which CSW components live where in the architecture?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my architect asks "where's the Policy Enforcement Point?",</w:t>
      </w:r>
      <w:r>
        <w:rPr>
          <w:i/>
          <w:iCs/>
        </w:rPr>
        <w:t xml:space="preserve"> </w:t>
      </w:r>
      <w:r>
        <w:rPr>
          <w:i/>
          <w:iCs/>
        </w:rPr>
        <w:t xml:space="preserve">what's my answer?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zero-trust strategy document or</w:t>
      </w:r>
      <w:r>
        <w:t xml:space="preserve"> </w:t>
      </w:r>
      <w:r>
        <w:t xml:space="preserve">charter, your existing architecture diagram (even if aspirational),</w:t>
      </w:r>
      <w:r>
        <w:t xml:space="preserve"> </w:t>
      </w:r>
      <w:r>
        <w:t xml:space="preserve">your identity provider integration map, and a sense of which</w:t>
      </w:r>
      <w:r>
        <w:t xml:space="preserve"> </w:t>
      </w:r>
      <w:r>
        <w:t xml:space="preserve">deployment model best fits your environment.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to align on terminology; section 2 to</w:t>
      </w:r>
      <w:r>
        <w:t xml:space="preserve"> </w:t>
      </w:r>
      <w:r>
        <w:t xml:space="preserve">walk tenet-by-tenet; section 3 for the logical-component mapping</w:t>
      </w:r>
      <w:r>
        <w:t xml:space="preserve"> </w:t>
      </w:r>
      <w:r>
        <w:t xml:space="preserve">(this is where most architectural discussions live); section 4 if</w:t>
      </w:r>
      <w:r>
        <w:t xml:space="preserve"> </w:t>
      </w:r>
      <w:r>
        <w:t xml:space="preserve">you're committing to a deployment model; section 5 to see how CSW</w:t>
      </w:r>
      <w:r>
        <w:t xml:space="preserve"> </w:t>
      </w:r>
      <w:r>
        <w:t xml:space="preserve">fits Cisco's broader ZT portfolio.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Workload-side evidence for ZTA Tenets 2/3/5/6</w:t>
      </w:r>
    </w:p>
    <w:p>
      <w:pPr>
        <w:pStyle w:val="Compact"/>
        <w:numPr>
          <w:ilvl w:val="0"/>
          <w:numId w:val="1018"/>
        </w:numPr>
      </w:pPr>
      <w:r>
        <w:t xml:space="preserve">PEP placement on workload with policy export for assessors</w:t>
      </w:r>
    </w:p>
    <w:p>
      <w:pPr>
        <w:pStyle w:val="Compact"/>
        <w:numPr>
          <w:ilvl w:val="0"/>
          <w:numId w:val="1018"/>
        </w:numPr>
      </w:pPr>
      <w:r>
        <w:t xml:space="preserve">PIP-style telemetry from process + flow graph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800-207 defines Zero Trust Architecture (ZTA) through seven foundational tenets. Unlike maturity models (e.g., CISA ZTMM), 800-207 focuses on architectural requirements and logical components — the Policy Engine (PE), Policy Administrator (PA), and Policy Enforcement Point (PEP).</w:t>
      </w:r>
    </w:p>
    <w:p>
      <w:pPr>
        <w:pStyle w:val="BodyText"/>
      </w:pPr>
      <w:r>
        <w:rPr>
          <w:b/>
          <w:bCs/>
        </w:rPr>
        <w:t xml:space="preserve">CSW's role in 800-207 architecture: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 Enforcement Point (PEP):</w:t>
      </w:r>
      <w:r>
        <w:t xml:space="preserve"> </w:t>
      </w:r>
      <w:r>
        <w:t xml:space="preserve">CSW micro-segmentation enforces workload-level access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 Information Point:</w:t>
      </w:r>
      <w:r>
        <w:t xml:space="preserve"> </w:t>
      </w:r>
      <w:r>
        <w:t xml:space="preserve">CSW telemetry (vulnerability, process, flow) feeds the policy engine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Continuous Diagnostics:</w:t>
      </w:r>
      <w:r>
        <w:t xml:space="preserve"> </w:t>
      </w:r>
      <w:r>
        <w:t xml:space="preserve">CSW provides the asset posture monitoring required by 800-207's CDM integration</w:t>
      </w:r>
    </w:p>
    <w:p>
      <w:r>
        <w:pict>
          <v:rect style="width:0;height:1.5pt" o:hralign="center" o:hrstd="t" o:hr="t"/>
        </w:pict>
      </w:r>
    </w:p>
    <w:bookmarkEnd w:id="21"/>
    <w:bookmarkStart w:id="29" w:name="X95c023fe8a8f01b86003153f6a0169314861428"/>
    <w:p>
      <w:pPr>
        <w:pStyle w:val="Heading2"/>
      </w:pPr>
      <w:r>
        <w:t xml:space="preserve">2. Tenet-by-Tenet Implementation Guide</w:t>
      </w:r>
    </w:p>
    <w:bookmarkStart w:id="22" w:name="X251fbaa204761c1712e7a4dfb3e4c90f55322de"/>
    <w:p>
      <w:pPr>
        <w:pStyle w:val="Heading3"/>
      </w:pPr>
      <w:r>
        <w:t xml:space="preserve">Tenet 1 — All Data Sources and Computing Services Are Resources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asset — on-prem, cloud, IoT, SaaS — is treated as a managed resource, regardless of ownership or location.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Deploy software sensors on all on-prem workloads</w:t>
      </w:r>
      <w:r>
        <w:br/>
      </w:r>
      <w:r>
        <w:rPr>
          <w:rStyle w:val="VerbatimChar"/>
        </w:rPr>
        <w:t xml:space="preserve">  → Linux: rpm/dpkg install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br/>
      </w:r>
      <w:r>
        <w:rPr>
          <w:rStyle w:val="VerbatimChar"/>
        </w:rPr>
        <w:t xml:space="preserve">Step 2: Connect cloud accounts (agentless discovery)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AWS: IAM Role with EC2/VPC read permissions</w:t>
      </w:r>
      <w:r>
        <w:br/>
      </w:r>
      <w:r>
        <w:rPr>
          <w:rStyle w:val="VerbatimChar"/>
        </w:rPr>
        <w:t xml:space="preserve">  → Azure: Service Principal with Reader role</w:t>
      </w:r>
      <w:r>
        <w:br/>
      </w:r>
      <w:r>
        <w:rPr>
          <w:rStyle w:val="VerbatimChar"/>
        </w:rPr>
        <w:t xml:space="preserve">  → GCP: Service Account with Compute Viewer role</w:t>
      </w:r>
      <w:r>
        <w:br/>
      </w:r>
      <w:r>
        <w:br/>
      </w:r>
      <w:r>
        <w:rPr>
          <w:rStyle w:val="VerbatimChar"/>
        </w:rPr>
        <w:t xml:space="preserve">Step 3: Label every workload as a classified resource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env:          production | staging | dev</w:t>
      </w:r>
      <w:r>
        <w:br/>
      </w:r>
      <w:r>
        <w:rPr>
          <w:rStyle w:val="VerbatimChar"/>
        </w:rPr>
        <w:t xml:space="preserve">    data:         phi | pii | pci | sensitive | public</w:t>
      </w:r>
      <w:r>
        <w:br/>
      </w:r>
      <w:r>
        <w:rPr>
          <w:rStyle w:val="VerbatimChar"/>
        </w:rPr>
        <w:t xml:space="preserve">    compliance:   nist-800-207 | hipaa | pci | none</w:t>
      </w:r>
      <w:r>
        <w:br/>
      </w:r>
      <w:r>
        <w:rPr>
          <w:rStyle w:val="VerbatimChar"/>
        </w:rPr>
        <w:t xml:space="preserve">    app:          [application name]</w:t>
      </w:r>
      <w:r>
        <w:br/>
      </w:r>
      <w:r>
        <w:rPr>
          <w:rStyle w:val="VerbatimChar"/>
        </w:rPr>
        <w:t xml:space="preserve">    owner:        [team name]</w:t>
      </w:r>
      <w:r>
        <w:br/>
      </w:r>
      <w:r>
        <w:br/>
      </w:r>
      <w:r>
        <w:rPr>
          <w:rStyle w:val="VerbatimChar"/>
        </w:rPr>
        <w:t xml:space="preserve">Step 4: Validate CSW coverage and label completeness</w:t>
      </w:r>
      <w:r>
        <w:br/>
      </w:r>
      <w:r>
        <w:rPr>
          <w:rStyle w:val="VerbatimChar"/>
        </w:rPr>
        <w:t xml:space="preserve">  CSW UI → Inventory</w:t>
      </w:r>
      <w:r>
        <w:br/>
      </w:r>
      <w:r>
        <w:rPr>
          <w:rStyle w:val="VerbatimChar"/>
        </w:rPr>
        <w:t xml:space="preserve">  → Filter: label missing → Identify unlabeled workloads</w:t>
      </w:r>
      <w:r>
        <w:br/>
      </w:r>
      <w:r>
        <w:rPr>
          <w:rStyle w:val="VerbatimChar"/>
        </w:rPr>
        <w:t xml:space="preserve">  → Target: 100% label coverage for in-scope CSW-covered workloads before ADM run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Inventory export (CSV), cloud connector discovery report</w:t>
      </w:r>
    </w:p>
    <w:p>
      <w:r>
        <w:pict>
          <v:rect style="width:0;height:1.5pt" o:hralign="center" o:hrstd="t" o:hr="t"/>
        </w:pict>
      </w:r>
    </w:p>
    <w:bookmarkEnd w:id="22"/>
    <w:bookmarkStart w:id="23" w:name="X0edc2db45593a9bd66319ace760cf8e1d0ef582"/>
    <w:p>
      <w:pPr>
        <w:pStyle w:val="Heading3"/>
      </w:pPr>
      <w:r>
        <w:t xml:space="preserve">Tenet 2 — All Communication Is Secured Regardless of Network Location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No implicit trust based on network position. All traffic — internal and external — must be authenticated and encrypted.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Identify unencrypted communications via ADM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Protocol = HTTP (80), FTP (21), Telnet (23), LDAP (389)</w:t>
      </w:r>
      <w:r>
        <w:br/>
      </w:r>
      <w:r>
        <w:rPr>
          <w:rStyle w:val="VerbatimChar"/>
        </w:rPr>
        <w:t xml:space="preserve">  Scope: All monitored workloads</w:t>
      </w:r>
      <w:r>
        <w:br/>
      </w:r>
      <w:r>
        <w:rPr>
          <w:rStyle w:val="VerbatimChar"/>
        </w:rPr>
        <w:t xml:space="preserve">  → Export: Unencrypted flow report (baseline)</w:t>
      </w:r>
      <w:r>
        <w:br/>
      </w:r>
      <w:r>
        <w:br/>
      </w:r>
      <w:r>
        <w:rPr>
          <w:rStyle w:val="VerbatimChar"/>
        </w:rPr>
        <w:t xml:space="preserve">Step 2: Create blocking policies for non-compliant protocols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ZTA-Encryption-Enforcement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DENY policies:</w:t>
      </w:r>
      <w:r>
        <w:br/>
      </w:r>
      <w:r>
        <w:rPr>
          <w:rStyle w:val="VerbatimChar"/>
        </w:rPr>
        <w:t xml:space="preserve">    DENY: Any → Sensitive-Scope (port 80)    # HTTP</w:t>
      </w:r>
      <w:r>
        <w:br/>
      </w:r>
      <w:r>
        <w:rPr>
          <w:rStyle w:val="VerbatimChar"/>
        </w:rPr>
        <w:t xml:space="preserve">    DENY: Any → Sensitive-Scope (port 21)    # FTP</w:t>
      </w:r>
      <w:r>
        <w:br/>
      </w:r>
      <w:r>
        <w:rPr>
          <w:rStyle w:val="VerbatimChar"/>
        </w:rPr>
        <w:t xml:space="preserve">    DENY: Any → Sensitive-Scope (port 23)    # Telnet</w:t>
      </w:r>
      <w:r>
        <w:br/>
      </w:r>
      <w:r>
        <w:rPr>
          <w:rStyle w:val="VerbatimChar"/>
        </w:rPr>
        <w:t xml:space="preserve">    DENY: Any → Sensitive-Scope (port 389)   # Plain LDAP</w:t>
      </w:r>
      <w:r>
        <w:br/>
      </w:r>
      <w:r>
        <w:rPr>
          <w:rStyle w:val="VerbatimChar"/>
        </w:rPr>
        <w:t xml:space="preserve">    DENY: Sensitive-Scope → Any (port 80)    # HTTP egress</w:t>
      </w:r>
      <w:r>
        <w:br/>
      </w:r>
      <w:r>
        <w:br/>
      </w:r>
      <w:r>
        <w:rPr>
          <w:rStyle w:val="VerbatimChar"/>
        </w:rPr>
        <w:t xml:space="preserve">Step 3: Run in Simulation mode first</w:t>
      </w:r>
      <w:r>
        <w:br/>
      </w:r>
      <w:r>
        <w:rPr>
          <w:rStyle w:val="VerbatimChar"/>
        </w:rPr>
        <w:t xml:space="preserve">  → Validate no legitimate apps broken by encryption enforcement</w:t>
      </w:r>
      <w:r>
        <w:br/>
      </w:r>
      <w:r>
        <w:rPr>
          <w:rStyle w:val="VerbatimChar"/>
        </w:rPr>
        <w:t xml:space="preserve">  → Work with app owners to remediate unencrypted dependencies</w:t>
      </w:r>
      <w:r>
        <w:br/>
      </w:r>
      <w:r>
        <w:rPr>
          <w:rStyle w:val="VerbatimChar"/>
        </w:rPr>
        <w:t xml:space="preserve">  → Enforce after 2-week simulation validation</w:t>
      </w:r>
      <w:r>
        <w:br/>
      </w:r>
      <w:r>
        <w:br/>
      </w:r>
      <w:r>
        <w:rPr>
          <w:rStyle w:val="VerbatimChar"/>
        </w:rPr>
        <w:t xml:space="preserve">Step 4: Quarterly re-scan</w:t>
      </w:r>
      <w:r>
        <w:br/>
      </w:r>
      <w:r>
        <w:rPr>
          <w:rStyle w:val="VerbatimChar"/>
        </w:rPr>
        <w:t xml:space="preserve">  → Re-run Flow Search for unencrypted protocols</w:t>
      </w:r>
      <w:r>
        <w:br/>
      </w:r>
      <w:r>
        <w:rPr>
          <w:rStyle w:val="VerbatimChar"/>
        </w:rPr>
        <w:t xml:space="preserve">  → Any new violations: immediate alert + policy update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Unencrypted flow report (before/after), policy enforcement log, quarterly protocol compliance report</w:t>
      </w:r>
    </w:p>
    <w:p>
      <w:r>
        <w:pict>
          <v:rect style="width:0;height:1.5pt" o:hralign="center" o:hrstd="t" o:hr="t"/>
        </w:pict>
      </w:r>
    </w:p>
    <w:bookmarkEnd w:id="23"/>
    <w:bookmarkStart w:id="24" w:name="X123b3aaabacfd3f589d0c18177b526824248ef2"/>
    <w:p>
      <w:pPr>
        <w:pStyle w:val="Heading3"/>
      </w:pPr>
      <w:r>
        <w:t xml:space="preserve">Tenet 3 — Access to Individual Resources Is Granted Per-Session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Access must be scoped to specific individual resources, evaluated per connection. No broad network segment access.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ADM-based individual resource policy</w:t>
      </w:r>
      <w:r>
        <w:br/>
      </w:r>
      <w:r>
        <w:rPr>
          <w:rStyle w:val="VerbatimChar"/>
        </w:rPr>
        <w:t xml:space="preserve">  CSW UI → Investigate → ADM</w:t>
      </w:r>
      <w:r>
        <w:br/>
      </w:r>
      <w:r>
        <w:rPr>
          <w:rStyle w:val="VerbatimChar"/>
        </w:rPr>
        <w:t xml:space="preserve">  → Run for minimum 4 weeks on all scopes</w:t>
      </w:r>
      <w:r>
        <w:br/>
      </w:r>
      <w:r>
        <w:rPr>
          <w:rStyle w:val="VerbatimChar"/>
        </w:rPr>
        <w:t xml:space="preserve">  → Export ADM clusters = individual resource access map</w:t>
      </w:r>
      <w:r>
        <w:br/>
      </w:r>
      <w:r>
        <w:br/>
      </w:r>
      <w:r>
        <w:rPr>
          <w:rStyle w:val="VerbatimChar"/>
        </w:rPr>
        <w:t xml:space="preserve">Step 2: Build workload-level allowlist (not subnet-level)</w:t>
      </w:r>
      <w:r>
        <w:br/>
      </w:r>
      <w:r>
        <w:rPr>
          <w:rStyle w:val="VerbatimChar"/>
        </w:rPr>
        <w:t xml:space="preserve">  For each workload in sensitive scope:</w:t>
      </w:r>
      <w:r>
        <w:br/>
      </w:r>
      <w:r>
        <w:rPr>
          <w:rStyle w:val="VerbatimChar"/>
        </w:rPr>
        <w:t xml:space="preserve">    ALLOW: [Source Workload A] → [Dest Workload B] (port X)</w:t>
      </w:r>
      <w:r>
        <w:br/>
      </w:r>
      <w:r>
        <w:rPr>
          <w:rStyle w:val="VerbatimChar"/>
        </w:rPr>
        <w:t xml:space="preserve">    ALLOW: [Source Workload C] → [Dest Workload B] (port Y)</w:t>
      </w:r>
      <w:r>
        <w:br/>
      </w:r>
      <w:r>
        <w:rPr>
          <w:rStyle w:val="VerbatimChar"/>
        </w:rPr>
        <w:t xml:space="preserve">    DENY:  All other → [Dest Workload B]</w:t>
      </w:r>
      <w:r>
        <w:br/>
      </w:r>
      <w:r>
        <w:br/>
      </w:r>
      <w:r>
        <w:rPr>
          <w:rStyle w:val="VerbatimChar"/>
        </w:rPr>
        <w:t xml:space="preserve">  Key principle: policies reference workload identity</w:t>
      </w:r>
      <w:r>
        <w:br/>
      </w:r>
      <w:r>
        <w:rPr>
          <w:rStyle w:val="VerbatimChar"/>
        </w:rPr>
        <w:t xml:space="preserve">  (hostname/label), NOT IP ranges or subnets</w:t>
      </w:r>
      <w:r>
        <w:br/>
      </w:r>
      <w:r>
        <w:br/>
      </w:r>
      <w:r>
        <w:rPr>
          <w:rStyle w:val="VerbatimChar"/>
        </w:rPr>
        <w:t xml:space="preserve">Step 3: Default-deny for all sensitive scopes</w:t>
      </w:r>
      <w:r>
        <w:br/>
      </w:r>
      <w:r>
        <w:rPr>
          <w:rStyle w:val="VerbatimChar"/>
        </w:rPr>
        <w:t xml:space="preserve">  → Every sensitive workload starts with DENY ALL inbound</w:t>
      </w:r>
      <w:r>
        <w:br/>
      </w:r>
      <w:r>
        <w:rPr>
          <w:rStyle w:val="VerbatimChar"/>
        </w:rPr>
        <w:t xml:space="preserve">  → Only explicitly documented flows are permitted</w:t>
      </w:r>
      <w:r>
        <w:br/>
      </w:r>
      <w:r>
        <w:rPr>
          <w:rStyle w:val="VerbatimChar"/>
        </w:rPr>
        <w:t xml:space="preserve">  → No "allow same subnet" rules — violates Tenet 3</w:t>
      </w:r>
      <w:r>
        <w:br/>
      </w:r>
      <w:r>
        <w:br/>
      </w:r>
      <w:r>
        <w:rPr>
          <w:rStyle w:val="VerbatimChar"/>
        </w:rPr>
        <w:t xml:space="preserve">Step 4: Per-connection audit trail</w:t>
      </w:r>
      <w:r>
        <w:br/>
      </w:r>
      <w:r>
        <w:rPr>
          <w:rStyle w:val="VerbatimChar"/>
        </w:rPr>
        <w:t xml:space="preserve">  CSW logs every connection: source, destination, process,</w:t>
      </w:r>
      <w:r>
        <w:br/>
      </w:r>
      <w:r>
        <w:rPr>
          <w:rStyle w:val="VerbatimChar"/>
        </w:rPr>
        <w:t xml:space="preserve">  user, timestamp, bytes, and policy decision (allow/deny)</w:t>
      </w:r>
      <w:r>
        <w:br/>
      </w:r>
      <w:r>
        <w:rPr>
          <w:rStyle w:val="VerbatimChar"/>
        </w:rPr>
        <w:t xml:space="preserve">  → Contributes to per-access records for network connections CSW observes;</w:t>
      </w:r>
      <w:r>
        <w:br/>
      </w:r>
      <w:r>
        <w:rPr>
          <w:rStyle w:val="VerbatimChar"/>
        </w:rPr>
        <w:t xml:space="preserve">    validate required fields against your logging standard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Per-connection flow log export, policy workspace (allowlist rules), policy denial log</w:t>
      </w:r>
    </w:p>
    <w:p>
      <w:r>
        <w:pict>
          <v:rect style="width:0;height:1.5pt" o:hralign="center" o:hrstd="t" o:hr="t"/>
        </w:pict>
      </w:r>
    </w:p>
    <w:bookmarkEnd w:id="24"/>
    <w:bookmarkStart w:id="25" w:name="X2c2b1bb4c7f585f25f78e80151339628ebff3d0"/>
    <w:p>
      <w:pPr>
        <w:pStyle w:val="Heading3"/>
      </w:pPr>
      <w:r>
        <w:t xml:space="preserve">Tenet 4 — Access Is Determined by Dynamic Policy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Policy must incorporate observable state — device posture, user behavior, environmental conditions. Static rules are insufficient.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BodyText"/>
      </w:pPr>
      <w:r>
        <w:rPr>
          <w:b/>
          <w:bCs/>
        </w:rPr>
        <w:t xml:space="preserve">4a. Label-Driven Dynamic Scoping</w:t>
      </w:r>
    </w:p>
    <w:p>
      <w:pPr>
        <w:pStyle w:val="SourceCode"/>
      </w:pPr>
      <w:r>
        <w:rPr>
          <w:rStyle w:val="VerbatimChar"/>
        </w:rPr>
        <w:t xml:space="preserve">When a workload label changes → scope membership updates → policy applies automatically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Workload X gains label: data=phi</w:t>
      </w:r>
      <w:r>
        <w:br/>
      </w:r>
      <w:r>
        <w:rPr>
          <w:rStyle w:val="VerbatimChar"/>
        </w:rPr>
        <w:t xml:space="preserve">  → Workload X auto-joins PHI-Zone scope</w:t>
      </w:r>
      <w:r>
        <w:br/>
      </w:r>
      <w:r>
        <w:rPr>
          <w:rStyle w:val="VerbatimChar"/>
        </w:rPr>
        <w:t xml:space="preserve">  → PHI-Zone policies (default-deny, encrypted-only) apply immediately</w:t>
      </w:r>
      <w:r>
        <w:br/>
      </w:r>
      <w:r>
        <w:rPr>
          <w:rStyle w:val="VerbatimChar"/>
        </w:rPr>
        <w:t xml:space="preserve">  → No manual policy rule change required</w:t>
      </w:r>
    </w:p>
    <w:p>
      <w:pPr>
        <w:pStyle w:val="FirstParagraph"/>
      </w:pPr>
      <w:r>
        <w:rPr>
          <w:b/>
          <w:bCs/>
        </w:rPr>
        <w:t xml:space="preserve">4b. Vulnerability-Informed Compensating Controls</w:t>
      </w:r>
    </w:p>
    <w:p>
      <w:pPr>
        <w:pStyle w:val="SourceCode"/>
      </w:pPr>
      <w:r>
        <w:rPr>
          <w:rStyle w:val="VerbatimChar"/>
        </w:rPr>
        <w:t xml:space="preserve">CSW vulnerability alert → SOAR → CSW API policy update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  Trigger: New Critical CVE (CVSS 9.0+) detected on Workload Y</w:t>
      </w:r>
      <w:r>
        <w:br/>
      </w:r>
      <w:r>
        <w:rPr>
          <w:rStyle w:val="VerbatimChar"/>
        </w:rPr>
        <w:t xml:space="preserve">  SOAR Action:</w:t>
      </w:r>
      <w:r>
        <w:br/>
      </w:r>
      <w:r>
        <w:rPr>
          <w:rStyle w:val="VerbatimChar"/>
        </w:rPr>
        <w:t xml:space="preserve">    POST /openapi/v1/policies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"name": "vuln-compensating-Workload-Y",</w:t>
      </w:r>
      <w:r>
        <w:br/>
      </w:r>
      <w:r>
        <w:rPr>
          <w:rStyle w:val="VerbatimChar"/>
        </w:rPr>
        <w:t xml:space="preserve">      "priority": "HIGH",</w:t>
      </w:r>
      <w:r>
        <w:br/>
      </w:r>
      <w:r>
        <w:rPr>
          <w:rStyle w:val="VerbatimChar"/>
        </w:rPr>
        <w:t xml:space="preserve">      "action": "ALLOW",</w:t>
      </w:r>
      <w:r>
        <w:br/>
      </w:r>
      <w:r>
        <w:rPr>
          <w:rStyle w:val="VerbatimChar"/>
        </w:rPr>
        <w:t xml:space="preserve">      "src": "Admin-Jump-Host",</w:t>
      </w:r>
      <w:r>
        <w:br/>
      </w:r>
      <w:r>
        <w:rPr>
          <w:rStyle w:val="VerbatimChar"/>
        </w:rPr>
        <w:t xml:space="preserve">      "dst": "Workload-Y",</w:t>
      </w:r>
      <w:r>
        <w:br/>
      </w:r>
      <w:r>
        <w:rPr>
          <w:rStyle w:val="VerbatimChar"/>
        </w:rPr>
        <w:t xml:space="preserve">      "port": "22"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+ DENY all other inbound to Workload-Y</w:t>
      </w:r>
      <w:r>
        <w:br/>
      </w:r>
      <w:r>
        <w:rPr>
          <w:rStyle w:val="VerbatimChar"/>
        </w:rPr>
        <w:t xml:space="preserve">  Duration: Until patch applied + vulnerability cleared</w:t>
      </w:r>
    </w:p>
    <w:p>
      <w:pPr>
        <w:pStyle w:val="FirstParagraph"/>
      </w:pPr>
      <w:r>
        <w:rPr>
          <w:b/>
          <w:bCs/>
        </w:rPr>
        <w:t xml:space="preserve">4c. SOAR-Mediated Dynamic Isolation</w:t>
      </w:r>
    </w:p>
    <w:p>
      <w:pPr>
        <w:pStyle w:val="SourceCode"/>
      </w:pPr>
      <w:r>
        <w:rPr>
          <w:rStyle w:val="VerbatimChar"/>
        </w:rPr>
        <w:t xml:space="preserve">CSW anomaly alert → SOAR → CSW API → Workload isolation</w:t>
      </w:r>
      <w:r>
        <w:br/>
      </w:r>
      <w:r>
        <w:br/>
      </w:r>
      <w:r>
        <w:rPr>
          <w:rStyle w:val="VerbatimChar"/>
        </w:rPr>
        <w:t xml:space="preserve">Example SOAR playbook (Splunk SOAR / Palo Alto XSOAR):</w:t>
      </w:r>
      <w:r>
        <w:br/>
      </w:r>
      <w:r>
        <w:rPr>
          <w:rStyle w:val="VerbatimChar"/>
        </w:rPr>
        <w:t xml:space="preserve">  Trigger: CSW high-severity anomaly on Workload Z</w:t>
      </w:r>
      <w:r>
        <w:br/>
      </w:r>
      <w:r>
        <w:rPr>
          <w:rStyle w:val="VerbatimChar"/>
        </w:rPr>
        <w:t xml:space="preserve">  Step 1: Query CSW API for workload identity</w:t>
      </w:r>
      <w:r>
        <w:br/>
      </w:r>
      <w:r>
        <w:rPr>
          <w:rStyle w:val="VerbatimChar"/>
        </w:rPr>
        <w:t xml:space="preserve">  Step 2: Create isolation policy via CSW API</w:t>
      </w:r>
      <w:r>
        <w:br/>
      </w:r>
      <w:r>
        <w:rPr>
          <w:rStyle w:val="VerbatimChar"/>
        </w:rPr>
        <w:t xml:space="preserve">  Step 3: Notify SOC analyst with context</w:t>
      </w:r>
      <w:r>
        <w:br/>
      </w:r>
      <w:r>
        <w:rPr>
          <w:rStyle w:val="VerbatimChar"/>
        </w:rPr>
        <w:t xml:space="preserve">  Step 4: Await analyst approval to restore normal policy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API audit log, SOAR-to-CSW integration log, label-change-to-policy-update trace</w:t>
      </w:r>
    </w:p>
    <w:p>
      <w:r>
        <w:pict>
          <v:rect style="width:0;height:1.5pt" o:hralign="center" o:hrstd="t" o:hr="t"/>
        </w:pict>
      </w:r>
    </w:p>
    <w:bookmarkEnd w:id="25"/>
    <w:bookmarkStart w:id="26" w:name="Xc16f0b44f3faaf50832046b18206f911e8ec4d8"/>
    <w:p>
      <w:pPr>
        <w:pStyle w:val="Heading3"/>
      </w:pPr>
      <w:r>
        <w:t xml:space="preserve">Tenet 5 — Enterprise Monitors and Measures Integrity and Security Posture of All Assets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Continuous, automated asset health monitoring. No assumed-healthy assets. Posture data feeds access decisions.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Vulnerability Monitoring:</w:t>
      </w:r>
      <w:r>
        <w:br/>
      </w:r>
      <w:r>
        <w:rPr>
          <w:rStyle w:val="VerbatimChar"/>
        </w:rPr>
        <w:t xml:space="preserve">  CSW UI → Investigate → Vulnerability</w:t>
      </w:r>
      <w:r>
        <w:br/>
      </w:r>
      <w:r>
        <w:rPr>
          <w:rStyle w:val="VerbatimChar"/>
        </w:rPr>
        <w:t xml:space="preserve">  → Continuous scan (no scheduling required)</w:t>
      </w:r>
      <w:r>
        <w:br/>
      </w:r>
      <w:r>
        <w:rPr>
          <w:rStyle w:val="VerbatimChar"/>
        </w:rPr>
        <w:t xml:space="preserve">  → Alert thresholds:</w:t>
      </w:r>
      <w:r>
        <w:br/>
      </w:r>
      <w:r>
        <w:rPr>
          <w:rStyle w:val="VerbatimChar"/>
        </w:rPr>
        <w:t xml:space="preserve">      CVSS 9.0+: Alert SIEM immediately</w:t>
      </w:r>
      <w:r>
        <w:br/>
      </w:r>
      <w:r>
        <w:rPr>
          <w:rStyle w:val="VerbatimChar"/>
        </w:rPr>
        <w:t xml:space="preserve">      CVSS 7.0–8.9: Alert within 4 hours</w:t>
      </w:r>
      <w:r>
        <w:br/>
      </w:r>
      <w:r>
        <w:rPr>
          <w:rStyle w:val="VerbatimChar"/>
        </w:rPr>
        <w:t xml:space="preserve">      CVSS 4.0–6.9: Daily digest</w:t>
      </w:r>
      <w:r>
        <w:br/>
      </w:r>
      <w:r>
        <w:rPr>
          <w:rStyle w:val="VerbatimChar"/>
        </w:rPr>
        <w:t xml:space="preserve">  → Export: Weekly vulnerability report per scope</w:t>
      </w:r>
      <w:r>
        <w:br/>
      </w:r>
      <w:r>
        <w:br/>
      </w:r>
      <w:r>
        <w:rPr>
          <w:rStyle w:val="VerbatimChar"/>
        </w:rPr>
        <w:t xml:space="preserve">Process Integrity Monitoring:</w:t>
      </w:r>
      <w:r>
        <w:br/>
      </w:r>
      <w:r>
        <w:rPr>
          <w:rStyle w:val="VerbatimChar"/>
        </w:rPr>
        <w:t xml:space="preserve">  CSW UI → Alerts → Process Anomaly</w:t>
      </w:r>
      <w:r>
        <w:br/>
      </w:r>
      <w:r>
        <w:rPr>
          <w:rStyle w:val="VerbatimChar"/>
        </w:rPr>
        <w:t xml:space="preserve">  → Enable: New process not in ADM baseline</w:t>
      </w:r>
      <w:r>
        <w:br/>
      </w:r>
      <w:r>
        <w:rPr>
          <w:rStyle w:val="VerbatimChar"/>
        </w:rPr>
        <w:t xml:space="preserve">  → Enable: Process hash change (modified binary)</w:t>
      </w:r>
      <w:r>
        <w:br/>
      </w:r>
      <w:r>
        <w:rPr>
          <w:rStyle w:val="VerbatimChar"/>
        </w:rPr>
        <w:t xml:space="preserve">  → Enable: Unexpected listening port (new service)</w:t>
      </w:r>
      <w:r>
        <w:br/>
      </w:r>
      <w:r>
        <w:rPr>
          <w:rStyle w:val="VerbatimChar"/>
        </w:rPr>
        <w:t xml:space="preserve">  → Alert: SIEM + email + Webex</w:t>
      </w:r>
      <w:r>
        <w:br/>
      </w:r>
      <w:r>
        <w:br/>
      </w:r>
      <w:r>
        <w:rPr>
          <w:rStyle w:val="VerbatimChar"/>
        </w:rPr>
        <w:t xml:space="preserve">Configuration Drift Detection:</w:t>
      </w:r>
      <w:r>
        <w:br/>
      </w:r>
      <w:r>
        <w:rPr>
          <w:rStyle w:val="VerbatimChar"/>
        </w:rPr>
        <w:t xml:space="preserve">  CSW compares current state to ADM baseline continuously</w:t>
      </w:r>
      <w:r>
        <w:br/>
      </w:r>
      <w:r>
        <w:rPr>
          <w:rStyle w:val="VerbatimChar"/>
        </w:rPr>
        <w:t xml:space="preserve">  → New flow not in baseline: Alert</w:t>
      </w:r>
      <w:r>
        <w:br/>
      </w:r>
      <w:r>
        <w:rPr>
          <w:rStyle w:val="VerbatimChar"/>
        </w:rPr>
        <w:t xml:space="preserve">  → New process not in baseline: Alert</w:t>
      </w:r>
      <w:r>
        <w:br/>
      </w:r>
      <w:r>
        <w:rPr>
          <w:rStyle w:val="VerbatimChar"/>
        </w:rPr>
        <w:t xml:space="preserve">  → New port not in baseline: Alert</w:t>
      </w:r>
      <w:r>
        <w:br/>
      </w:r>
      <w:r>
        <w:rPr>
          <w:rStyle w:val="VerbatimChar"/>
        </w:rPr>
        <w:t xml:space="preserve">  → Quarterly ADM re-run: Validate and update baseline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Vulnerability trend report (weekly), process anomaly alert log, configuration drift report</w:t>
      </w:r>
    </w:p>
    <w:p>
      <w:r>
        <w:pict>
          <v:rect style="width:0;height:1.5pt" o:hralign="center" o:hrstd="t" o:hr="t"/>
        </w:pict>
      </w:r>
    </w:p>
    <w:bookmarkEnd w:id="26"/>
    <w:bookmarkStart w:id="27" w:name="X410e5e580b0e88cc0e063fa1685c1847eba33bd"/>
    <w:p>
      <w:pPr>
        <w:pStyle w:val="Heading3"/>
      </w:pPr>
      <w:r>
        <w:t xml:space="preserve">Tenet 6 — Authentication and Authorization Are Dynamic and Strictly Enforced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access request must be authenticated and authorized. No cached, assumed, or implicit authorizations.</w:t>
      </w:r>
    </w:p>
    <w:p>
      <w:pPr>
        <w:pStyle w:val="BodyText"/>
      </w:pPr>
      <w:r>
        <w:rPr>
          <w:b/>
          <w:bCs/>
        </w:rPr>
        <w:t xml:space="preserve">CSW Role (Network Enforcement Layer):</w:t>
      </w:r>
    </w:p>
    <w:p>
      <w:pPr>
        <w:pStyle w:val="SourceCode"/>
      </w:pPr>
      <w:r>
        <w:rPr>
          <w:rStyle w:val="VerbatimChar"/>
        </w:rPr>
        <w:t xml:space="preserve">CSW enforces the network path to authentication systems:</w:t>
      </w:r>
      <w:r>
        <w:br/>
      </w:r>
      <w:r>
        <w:br/>
      </w:r>
      <w:r>
        <w:rPr>
          <w:rStyle w:val="VerbatimChar"/>
        </w:rPr>
        <w:t xml:space="preserve">DENY policies for unauthenticated paths:</w:t>
      </w:r>
      <w:r>
        <w:br/>
      </w:r>
      <w:r>
        <w:rPr>
          <w:rStyle w:val="VerbatimChar"/>
        </w:rPr>
        <w:t xml:space="preserve">  DENY: Any → Sensitive-Scope (port 389)   # Block plain LDAP</w:t>
      </w:r>
      <w:r>
        <w:br/>
      </w:r>
      <w:r>
        <w:rPr>
          <w:rStyle w:val="VerbatimChar"/>
        </w:rPr>
        <w:t xml:space="preserve">  DENY: Any → Sensitive-Scope (port 5985)  # Block WinRM HTTP</w:t>
      </w:r>
      <w:r>
        <w:br/>
      </w:r>
      <w:r>
        <w:rPr>
          <w:rStyle w:val="VerbatimChar"/>
        </w:rPr>
        <w:t xml:space="preserve">  DENY: Any → DB-Servers (unauthenticated ports)</w:t>
      </w:r>
      <w:r>
        <w:br/>
      </w:r>
      <w:r>
        <w:br/>
      </w:r>
      <w:r>
        <w:rPr>
          <w:rStyle w:val="VerbatimChar"/>
        </w:rPr>
        <w:t xml:space="preserve">ALLOW policies for authenticated paths only:</w:t>
      </w:r>
      <w:r>
        <w:br/>
      </w:r>
      <w:r>
        <w:rPr>
          <w:rStyle w:val="VerbatimChar"/>
        </w:rPr>
        <w:t xml:space="preserve">  ALLOW: App-Servers → LDAP-Server (port 636)    # LDAPS only</w:t>
      </w:r>
      <w:r>
        <w:br/>
      </w:r>
      <w:r>
        <w:rPr>
          <w:rStyle w:val="VerbatimChar"/>
        </w:rPr>
        <w:t xml:space="preserve">  ALLOW: Workstations → KDC (port 88)            # Kerberos</w:t>
      </w:r>
      <w:r>
        <w:br/>
      </w:r>
      <w:r>
        <w:rPr>
          <w:rStyle w:val="VerbatimChar"/>
        </w:rPr>
        <w:t xml:space="preserve">  ALLOW: Jump-Host → Sensitive-Scope (port 22)   # SSH only</w:t>
      </w:r>
    </w:p>
    <w:p>
      <w:pPr>
        <w:pStyle w:val="FirstParagraph"/>
      </w:pPr>
      <w:r>
        <w:rPr>
          <w:b/>
          <w:bCs/>
        </w:rPr>
        <w:t xml:space="preserve">Complementary Controls Required for Full Tenet 6:</w:t>
      </w:r>
      <w:r>
        <w:t xml:space="preserve"> </w:t>
      </w:r>
      <w:r>
        <w:t xml:space="preserve">| Capability | CSW | Complementary Tool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Network path to auth systems | ✅ CSW enforces | — |</w:t>
      </w:r>
      <w:r>
        <w:t xml:space="preserve"> </w:t>
      </w:r>
      <w:r>
        <w:t xml:space="preserve">| Identity Provider (IdP) authentication | ❌ Not CSW | Okta, Azure AD, Cisco ISE |</w:t>
      </w:r>
      <w:r>
        <w:t xml:space="preserve"> </w:t>
      </w:r>
      <w:r>
        <w:t xml:space="preserve">| MFA enforcement | ❌ Not CSW | Duo Security, Azure MFA |</w:t>
      </w:r>
      <w:r>
        <w:t xml:space="preserve"> </w:t>
      </w:r>
      <w:r>
        <w:t xml:space="preserve">| Continuous session re-evaluation | ❌ Not CSW | Cisco Secure Access (ZTNA) |</w:t>
      </w:r>
      <w:r>
        <w:t xml:space="preserve"> </w:t>
      </w:r>
      <w:r>
        <w:t xml:space="preserve">| Device certificate validation | ❌ Not CSW | Cisco ISE, Intune |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LDAPS enforcement log, unauthenticated access alert log, auth path policy workspace</w:t>
      </w:r>
    </w:p>
    <w:p>
      <w:r>
        <w:pict>
          <v:rect style="width:0;height:1.5pt" o:hralign="center" o:hrstd="t" o:hr="t"/>
        </w:pict>
      </w:r>
    </w:p>
    <w:bookmarkEnd w:id="27"/>
    <w:bookmarkStart w:id="28" w:name="X9c6c3ff3f24b3d889e179472e0e9b3587d20f9d"/>
    <w:p>
      <w:pPr>
        <w:pStyle w:val="Heading3"/>
      </w:pPr>
      <w:r>
        <w:t xml:space="preserve">Tenet 7 — Enterprise Collects Information and Uses It to Improve Security Posture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Telemetry collection is not just for alerting — it must feed a continuous improvement loop that evolves the security posture over time.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BodyText"/>
      </w:pPr>
      <w:r>
        <w:rPr>
          <w:b/>
          <w:bCs/>
        </w:rPr>
        <w:t xml:space="preserve">7a. SIEM Integration</w:t>
      </w:r>
    </w:p>
    <w:p>
      <w:pPr>
        <w:pStyle w:val="SourceCode"/>
      </w:pPr>
      <w:r>
        <w:rPr>
          <w:rStyle w:val="VerbatimChar"/>
        </w:rPr>
        <w:t xml:space="preserve">CSW UI → Platform → External Systems</w:t>
      </w:r>
      <w:r>
        <w:br/>
      </w:r>
      <w:r>
        <w:rPr>
          <w:rStyle w:val="VerbatimChar"/>
        </w:rPr>
        <w:t xml:space="preserve">  → Kafka: Real-time event streaming (recommended)</w:t>
      </w:r>
      <w:r>
        <w:br/>
      </w:r>
      <w:r>
        <w:rPr>
          <w:rStyle w:val="VerbatimChar"/>
        </w:rPr>
        <w:t xml:space="preserve">  → Syslog: UDP/TCP syslog to SIEM</w:t>
      </w:r>
      <w:r>
        <w:br/>
      </w:r>
      <w:r>
        <w:rPr>
          <w:rStyle w:val="VerbatimChar"/>
        </w:rPr>
        <w:t xml:space="preserve">  → Data types: Flows, alerts, vulnerabilities, process events</w:t>
      </w:r>
      <w:r>
        <w:br/>
      </w:r>
      <w:r>
        <w:br/>
      </w:r>
      <w:r>
        <w:rPr>
          <w:rStyle w:val="VerbatimChar"/>
        </w:rPr>
        <w:t xml:space="preserve">SIEM use cases from CSW data:</w:t>
      </w:r>
      <w:r>
        <w:br/>
      </w:r>
      <w:r>
        <w:rPr>
          <w:rStyle w:val="VerbatimChar"/>
        </w:rPr>
        <w:t xml:space="preserve">  → Threat hunting: Cross-correlate CSW flows with EDR alerts</w:t>
      </w:r>
      <w:r>
        <w:br/>
      </w:r>
      <w:r>
        <w:rPr>
          <w:rStyle w:val="VerbatimChar"/>
        </w:rPr>
        <w:t xml:space="preserve">  → Compliance reporting: Automated evidence package generation</w:t>
      </w:r>
      <w:r>
        <w:br/>
      </w:r>
      <w:r>
        <w:rPr>
          <w:rStyle w:val="VerbatimChar"/>
        </w:rPr>
        <w:t xml:space="preserve">  → Trend analysis: Vulnerability posture over time</w:t>
      </w:r>
      <w:r>
        <w:br/>
      </w:r>
      <w:r>
        <w:rPr>
          <w:rStyle w:val="VerbatimChar"/>
        </w:rPr>
        <w:t xml:space="preserve">  → Anomaly correlation: CSW behavioral + identity + endpoint</w:t>
      </w:r>
    </w:p>
    <w:p>
      <w:pPr>
        <w:pStyle w:val="FirstParagraph"/>
      </w:pPr>
      <w:r>
        <w:rPr>
          <w:b/>
          <w:bCs/>
        </w:rPr>
        <w:t xml:space="preserve">7b. ADM Continuous Improvement Loop</w:t>
      </w:r>
    </w:p>
    <w:p>
      <w:pPr>
        <w:pStyle w:val="SourceCode"/>
      </w:pPr>
      <w:r>
        <w:rPr>
          <w:rStyle w:val="VerbatimChar"/>
        </w:rPr>
        <w:t xml:space="preserve">Quarterly cycle:</w:t>
      </w:r>
      <w:r>
        <w:br/>
      </w:r>
      <w:r>
        <w:rPr>
          <w:rStyle w:val="VerbatimChar"/>
        </w:rPr>
        <w:t xml:space="preserve">  Month 1: Re-run ADM on all scopes</w:t>
      </w:r>
      <w:r>
        <w:br/>
      </w:r>
      <w:r>
        <w:rPr>
          <w:rStyle w:val="VerbatimChar"/>
        </w:rPr>
        <w:t xml:space="preserve">  Month 2: Delta analysis — new flows vs. previous ADM</w:t>
      </w:r>
      <w:r>
        <w:br/>
      </w:r>
      <w:r>
        <w:rPr>
          <w:rStyle w:val="VerbatimChar"/>
        </w:rPr>
        <w:t xml:space="preserve">            → New flows: Review and approve or block</w:t>
      </w:r>
      <w:r>
        <w:br/>
      </w:r>
      <w:r>
        <w:rPr>
          <w:rStyle w:val="VerbatimChar"/>
        </w:rPr>
        <w:t xml:space="preserve">            → Removed flows: Clean up stale policy rules</w:t>
      </w:r>
      <w:r>
        <w:br/>
      </w:r>
      <w:r>
        <w:rPr>
          <w:rStyle w:val="VerbatimChar"/>
        </w:rPr>
        <w:t xml:space="preserve">            → New attack surface: Tighten policy</w:t>
      </w:r>
      <w:r>
        <w:br/>
      </w:r>
      <w:r>
        <w:rPr>
          <w:rStyle w:val="VerbatimChar"/>
        </w:rPr>
        <w:t xml:space="preserve">  Month 3: Update policy workspace to reflect ADM delta</w:t>
      </w:r>
      <w:r>
        <w:br/>
      </w:r>
      <w:r>
        <w:rPr>
          <w:rStyle w:val="VerbatimChar"/>
        </w:rPr>
        <w:t xml:space="preserve">            → Retire stale rules</w:t>
      </w:r>
      <w:r>
        <w:br/>
      </w:r>
      <w:r>
        <w:rPr>
          <w:rStyle w:val="VerbatimChar"/>
        </w:rPr>
        <w:t xml:space="preserve">            → Add newly documented flows</w:t>
      </w:r>
      <w:r>
        <w:br/>
      </w:r>
      <w:r>
        <w:rPr>
          <w:rStyle w:val="VerbatimChar"/>
        </w:rPr>
        <w:t xml:space="preserve">            → Document changes for audit trail</w:t>
      </w:r>
    </w:p>
    <w:p>
      <w:pPr>
        <w:pStyle w:val="FirstParagraph"/>
      </w:pPr>
      <w:r>
        <w:rPr>
          <w:b/>
          <w:bCs/>
        </w:rPr>
        <w:t xml:space="preserve">7c. Compliance Reporting Cadence</w:t>
      </w:r>
    </w:p>
    <w:p>
      <w:pPr>
        <w:pStyle w:val="SourceCode"/>
      </w:pPr>
      <w:r>
        <w:rPr>
          <w:rStyle w:val="VerbatimChar"/>
        </w:rPr>
        <w:t xml:space="preserve">Monthly:  Scope membership snapshot + policy change log</w:t>
      </w:r>
      <w:r>
        <w:br/>
      </w:r>
      <w:r>
        <w:rPr>
          <w:rStyle w:val="VerbatimChar"/>
        </w:rPr>
        <w:t xml:space="preserve">Quarterly: Vulnerability trend report + ADM delta + encryption compliance</w:t>
      </w:r>
      <w:r>
        <w:br/>
      </w:r>
      <w:r>
        <w:rPr>
          <w:rStyle w:val="VerbatimChar"/>
        </w:rPr>
        <w:t xml:space="preserve">Annual:   Full ZTA posture assessment + evidence package for auditors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SIEM integration config, ADM delta report (quarterly), compliance posture report (annual)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ba00baf38222a4ec54d82bd57a365d52a40b91"/>
    <w:p>
      <w:pPr>
        <w:pStyle w:val="Heading2"/>
      </w:pPr>
      <w:r>
        <w:t xml:space="preserve">3. NIST 800-207 Logical Components — CSW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800-207 Component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Engine (PE)</w:t>
            </w:r>
          </w:p>
        </w:tc>
        <w:tc>
          <w:tcPr/>
          <w:p>
            <w:pPr>
              <w:pStyle w:val="Compact"/>
            </w:pPr>
            <w:r>
              <w:t xml:space="preserve">CSW policy engine — evaluates flows against allowlist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Administrator (PA)</w:t>
            </w:r>
          </w:p>
        </w:tc>
        <w:tc>
          <w:tcPr/>
          <w:p>
            <w:pPr>
              <w:pStyle w:val="Compact"/>
            </w:pPr>
            <w:r>
              <w:t xml:space="preserve">CSW policy workspace — authors and deploys 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Point (PEP)</w:t>
            </w:r>
          </w:p>
        </w:tc>
        <w:tc>
          <w:tcPr/>
          <w:p>
            <w:pPr>
              <w:pStyle w:val="Compact"/>
            </w:pPr>
            <w:r>
              <w:t xml:space="preserve">CSW software sensor — enforces allow/deny per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CDM System (asset posture)</w:t>
            </w:r>
          </w:p>
        </w:tc>
        <w:tc>
          <w:tcPr/>
          <w:p>
            <w:pPr>
              <w:pStyle w:val="Compact"/>
            </w:pPr>
            <w:r>
              <w:t xml:space="preserve">CSW vulnerability + process telemetry → SIEM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CSW → Kafka/Syslog → enterprise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Management</w:t>
            </w:r>
          </w:p>
        </w:tc>
        <w:tc>
          <w:tcPr/>
          <w:p>
            <w:pPr>
              <w:pStyle w:val="Compact"/>
            </w:pPr>
            <w:r>
              <w:t xml:space="preserve">CSW enforces auth path; IdP provides identity (complementary)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CSW enforces encrypted path; PKI manages certificates (complementary)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c6a348cba5d30a1240d3342f4394c2cd254ff3c"/>
    <w:p>
      <w:pPr>
        <w:pStyle w:val="Heading2"/>
      </w:pPr>
      <w:r>
        <w:t xml:space="preserve">4. Deployment Models — CSW Role</w:t>
      </w:r>
    </w:p>
    <w:bookmarkStart w:id="31" w:name="agent-based-zta-primary-csw-model"/>
    <w:p>
      <w:pPr>
        <w:pStyle w:val="Heading3"/>
      </w:pPr>
      <w:r>
        <w:t xml:space="preserve">Agent-Based ZTA (Primary CSW Model)</w:t>
      </w:r>
    </w:p>
    <w:p>
      <w:pPr>
        <w:pStyle w:val="FirstParagraph"/>
      </w:pPr>
      <w:r>
        <w:t xml:space="preserve">CSW software sensor on each workload = PEP at the workload level. Full visibility, process context, and enforcement. Best coverage of all seven tenets.</w:t>
      </w:r>
    </w:p>
    <w:bookmarkEnd w:id="31"/>
    <w:bookmarkStart w:id="32" w:name="enclave-based-zta"/>
    <w:p>
      <w:pPr>
        <w:pStyle w:val="Heading3"/>
      </w:pPr>
      <w:r>
        <w:t xml:space="preserve">Enclave-Based ZTA</w:t>
      </w:r>
    </w:p>
    <w:p>
      <w:pPr>
        <w:pStyle w:val="FirstParagraph"/>
      </w:pPr>
      <w:r>
        <w:t xml:space="preserve">CSW eliminates implicit intra-enclave trust. ADM validates every intra-enclave flow. Micro-segmentation enforces workload-level policy within the enclave. Prevents lateral movement that enclave-gateway-only models miss.</w:t>
      </w:r>
    </w:p>
    <w:bookmarkEnd w:id="32"/>
    <w:bookmarkStart w:id="33" w:name="resource-portal-based-zta"/>
    <w:p>
      <w:pPr>
        <w:pStyle w:val="Heading3"/>
      </w:pPr>
      <w:r>
        <w:t xml:space="preserve">Resource Portal-Based ZTA</w:t>
      </w:r>
    </w:p>
    <w:p>
      <w:pPr>
        <w:pStyle w:val="FirstParagraph"/>
      </w:pPr>
      <w:r>
        <w:t xml:space="preserve">CSW protects backend resources behind the portal. Enforces that ONLY the portal IP/workload can reach backend resources. Detects any direct-access bypass of the portal path — a critical security gap in portal-only deployments.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176e1fadfc361af4c648afae0181988fb37fdb"/>
    <w:p>
      <w:pPr>
        <w:pStyle w:val="Heading2"/>
      </w:pPr>
      <w:r>
        <w:t xml:space="preserve">5. Integration with Cisco Zero Trust Portfolio</w:t>
      </w:r>
    </w:p>
    <w:p>
      <w:pPr>
        <w:pStyle w:val="FirstParagraph"/>
      </w:pPr>
      <w:r>
        <w:t xml:space="preserve">For full NIST 800-207 coverage, CSW operates alongside: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Cisco Product</w:t>
            </w:r>
          </w:p>
        </w:tc>
        <w:tc>
          <w:tcPr/>
          <w:p>
            <w:pPr>
              <w:pStyle w:val="Compact"/>
            </w:pPr>
            <w:r>
              <w:t xml:space="preserve">800-207 Role</w:t>
            </w:r>
          </w:p>
        </w:tc>
        <w:tc>
          <w:tcPr/>
          <w:p>
            <w:pPr>
              <w:pStyle w:val="Compact"/>
            </w:pPr>
            <w:r>
              <w:t xml:space="preserve">Tenets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Workload (CSW)</w:t>
            </w:r>
          </w:p>
        </w:tc>
        <w:tc>
          <w:tcPr/>
          <w:p>
            <w:pPr>
              <w:pStyle w:val="Compact"/>
            </w:pPr>
            <w:r>
              <w:t xml:space="preserve">Workload PEP, posture monitoring, east-west enforcement</w:t>
            </w:r>
          </w:p>
        </w:tc>
        <w:tc>
          <w:tcPr/>
          <w:p>
            <w:pPr>
              <w:pStyle w:val="Compact"/>
            </w:pPr>
            <w:r>
              <w:t xml:space="preserve">1, 2, 3, 4, 5, 7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Access (SSE/ZTNA)</w:t>
            </w:r>
          </w:p>
        </w:tc>
        <w:tc>
          <w:tcPr/>
          <w:p>
            <w:pPr>
              <w:pStyle w:val="Compact"/>
            </w:pPr>
            <w:r>
              <w:t xml:space="preserve">User-to-application PEP, identity-aware access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ISE</w:t>
            </w:r>
          </w:p>
        </w:tc>
        <w:tc>
          <w:tcPr/>
          <w:p>
            <w:pPr>
              <w:pStyle w:val="Compact"/>
            </w:pPr>
            <w:r>
              <w:t xml:space="preserve">Device authentication, NAC, certificate management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XDR</w:t>
            </w:r>
          </w:p>
        </w:tc>
        <w:tc>
          <w:tcPr/>
          <w:p>
            <w:pPr>
              <w:pStyle w:val="Compact"/>
            </w:pPr>
            <w:r>
              <w:t xml:space="preserve">Cross-domain telemetry correlation, threat detection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Multicloud Defense</w:t>
            </w:r>
          </w:p>
        </w:tc>
        <w:tc>
          <w:tcPr/>
          <w:p>
            <w:pPr>
              <w:pStyle w:val="Compact"/>
            </w:pPr>
            <w:r>
              <w:t xml:space="preserve">North-south enforcement, cloud gateway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8dc6f68d556c73d396068aec91a84d8b950681b"/>
    <w:p>
      <w:pPr>
        <w:pStyle w:val="Heading2"/>
      </w:pPr>
      <w:r>
        <w:t xml:space="preserve">6. Evidence Package for 800-207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CSW Evidence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inventory completeness</w:t>
            </w:r>
          </w:p>
        </w:tc>
        <w:tc>
          <w:tcPr/>
          <w:p>
            <w:pPr>
              <w:pStyle w:val="Compact"/>
            </w:pPr>
            <w:r>
              <w:t xml:space="preserve">Inventory export + ADM resource map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security</w:t>
            </w:r>
          </w:p>
        </w:tc>
        <w:tc>
          <w:tcPr/>
          <w:p>
            <w:pPr>
              <w:pStyle w:val="Compact"/>
            </w:pPr>
            <w:r>
              <w:t xml:space="preserve">Unencrypted flow report (before/after)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Per-resource access control</w:t>
            </w:r>
          </w:p>
        </w:tc>
        <w:tc>
          <w:tcPr/>
          <w:p>
            <w:pPr>
              <w:pStyle w:val="Compact"/>
            </w:pPr>
            <w:r>
              <w:t xml:space="preserve">Policy workspace + flow log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policy capability</w:t>
            </w:r>
          </w:p>
        </w:tc>
        <w:tc>
          <w:tcPr/>
          <w:p>
            <w:pPr>
              <w:pStyle w:val="Compact"/>
            </w:pPr>
            <w:r>
              <w:t xml:space="preserve">API audit log + label-change trace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posture monitoring</w:t>
            </w:r>
          </w:p>
        </w:tc>
        <w:tc>
          <w:tcPr/>
          <w:p>
            <w:pPr>
              <w:pStyle w:val="Compact"/>
            </w:pPr>
            <w:r>
              <w:t xml:space="preserve">Vulnerability trend + process anomaly log</w:t>
            </w:r>
          </w:p>
        </w:tc>
        <w:tc>
          <w:tcPr/>
          <w:p>
            <w:pPr>
              <w:pStyle w:val="Compact"/>
            </w:pPr>
            <w:r>
              <w:t xml:space="preserve">CSV/PDF</w:t>
            </w:r>
          </w:p>
        </w:tc>
        <w:tc>
          <w:tcPr/>
          <w:p>
            <w:pPr>
              <w:pStyle w:val="Compact"/>
            </w:pPr>
            <w:r>
              <w:t xml:space="preserve">Weekly/Real-time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enforcement</w:t>
            </w:r>
          </w:p>
        </w:tc>
        <w:tc>
          <w:tcPr/>
          <w:p>
            <w:pPr>
              <w:pStyle w:val="Compact"/>
            </w:pPr>
            <w:r>
              <w:t xml:space="preserve">LDAPS policy log + unauthenticated access alerts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</w:pPr>
            <w:r>
              <w:t xml:space="preserve">ADM delta report + SIEM feed config</w:t>
            </w:r>
          </w:p>
        </w:tc>
        <w:tc>
          <w:tcPr/>
          <w:p>
            <w:pPr>
              <w:pStyle w:val="Compact"/>
            </w:pPr>
            <w:r>
              <w:t xml:space="preserve">PDF/Config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NIST SP 800-207A — PDP/PEP/PA/PIP</w:t>
        </w:r>
      </w:hyperlink>
      <w:r>
        <w:t xml:space="preserve"> </w:t>
      </w:r>
      <w:r>
        <w:t xml:space="preserve">— the logical-component view that operationalises the seven tenets.</w:t>
      </w:r>
    </w:p>
    <w:p>
      <w:pPr>
        <w:pStyle w:val="Compact"/>
        <w:numPr>
          <w:ilvl w:val="0"/>
          <w:numId w:val="1020"/>
        </w:numPr>
      </w:pPr>
      <w:hyperlink r:id="rId38">
        <w:r>
          <w:rPr>
            <w:rStyle w:val="Hyperlink"/>
          </w:rPr>
          <w:t xml:space="preserve">CISA Zero Trust Maturity Model v2.0</w:t>
        </w:r>
      </w:hyperlink>
      <w:r>
        <w:t xml:space="preserve"> </w:t>
      </w:r>
      <w:r>
        <w:t xml:space="preserve">— the maturity-tier view that plots progress against the same architecture.</w:t>
      </w:r>
    </w:p>
    <w:p>
      <w:pPr>
        <w:pStyle w:val="Compact"/>
        <w:numPr>
          <w:ilvl w:val="0"/>
          <w:numId w:val="1020"/>
        </w:numPr>
      </w:pPr>
      <w:hyperlink r:id="rId39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the federal control catalogue most often paired with 800-207 in agency programmes.</w:t>
      </w:r>
    </w:p>
    <w:p>
      <w:pPr>
        <w:pStyle w:val="Compact"/>
        <w:numPr>
          <w:ilvl w:val="0"/>
          <w:numId w:val="1020"/>
        </w:numPr>
      </w:pPr>
      <w:hyperlink r:id="rId40">
        <w:r>
          <w:rPr>
            <w:rStyle w:val="Hyperlink"/>
          </w:rPr>
          <w:t xml:space="preserve">DORA (EU 2022/2554)</w:t>
        </w:r>
      </w:hyperlink>
      <w:r>
        <w:t xml:space="preserve"> </w:t>
      </w:r>
      <w:r>
        <w:t xml:space="preserve">— DORA's segmentation and continuous-monitoring expectations sit on the same ZTA foundation.</w:t>
      </w:r>
    </w:p>
    <w:p>
      <w:pPr>
        <w:pStyle w:val="Compact"/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 for EU essential/important entities, ZTA principles directly inform Article 21(2)(a), (b), (j).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Customer-facing guidance. Tailor examples and scope notes to your environment before formal audit submission.</w:t>
      </w:r>
      <w:r>
        <w:t xml:space="preserve"> </w:t>
      </w:r>
      <w:r>
        <w:rPr>
          <w:i/>
          <w:iCs/>
        </w:rPr>
        <w:t xml:space="preserve">For full NIST 800-207 Zero Trust Architecture coverage, pair CSW with complementary identity, access, and detection controls (for example: Cisco Secure Access, Cisco ISE, and Cisco XDR).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CISA-ZeroTrust/CSW-CISA-ZTMM-Technical-Runbook.md" TargetMode="External" /><Relationship Type="http://schemas.openxmlformats.org/officeDocument/2006/relationships/hyperlink" Id="rId40" Target="../DORA/CSW-DORA-Technical-Runbook.md" TargetMode="External" /><Relationship Type="http://schemas.openxmlformats.org/officeDocument/2006/relationships/hyperlink" Id="rId41" Target="../NIS2/CSW-NIS2-Technical-Runbook.md" TargetMode="External" /><Relationship Type="http://schemas.openxmlformats.org/officeDocument/2006/relationships/hyperlink" Id="rId37" Target="../NIST-800-207A/CSW-NIST-800-207A-Technical-Runbook.md" TargetMode="External" /><Relationship Type="http://schemas.openxmlformats.org/officeDocument/2006/relationships/hyperlink" Id="rId39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CISA-ZeroTrust/CSW-CISA-ZTMM-Technical-Runbook.md" TargetMode="External" /><Relationship Type="http://schemas.openxmlformats.org/officeDocument/2006/relationships/hyperlink" Id="rId40" Target="../DORA/CSW-DORA-Technical-Runbook.md" TargetMode="External" /><Relationship Type="http://schemas.openxmlformats.org/officeDocument/2006/relationships/hyperlink" Id="rId41" Target="../NIS2/CSW-NIS2-Technical-Runbook.md" TargetMode="External" /><Relationship Type="http://schemas.openxmlformats.org/officeDocument/2006/relationships/hyperlink" Id="rId37" Target="../NIST-800-207A/CSW-NIST-800-207A-Technical-Runbook.md" TargetMode="External" /><Relationship Type="http://schemas.openxmlformats.org/officeDocument/2006/relationships/hyperlink" Id="rId39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2026-05-29T22:01:22Z</dcterms:created>
  <dcterms:modified xsi:type="dcterms:W3CDTF">2026-05-29T22:01:22Z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