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948b4982d14e1ca67913c3c4545ff7893567352"/>
    <w:p>
      <w:pPr>
        <w:pStyle w:val="Heading1"/>
      </w:pPr>
      <w:r>
        <w:t xml:space="preserve">Cisco Secure Workload — NIST 800-53 Rev 5 Compliance Framework</w:t>
      </w:r>
    </w:p>
    <w:bookmarkStart w:id="9" w:name="X77bf2b843498ca01578b6e439fab16921e26894"/>
    <w:p>
      <w:pPr>
        <w:pStyle w:val="Heading2"/>
      </w:pPr>
      <w:r>
        <w:t xml:space="preserve">Technical Runbook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800-53 Rev 5 (CSW-Relevant Control Families)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agencies (civilian and DoD), FedRAMP</w:t>
      </w:r>
      <w:r>
        <w:t xml:space="preserve"> </w:t>
      </w:r>
      <w:r>
        <w:t xml:space="preserve">applicants, and enterprises that have adopted 800-53 as a security</w:t>
      </w:r>
      <w:r>
        <w:t xml:space="preserve"> </w:t>
      </w:r>
      <w:r>
        <w:t xml:space="preserve">overlay, plus the assessors supporting them.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system's impact level (LOW / MODERATE / HIGH), which AC, AU,</w:t>
      </w:r>
      <w:r>
        <w:rPr>
          <w:i/>
          <w:iCs/>
        </w:rPr>
        <w:t xml:space="preserve"> </w:t>
      </w:r>
      <w:r>
        <w:rPr>
          <w:i/>
          <w:iCs/>
        </w:rPr>
        <w:t xml:space="preserve">CM, and SC controls become continuous monitoring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periodic-assessment items?</w:t>
      </w:r>
      <w:r>
        <w:t xml:space="preserve"> </w:t>
      </w:r>
      <w:r>
        <w:t xml:space="preserve">(CA-7)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my POA&amp;M be partially burned down through automated CSW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rather than manual remediation tracking?</w:t>
      </w:r>
      <w:r>
        <w:t xml:space="preserve"> </w:t>
      </w:r>
      <w:r>
        <w:t xml:space="preserve">(CA-5, RA-5)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SC-7 boundary protection, what is my evidence at the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tier — distinct from perimeter firewalls and CSPM?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SI-4 system monitoring, can I show end-to-end visibility from</w:t>
      </w:r>
      <w:r>
        <w:rPr>
          <w:i/>
          <w:iCs/>
        </w:rPr>
        <w:t xml:space="preserve"> </w:t>
      </w:r>
      <w:r>
        <w:rPr>
          <w:i/>
          <w:iCs/>
        </w:rPr>
        <w:t xml:space="preserve">process initiation through network conversation to data store?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my assessor wants machine-readable artifacts (OSCAL-adjacent),</w:t>
      </w:r>
      <w:r>
        <w:rPr>
          <w:i/>
          <w:iCs/>
        </w:rPr>
        <w:t xml:space="preserve"> </w:t>
      </w:r>
      <w:r>
        <w:rPr>
          <w:i/>
          <w:iCs/>
        </w:rPr>
        <w:t xml:space="preserve">what does CSW produce vs. what still requires narrative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system's FIPS 199 categorization, a current</w:t>
      </w:r>
      <w:r>
        <w:t xml:space="preserve"> </w:t>
      </w:r>
      <w:r>
        <w:t xml:space="preserve">or draft System Security Plan (SSP), your control overlay if any</w:t>
      </w:r>
      <w:r>
        <w:t xml:space="preserve"> </w:t>
      </w:r>
      <w:r>
        <w:t xml:space="preserve">(e.g., HIGH baseline, FedRAMP Mod), and your assessor's evidence</w:t>
      </w:r>
      <w:r>
        <w:t xml:space="preserve"> </w:t>
      </w:r>
      <w:r>
        <w:t xml:space="preserve">format expectations.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walks the seven control families CSW</w:t>
      </w:r>
      <w:r>
        <w:t xml:space="preserve"> </w:t>
      </w:r>
      <w:r>
        <w:t xml:space="preserve">addresses most directly; section 3 maps coverage by impact level; go</w:t>
      </w:r>
      <w:r>
        <w:t xml:space="preserve"> </w:t>
      </w:r>
      <w:r>
        <w:t xml:space="preserve">to section 4 if you're building the evidence package now.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AC-4 information-flow enforcement with exportable policy artefacts</w:t>
      </w:r>
    </w:p>
    <w:p>
      <w:pPr>
        <w:pStyle w:val="Compact"/>
        <w:numPr>
          <w:ilvl w:val="0"/>
          <w:numId w:val="1018"/>
        </w:numPr>
      </w:pPr>
      <w:r>
        <w:t xml:space="preserve">CA-7 continuous monitoring via inventory, flows, and violations</w:t>
      </w:r>
    </w:p>
    <w:p>
      <w:pPr>
        <w:pStyle w:val="Compact"/>
        <w:numPr>
          <w:ilvl w:val="0"/>
          <w:numId w:val="1018"/>
        </w:numPr>
      </w:pPr>
      <w:r>
        <w:t xml:space="preserve">CM-2/3/8 baseline and change tracking through ADM drift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800-53 Rev 5 provides a comprehensive catalog of security and privacy controls for federal information systems. CSW can support technical evidence for selected controls across seven key families:</w:t>
      </w:r>
      <w:r>
        <w:t xml:space="preserve"> </w:t>
      </w:r>
      <w:r>
        <w:rPr>
          <w:b/>
          <w:bCs/>
        </w:rPr>
        <w:t xml:space="preserve">AC</w:t>
      </w:r>
      <w:r>
        <w:t xml:space="preserve"> </w:t>
      </w:r>
      <w:r>
        <w:t xml:space="preserve">(Access Control),</w:t>
      </w:r>
      <w:r>
        <w:t xml:space="preserve"> </w:t>
      </w:r>
      <w:r>
        <w:rPr>
          <w:b/>
          <w:bCs/>
        </w:rPr>
        <w:t xml:space="preserve">AU</w:t>
      </w:r>
      <w:r>
        <w:t xml:space="preserve"> </w:t>
      </w:r>
      <w:r>
        <w:t xml:space="preserve">(Audit &amp; Accountability),</w:t>
      </w:r>
      <w:r>
        <w:t xml:space="preserve"> </w:t>
      </w:r>
      <w:r>
        <w:rPr>
          <w:b/>
          <w:bCs/>
        </w:rPr>
        <w:t xml:space="preserve">CM</w:t>
      </w:r>
      <w:r>
        <w:t xml:space="preserve"> </w:t>
      </w:r>
      <w:r>
        <w:t xml:space="preserve">(Configuration Management),</w:t>
      </w:r>
      <w:r>
        <w:t xml:space="preserve"> </w:t>
      </w:r>
      <w:r>
        <w:rPr>
          <w:b/>
          <w:bCs/>
        </w:rPr>
        <w:t xml:space="preserve">IR</w:t>
      </w:r>
      <w:r>
        <w:t xml:space="preserve"> </w:t>
      </w:r>
      <w:r>
        <w:t xml:space="preserve">(Incident Response),</w:t>
      </w:r>
      <w: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(Risk Assessment),</w:t>
      </w:r>
      <w:r>
        <w:t xml:space="preserve"> </w:t>
      </w:r>
      <w:r>
        <w:rPr>
          <w:b/>
          <w:bCs/>
        </w:rPr>
        <w:t xml:space="preserve">SC</w:t>
      </w:r>
      <w:r>
        <w:t xml:space="preserve"> </w:t>
      </w:r>
      <w:r>
        <w:t xml:space="preserve">(System &amp; Communications Protection), and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(System &amp; Information Integrity).</w:t>
      </w:r>
    </w:p>
    <w:p>
      <w:r>
        <w:pict>
          <v:rect style="width:0;height:1.5pt" o:hralign="center" o:hrstd="t" o:hr="t"/>
        </w:pict>
      </w:r>
    </w:p>
    <w:bookmarkEnd w:id="21"/>
    <w:bookmarkStart w:id="29" w:name="Xd6672b14b6050196751770f0cbb276722e189f1"/>
    <w:p>
      <w:pPr>
        <w:pStyle w:val="Heading2"/>
      </w:pPr>
      <w:r>
        <w:t xml:space="preserve">2. Control Family Mapping</w:t>
      </w:r>
    </w:p>
    <w:bookmarkStart w:id="22" w:name="ac--access-control"/>
    <w:p>
      <w:pPr>
        <w:pStyle w:val="Heading3"/>
      </w:pPr>
      <w:r>
        <w:t xml:space="preserve">AC —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Micro-segmentation enforces allowlist policies at workload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</w:t>
            </w:r>
          </w:p>
        </w:tc>
        <w:tc>
          <w:tcPr/>
          <w:p>
            <w:pPr>
              <w:pStyle w:val="Compact"/>
            </w:pPr>
            <w:r>
              <w:t xml:space="preserve">ADM maps observed flows within CSW coverage; policy blocks unauthorized paths where enforcement is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Workload-scoped policies grant minimum required network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</w:t>
            </w:r>
          </w:p>
        </w:tc>
        <w:tc>
          <w:tcPr/>
          <w:p>
            <w:pPr>
              <w:pStyle w:val="Compact"/>
            </w:pPr>
            <w:r>
              <w:t xml:space="preserve">Remote Access</w:t>
            </w:r>
          </w:p>
        </w:tc>
        <w:tc>
          <w:tcPr/>
          <w:p>
            <w:pPr>
              <w:pStyle w:val="Compact"/>
            </w:pPr>
            <w:r>
              <w:t xml:space="preserve">Jump-host enforcement; remote admin paths explicitly defined and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AC-20</w:t>
            </w:r>
          </w:p>
        </w:tc>
        <w:tc>
          <w:tcPr/>
          <w:p>
            <w:pPr>
              <w:pStyle w:val="Compact"/>
            </w:pPr>
            <w:r>
              <w:t xml:space="preserve">Use of External Systems</w:t>
            </w:r>
          </w:p>
        </w:tc>
        <w:tc>
          <w:tcPr/>
          <w:p>
            <w:pPr>
              <w:pStyle w:val="Compact"/>
            </w:pPr>
            <w:r>
              <w:t xml:space="preserve">External partner scope with restricted, audited access paths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Policy type: Allowlist (default deny)</w:t>
      </w:r>
      <w:r>
        <w:br/>
      </w:r>
      <w:r>
        <w:rPr>
          <w:rStyle w:val="VerbatimChar"/>
        </w:rPr>
        <w:t xml:space="preserve">  → Scope: target workload group</w:t>
      </w:r>
      <w:r>
        <w:br/>
      </w:r>
      <w:r>
        <w:rPr>
          <w:rStyle w:val="VerbatimChar"/>
        </w:rPr>
        <w:t xml:space="preserve">  → Document each allowed flow with business justification</w:t>
      </w:r>
      <w:r>
        <w:br/>
      </w:r>
      <w:r>
        <w:rPr>
          <w:rStyle w:val="VerbatimChar"/>
        </w:rPr>
        <w:t xml:space="preserve">  → Export policy for AC-3/AC-4 control evidence</w:t>
      </w:r>
    </w:p>
    <w:bookmarkEnd w:id="22"/>
    <w:bookmarkStart w:id="23" w:name="au--audit--accountability"/>
    <w:p>
      <w:pPr>
        <w:pStyle w:val="Heading3"/>
      </w:pPr>
      <w:r>
        <w:t xml:space="preserve">AU — Audit &amp; Accountability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Full network flow + process telemetry on all monitored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AU-3</w:t>
            </w:r>
          </w:p>
        </w:tc>
        <w:tc>
          <w:tcPr/>
          <w:p>
            <w:pPr>
              <w:pStyle w:val="Compact"/>
            </w:pPr>
            <w:r>
              <w:t xml:space="preserve">Content of Audit Records</w:t>
            </w:r>
          </w:p>
        </w:tc>
        <w:tc>
          <w:tcPr/>
          <w:p>
            <w:pPr>
              <w:pStyle w:val="Compact"/>
            </w:pPr>
            <w:r>
              <w:t xml:space="preserve">5-tuple flows + process name + user context 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AU-6</w:t>
            </w:r>
          </w:p>
        </w:tc>
        <w:tc>
          <w:tcPr/>
          <w:p>
            <w:pPr>
              <w:pStyle w:val="Compact"/>
            </w:pPr>
            <w:r>
              <w:t xml:space="preserve">Audit Record Review</w:t>
            </w:r>
          </w:p>
        </w:tc>
        <w:tc>
          <w:tcPr/>
          <w:p>
            <w:pPr>
              <w:pStyle w:val="Compact"/>
            </w:pPr>
            <w:r>
              <w:t xml:space="preserve">Alerts export to SIEM for automated review;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AU-9</w:t>
            </w:r>
          </w:p>
        </w:tc>
        <w:tc>
          <w:tcPr/>
          <w:p>
            <w:pPr>
              <w:pStyle w:val="Compact"/>
            </w:pPr>
            <w:r>
              <w:t xml:space="preserve">Protection of Audit Information</w:t>
            </w:r>
          </w:p>
        </w:tc>
        <w:tc>
          <w:tcPr/>
          <w:p>
            <w:pPr>
              <w:pStyle w:val="Compact"/>
            </w:pPr>
            <w:r>
              <w:t xml:space="preserve">CSW telemetry stored in tamper-resistant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AU-12</w:t>
            </w:r>
          </w:p>
        </w:tc>
        <w:tc>
          <w:tcPr/>
          <w:p>
            <w:pPr>
              <w:pStyle w:val="Compact"/>
            </w:pPr>
            <w:r>
              <w:t xml:space="preserve">Audit Record Generation</w:t>
            </w:r>
          </w:p>
        </w:tc>
        <w:tc>
          <w:tcPr/>
          <w:p>
            <w:pPr>
              <w:pStyle w:val="Compact"/>
            </w:pPr>
            <w:r>
              <w:t xml:space="preserve">Continuous logging; configurable retention (recommend 3 years for federal)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 Content per AU-3:</w:t>
      </w:r>
    </w:p>
    <w:p>
      <w:pPr>
        <w:pStyle w:val="Compact"/>
        <w:numPr>
          <w:ilvl w:val="0"/>
          <w:numId w:val="1019"/>
        </w:numPr>
      </w:pPr>
      <w:r>
        <w:t xml:space="preserve">Source/destination IP and port</w:t>
      </w:r>
    </w:p>
    <w:p>
      <w:pPr>
        <w:pStyle w:val="Compact"/>
        <w:numPr>
          <w:ilvl w:val="0"/>
          <w:numId w:val="1019"/>
        </w:numPr>
      </w:pPr>
      <w:r>
        <w:t xml:space="preserve">Protocol and direction</w:t>
      </w:r>
    </w:p>
    <w:p>
      <w:pPr>
        <w:pStyle w:val="Compact"/>
        <w:numPr>
          <w:ilvl w:val="0"/>
          <w:numId w:val="1019"/>
        </w:numPr>
      </w:pPr>
      <w:r>
        <w:t xml:space="preserve">Process name and hash</w:t>
      </w:r>
    </w:p>
    <w:p>
      <w:pPr>
        <w:pStyle w:val="Compact"/>
        <w:numPr>
          <w:ilvl w:val="0"/>
          <w:numId w:val="1019"/>
        </w:numPr>
      </w:pPr>
      <w:r>
        <w:t xml:space="preserve">Parent process context</w:t>
      </w:r>
    </w:p>
    <w:p>
      <w:pPr>
        <w:pStyle w:val="Compact"/>
        <w:numPr>
          <w:ilvl w:val="0"/>
          <w:numId w:val="1019"/>
        </w:numPr>
      </w:pPr>
      <w:r>
        <w:t xml:space="preserve">User context (where OS supports)</w:t>
      </w:r>
    </w:p>
    <w:p>
      <w:pPr>
        <w:pStyle w:val="Compact"/>
        <w:numPr>
          <w:ilvl w:val="0"/>
          <w:numId w:val="1019"/>
        </w:numPr>
      </w:pPr>
      <w:r>
        <w:t xml:space="preserve">Policy action (allow/deny/alert)</w:t>
      </w:r>
    </w:p>
    <w:p>
      <w:pPr>
        <w:pStyle w:val="Compact"/>
        <w:numPr>
          <w:ilvl w:val="0"/>
          <w:numId w:val="1019"/>
        </w:numPr>
      </w:pPr>
      <w:r>
        <w:t xml:space="preserve">Timestamp (UTC, microsecond precision)</w:t>
      </w:r>
    </w:p>
    <w:bookmarkEnd w:id="23"/>
    <w:bookmarkStart w:id="24" w:name="cm--configuration-management"/>
    <w:p>
      <w:pPr>
        <w:pStyle w:val="Heading3"/>
      </w:pPr>
      <w:r>
        <w:t xml:space="preserve">CM — Configuration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ADM establishes approved communication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Process monitoring detects configuration drift (new processes, new 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CM-7</w:t>
            </w:r>
          </w:p>
        </w:tc>
        <w:tc>
          <w:tcPr/>
          <w:p>
            <w:pPr>
              <w:pStyle w:val="Compact"/>
            </w:pPr>
            <w:r>
              <w:t xml:space="preserve">Least Functionality</w:t>
            </w:r>
          </w:p>
        </w:tc>
        <w:tc>
          <w:tcPr/>
          <w:p>
            <w:pPr>
              <w:pStyle w:val="Compact"/>
            </w:pPr>
            <w:r>
              <w:t xml:space="preserve">Block non-approved services via port-level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</w:pPr>
            <w:r>
              <w:t xml:space="preserve">CSW inventory provides a workload asset catalog for covered components; reconcile with the SSP / CMDB for full CM-8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Baseline Drift Detection:</w:t>
      </w:r>
    </w:p>
    <w:p>
      <w:pPr>
        <w:pStyle w:val="SourceCode"/>
      </w:pPr>
      <w:r>
        <w:rPr>
          <w:rStyle w:val="VerbatimChar"/>
        </w:rPr>
        <w:t xml:space="preserve">CSW UI → Investigate → ADM</w:t>
      </w:r>
      <w:r>
        <w:br/>
      </w:r>
      <w:r>
        <w:rPr>
          <w:rStyle w:val="VerbatimChar"/>
        </w:rPr>
        <w:t xml:space="preserve">  → Re-run ADM quarterly</w:t>
      </w:r>
      <w:r>
        <w:br/>
      </w:r>
      <w:r>
        <w:rPr>
          <w:rStyle w:val="VerbatimChar"/>
        </w:rPr>
        <w:t xml:space="preserve">  → Compare to previous baseline</w:t>
      </w:r>
      <w:r>
        <w:br/>
      </w:r>
      <w:r>
        <w:rPr>
          <w:rStyle w:val="VerbatimChar"/>
        </w:rPr>
        <w:t xml:space="preserve">  → New flows = configuration change review required</w:t>
      </w:r>
      <w:r>
        <w:br/>
      </w:r>
      <w:r>
        <w:rPr>
          <w:rStyle w:val="VerbatimChar"/>
        </w:rPr>
        <w:t xml:space="preserve">  → Policy workspace updated to reflect approved changes</w:t>
      </w:r>
    </w:p>
    <w:bookmarkEnd w:id="24"/>
    <w:bookmarkStart w:id="25" w:name="ir--incident-response"/>
    <w:p>
      <w:pPr>
        <w:pStyle w:val="Heading3"/>
      </w:pPr>
      <w:r>
        <w:t xml:space="preserve">IR — Incident 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IR-4</w:t>
            </w:r>
          </w:p>
        </w:tc>
        <w:tc>
          <w:tcPr/>
          <w:p>
            <w:pPr>
              <w:pStyle w:val="Compac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</w:pPr>
            <w:r>
              <w:t xml:space="preserve">Forensic telemetry enables full incident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IR-5</w:t>
            </w:r>
          </w:p>
        </w:tc>
        <w:tc>
          <w:tcPr/>
          <w:p>
            <w:pPr>
              <w:pStyle w:val="Compact"/>
            </w:pPr>
            <w:r>
              <w:t xml:space="preserve">Incident Monitoring</w:t>
            </w:r>
          </w:p>
        </w:tc>
        <w:tc>
          <w:tcPr/>
          <w:p>
            <w:pPr>
              <w:pStyle w:val="Compact"/>
            </w:pPr>
            <w:r>
              <w:t xml:space="preserve">Real-time anomaly alerts; policy violation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IR-6</w:t>
            </w:r>
          </w:p>
        </w:tc>
        <w:tc>
          <w:tcPr/>
          <w:p>
            <w:pPr>
              <w:pStyle w:val="Compac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</w:pPr>
            <w:r>
              <w:t xml:space="preserve">Alert export to SIEM/SOAR for automated incident 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IR-10</w:t>
            </w:r>
          </w:p>
        </w:tc>
        <w:tc>
          <w:tcPr/>
          <w:p>
            <w:pPr>
              <w:pStyle w:val="Compact"/>
            </w:pPr>
            <w:r>
              <w:t xml:space="preserve">Integrated Information Security Analysis</w:t>
            </w:r>
          </w:p>
        </w:tc>
        <w:tc>
          <w:tcPr/>
          <w:p>
            <w:pPr>
              <w:pStyle w:val="Compact"/>
            </w:pPr>
            <w:r>
              <w:t xml:space="preserve">CSW correlates network + process + vulnerability context per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Forensic Investigation Workflow:</w:t>
      </w:r>
    </w:p>
    <w:p>
      <w:pPr>
        <w:pStyle w:val="SourceCode"/>
      </w:pPr>
      <w:r>
        <w:rPr>
          <w:rStyle w:val="VerbatimChar"/>
        </w:rPr>
        <w:t xml:space="preserve">1. Alert triggered → CSW alert with workload ID, time, flow context</w:t>
      </w:r>
      <w:r>
        <w:br/>
      </w:r>
      <w:r>
        <w:rPr>
          <w:rStyle w:val="VerbatimChar"/>
        </w:rPr>
        <w:t xml:space="preserve">2. Flow Search → reconstruct all connections from/to affected workload</w:t>
      </w:r>
      <w:r>
        <w:br/>
      </w:r>
      <w:r>
        <w:rPr>
          <w:rStyle w:val="VerbatimChar"/>
        </w:rPr>
        <w:t xml:space="preserve">3. Process Search → identify anomalous processes + parent chain</w:t>
      </w:r>
      <w:r>
        <w:br/>
      </w:r>
      <w:r>
        <w:rPr>
          <w:rStyle w:val="VerbatimChar"/>
        </w:rPr>
        <w:t xml:space="preserve">4. Vulnerability Report → identify exploited CVE if applicable</w:t>
      </w:r>
      <w:r>
        <w:br/>
      </w:r>
      <w:r>
        <w:rPr>
          <w:rStyle w:val="VerbatimChar"/>
        </w:rPr>
        <w:t xml:space="preserve">5. Export → full forensic package for IR team</w:t>
      </w:r>
    </w:p>
    <w:bookmarkEnd w:id="25"/>
    <w:bookmarkStart w:id="26" w:name="ra--risk-assessment"/>
    <w:p>
      <w:pPr>
        <w:pStyle w:val="Heading3"/>
      </w:pPr>
      <w:r>
        <w:t xml:space="preserve">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RA-3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Vulnerability data + ADM attack surface = continuous risk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visibility with CVSS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RA-7</w:t>
            </w:r>
          </w:p>
        </w:tc>
        <w:tc>
          <w:tcPr/>
          <w:p>
            <w:pPr>
              <w:pStyle w:val="Compact"/>
            </w:pPr>
            <w:r>
              <w:t xml:space="preserve">Risk Response</w:t>
            </w:r>
          </w:p>
        </w:tc>
        <w:tc>
          <w:tcPr/>
          <w:p>
            <w:pPr>
              <w:pStyle w:val="Compact"/>
            </w:pPr>
            <w:r>
              <w:t xml:space="preserve">Compensating controls via policy when patching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RA-9</w:t>
            </w:r>
          </w:p>
        </w:tc>
        <w:tc>
          <w:tcPr/>
          <w:p>
            <w:pPr>
              <w:pStyle w:val="Compact"/>
            </w:pPr>
            <w:r>
              <w:t xml:space="preserve">Criticality Analysis</w:t>
            </w:r>
          </w:p>
        </w:tc>
        <w:tc>
          <w:tcPr/>
          <w:p>
            <w:pPr>
              <w:pStyle w:val="Compact"/>
            </w:pPr>
            <w:r>
              <w:t xml:space="preserve">Scope-based tagging identifies high-criticality workloads</w:t>
            </w:r>
          </w:p>
        </w:tc>
      </w:tr>
    </w:tbl>
    <w:bookmarkEnd w:id="26"/>
    <w:bookmarkStart w:id="27" w:name="sc--system--communications-protection"/>
    <w:p>
      <w:pPr>
        <w:pStyle w:val="Heading3"/>
      </w:pPr>
      <w:r>
        <w:t xml:space="preserve">SC — System &amp; Communications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SC-7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Micro-segmentation enforces east-west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</w:t>
            </w:r>
          </w:p>
        </w:tc>
        <w:tc>
          <w:tcPr/>
          <w:p>
            <w:pPr>
              <w:pStyle w:val="Compact"/>
            </w:pPr>
            <w:r>
              <w:t xml:space="preserve">Detect and block unencrypted sensitive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SC-28</w:t>
            </w:r>
          </w:p>
        </w:tc>
        <w:tc>
          <w:tcPr/>
          <w:p>
            <w:pPr>
              <w:pStyle w:val="Compact"/>
            </w:pPr>
            <w:r>
              <w:t xml:space="preserve">Protection of Information at Rest</w:t>
            </w:r>
          </w:p>
        </w:tc>
        <w:tc>
          <w:tcPr/>
          <w:p>
            <w:pPr>
              <w:pStyle w:val="Compact"/>
            </w:pPr>
            <w:r>
              <w:t xml:space="preserve">Identify workloads with unencrypted storage access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SC-39</w:t>
            </w:r>
          </w:p>
        </w:tc>
        <w:tc>
          <w:tcPr/>
          <w:p>
            <w:pPr>
              <w:pStyle w:val="Compact"/>
            </w:pPr>
            <w:r>
              <w:t xml:space="preserve">Process Isolation</w:t>
            </w:r>
          </w:p>
        </w:tc>
        <w:tc>
          <w:tcPr/>
          <w:p>
            <w:pPr>
              <w:pStyle w:val="Compact"/>
            </w:pPr>
            <w:r>
              <w:t xml:space="preserve">Workload-level policy ensures process-to-process isolation</w:t>
            </w:r>
          </w:p>
        </w:tc>
      </w:tr>
    </w:tbl>
    <w:bookmarkEnd w:id="27"/>
    <w:bookmarkStart w:id="28" w:name="si--system--information-integrity"/>
    <w:p>
      <w:pPr>
        <w:pStyle w:val="Heading3"/>
      </w:pPr>
      <w:r>
        <w:t xml:space="preserve">SI — System &amp; Information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view; prioritized remediation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SI-3</w:t>
            </w:r>
          </w:p>
        </w:tc>
        <w:tc>
          <w:tcPr/>
          <w:p>
            <w:pPr>
              <w:pStyle w:val="Compac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</w:pPr>
            <w:r>
              <w:t xml:space="preserve">Process hash monitoring provides detection signals that complement AV / EDR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Full telemetry with anomaly detection and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SI-7</w:t>
            </w:r>
          </w:p>
        </w:tc>
        <w:tc>
          <w:tcPr/>
          <w:p>
            <w:pPr>
              <w:pStyle w:val="Compact"/>
            </w:pPr>
            <w:r>
              <w:t xml:space="preserve">Software &amp; Firmware Integrity</w:t>
            </w:r>
          </w:p>
        </w:tc>
        <w:tc>
          <w:tcPr/>
          <w:p>
            <w:pPr>
              <w:pStyle w:val="Compact"/>
            </w:pPr>
            <w:r>
              <w:t xml:space="preserve">Process hash baseline from ADM; deviation triggers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8405e5d8dbdfd0a5c3ded4b518f1501d400aa64"/>
    <w:p>
      <w:pPr>
        <w:pStyle w:val="Heading2"/>
      </w:pPr>
      <w:r>
        <w:t xml:space="preserve">3. NIST Impact Level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Level</w:t>
            </w:r>
          </w:p>
        </w:tc>
        <w:tc>
          <w:tcPr/>
          <w:p>
            <w:pPr>
              <w:pStyle w:val="Compact"/>
            </w:pPr>
            <w:r>
              <w:t xml:space="preserve">CSW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ADM + monitoring only; simulation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ADM + enforcement on sensitive scopes; full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ADM + full enforcement; process-level monitoring; 3-year telemetry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c343d06808d4c66dc3c7b547ce0328c1075d2c6"/>
    <w:p>
      <w:pPr>
        <w:pStyle w:val="Heading2"/>
      </w:pPr>
      <w:r>
        <w:t xml:space="preserve">4.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log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Per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flow audit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RA, SI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map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Alert/incident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anomaly report</w:t>
            </w:r>
          </w:p>
        </w:tc>
        <w:tc>
          <w:tcPr/>
          <w:p>
            <w:pPr>
              <w:pStyle w:val="Compac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0"/>
        </w:numPr>
      </w:pPr>
      <w:hyperlink r:id="rId3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the international counterpart for organisations cross-mapping 800-53 to ISO Annex A.</w:t>
      </w:r>
    </w:p>
    <w:p>
      <w:pPr>
        <w:pStyle w:val="Compact"/>
        <w:numPr>
          <w:ilvl w:val="0"/>
          <w:numId w:val="1020"/>
        </w:numPr>
      </w:pPr>
      <w:hyperlink r:id="rId33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ZTA architectural overlay on top of the 800-53 control catalogue.</w:t>
      </w:r>
    </w:p>
    <w:p>
      <w:pPr>
        <w:pStyle w:val="Compact"/>
        <w:numPr>
          <w:ilvl w:val="0"/>
          <w:numId w:val="1020"/>
        </w:numPr>
      </w:pPr>
      <w:hyperlink r:id="rId34">
        <w:r>
          <w:rPr>
            <w:rStyle w:val="Hyperlink"/>
          </w:rPr>
          <w:t xml:space="preserve">NIST SP 800-207A</w:t>
        </w:r>
      </w:hyperlink>
      <w:r>
        <w:t xml:space="preserve"> </w:t>
      </w:r>
      <w:r>
        <w:t xml:space="preserve">— the logical-component view that operationalises AC, SI, SC families.</w:t>
      </w:r>
    </w:p>
    <w:p>
      <w:pPr>
        <w:pStyle w:val="Compact"/>
        <w:numPr>
          <w:ilvl w:val="0"/>
          <w:numId w:val="1020"/>
        </w:numPr>
      </w:pPr>
      <w:hyperlink r:id="rId35">
        <w:r>
          <w:rPr>
            <w:rStyle w:val="Hyperlink"/>
          </w:rPr>
          <w:t xml:space="preserve">FIPS 140</w:t>
        </w:r>
      </w:hyperlink>
      <w:r>
        <w:t xml:space="preserve"> </w:t>
      </w:r>
      <w:r>
        <w:t xml:space="preserve">— SC-13 cryptographic-protection requirement for the 800-53 baselines.</w:t>
      </w:r>
    </w:p>
    <w:p>
      <w:pPr>
        <w:pStyle w:val="Compact"/>
        <w:numPr>
          <w:ilvl w:val="0"/>
          <w:numId w:val="1020"/>
        </w:numPr>
      </w:pPr>
      <w:hyperlink r:id="rId36">
        <w:r>
          <w:rPr>
            <w:rStyle w:val="Hyperlink"/>
          </w:rPr>
          <w:t xml:space="preserve">HIPAA</w:t>
        </w:r>
      </w:hyperlink>
      <w:r>
        <w:t xml:space="preserve"> </w:t>
      </w:r>
      <w:r>
        <w:t xml:space="preserve">— for healthcare entities that satisfy §164.306 via 800-53 mapping.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../FIPS-140/CSW-FIPS-Technical-Runbook.md" TargetMode="External" /><Relationship Type="http://schemas.openxmlformats.org/officeDocument/2006/relationships/hyperlink" Id="rId36" Target="../HIPAA/CSW-HIPAA-Technical-Runbook.md" TargetMode="External" /><Relationship Type="http://schemas.openxmlformats.org/officeDocument/2006/relationships/hyperlink" Id="rId32" Target="../ISO-27001-2022/CSW-ISO27001-Technical-Runbook.md" TargetMode="External" /><Relationship Type="http://schemas.openxmlformats.org/officeDocument/2006/relationships/hyperlink" Id="rId33" Target="../NIST-800-207/CSW-NIST-800-207-Technical-Runbook.md" TargetMode="External" /><Relationship Type="http://schemas.openxmlformats.org/officeDocument/2006/relationships/hyperlink" Id="rId34" Target="../NIST-800-207A/CSW-NIST-800-207A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FIPS-140/CSW-FIPS-Technical-Runbook.md" TargetMode="External" /><Relationship Type="http://schemas.openxmlformats.org/officeDocument/2006/relationships/hyperlink" Id="rId36" Target="../HIPAA/CSW-HIPAA-Technical-Runbook.md" TargetMode="External" /><Relationship Type="http://schemas.openxmlformats.org/officeDocument/2006/relationships/hyperlink" Id="rId32" Target="../ISO-27001-2022/CSW-ISO27001-Technical-Runbook.md" TargetMode="External" /><Relationship Type="http://schemas.openxmlformats.org/officeDocument/2006/relationships/hyperlink" Id="rId33" Target="../NIST-800-207/CSW-NIST-800-207-Technical-Runbook.md" TargetMode="External" /><Relationship Type="http://schemas.openxmlformats.org/officeDocument/2006/relationships/hyperlink" Id="rId34" Target="../NIST-800-207A/CSW-NIST-800-207A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2026-05-29T22:01:28Z</dcterms:created>
  <dcterms:modified xsi:type="dcterms:W3CDTF">2026-05-29T22:01:28Z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