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40" w:after="0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3366"/>
          <w:sz w:val="52"/>
          <w:szCs w:val="52"/>
        </w:rPr>
        <w:t>CISCO SECURE WORKLOAD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70C0"/>
          <w:sz w:val="40"/>
          <w:szCs w:val="40"/>
        </w:rPr>
        <w:t>CISA Zero Trust Maturity Model</w:t>
      </w:r>
    </w:p>
    <w:p>
      <w:pPr>
        <w:pStyle w:val="Normal"/>
        <w:pBdr>
          <w:bottom w:val="single" w:sz="12" w:space="4" w:color="0070C0"/>
        </w:pBdr>
        <w:spacing w:before="0" w:after="400"/>
        <w:jc w:val="center"/>
        <w:rPr/>
      </w:pPr>
      <w:r>
        <w:rPr>
          <w:rFonts w:eastAsia="Arial" w:cs="Arial"/>
          <w:color w:val="555555"/>
          <w:sz w:val="28"/>
          <w:szCs w:val="28"/>
        </w:rPr>
        <w:t>Zero Trust Maturity Model v2.0 — CSW Pillar Mapping</w:t>
      </w:r>
    </w:p>
    <w:p>
      <w:pPr>
        <w:pStyle w:val="Normal"/>
        <w:spacing w:before="400" w:after="160"/>
        <w:jc w:val="center"/>
        <w:rPr/>
      </w:pPr>
      <w:r>
        <w:rPr>
          <w:rFonts w:eastAsia="Arial" w:cs="Arial"/>
          <w:color w:val="444444"/>
          <w:sz w:val="28"/>
          <w:szCs w:val="28"/>
        </w:rPr>
        <w:t>Prepared for:  [Customer Name]</w:t>
      </w:r>
    </w:p>
    <w:p>
      <w:pPr>
        <w:pStyle w:val="Normal"/>
        <w:spacing w:before="0" w:after="160"/>
        <w:jc w:val="center"/>
        <w:rPr/>
      </w:pPr>
      <w:r>
        <w:rPr>
          <w:rFonts w:eastAsia="Arial" w:cs="Arial"/>
          <w:color w:val="666666"/>
          <w:sz w:val="24"/>
          <w:szCs w:val="24"/>
        </w:rPr>
        <w:t>Prepared by:  Cisco Systems, Inc.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color w:val="888888"/>
          <w:sz w:val="22"/>
          <w:szCs w:val="22"/>
        </w:rPr>
        <w:t>Date:  [Month Year]  |  Version 1.0  |  Cisco Confidential</w:t>
      </w:r>
    </w:p>
    <w:tbl>
      <w:tblPr>
        <w:tblW w:w="6000" w:type="dxa"/>
        <w:jc w:val="start"/>
        <w:tblInd w:w="0" w:type="dxa"/>
        <w:tblLayout w:type="fixed"/>
        <w:tblCellMar>
          <w:top w:w="160" w:type="dxa"/>
          <w:start w:w="240" w:type="dxa"/>
          <w:bottom w:w="160" w:type="dxa"/>
          <w:end w:w="240" w:type="dxa"/>
        </w:tblCellMar>
      </w:tblPr>
      <w:tblGrid>
        <w:gridCol w:w="6000"/>
      </w:tblGrid>
      <w:tr>
        <w:trPr/>
        <w:tc>
          <w:tcPr>
            <w:tcW w:w="6000" w:type="dxa"/>
            <w:tcBorders>
              <w:top w:val="single" w:sz="2" w:space="0" w:color="0070C0"/>
              <w:start w:val="single" w:sz="2" w:space="0" w:color="0070C0"/>
              <w:bottom w:val="single" w:sz="2" w:space="0" w:color="0070C0"/>
              <w:end w:val="single" w:sz="2" w:space="0" w:color="0070C0"/>
            </w:tcBorders>
            <w:shd w:fill="E8F4FC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003366"/>
                <w:sz w:val="22"/>
                <w:szCs w:val="22"/>
              </w:rPr>
              <w:t>Regulatory Standard: CISA Zero Trust Maturity Model v2.0 (2023)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Environment: Hybrid (On-Premises + Cloud)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Deployment Stage: Fresh Installation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Executive Summary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The CISA Zero Trust Maturity Model (ZTMM) v2.0 defines maturity across five pillars: Identity, Devices, Networks, Applications &amp; Workloads, and Data. Each pillar progresses through four stages: Traditional → Initial → Advanced → Optimal. Cisco Secure Workload (CSW) is the primary platform for achieving Advanced-to-Optimal maturity in the Networks pillar and significant progress in the Applications &amp; Workloads and Data pillars.</w:t>
      </w:r>
    </w:p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CSW's workload-level micro-segmentation, continuous ADM, and forensic telemetry align directly with CISA's emphasis on continuous validation, least-privilege access, and dynamic policy enforcement — the hallmarks of Optimal maturity.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Pillar Coverage &amp; Maturity Achievable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799"/>
        <w:gridCol w:w="1200"/>
        <w:gridCol w:w="1700"/>
        <w:gridCol w:w="3061"/>
        <w:gridCol w:w="1600"/>
      </w:tblGrid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Pillar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Role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Maturity Achievable</w:t>
            </w:r>
          </w:p>
        </w:tc>
        <w:tc>
          <w:tcPr>
            <w:tcW w:w="30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Key CSW Capability</w:t>
            </w:r>
          </w:p>
        </w:tc>
        <w:tc>
          <w:tcPr>
            <w:tcW w:w="1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Coverage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Networks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Primary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Advanced → Optimal</w:t>
            </w:r>
          </w:p>
        </w:tc>
        <w:tc>
          <w:tcPr>
            <w:tcW w:w="30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Micro-segmentation, encryption enforcement, continuous ADM</w:t>
            </w:r>
          </w:p>
        </w:tc>
        <w:tc>
          <w:tcPr>
            <w:tcW w:w="1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Applications &amp; Workloads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Primary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Advanced → Optimal</w:t>
            </w:r>
          </w:p>
        </w:tc>
        <w:tc>
          <w:tcPr>
            <w:tcW w:w="30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Workload identity, least-privilege policy, vulnerability management</w:t>
            </w:r>
          </w:p>
        </w:tc>
        <w:tc>
          <w:tcPr>
            <w:tcW w:w="1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Supporting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Initial → Advanced</w:t>
            </w:r>
          </w:p>
        </w:tc>
        <w:tc>
          <w:tcPr>
            <w:tcW w:w="30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Data flow visibility, encryption enforcement, access logging</w:t>
            </w:r>
          </w:p>
        </w:tc>
        <w:tc>
          <w:tcPr>
            <w:tcW w:w="1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Identity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Supporting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Initial → Advanced</w:t>
            </w:r>
          </w:p>
        </w:tc>
        <w:tc>
          <w:tcPr>
            <w:tcW w:w="30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Identity-verified access path enforcement via policy</w:t>
            </w:r>
          </w:p>
        </w:tc>
        <w:tc>
          <w:tcPr>
            <w:tcW w:w="1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Partial Coverage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Devices</w:t>
            </w:r>
          </w:p>
        </w:tc>
        <w:tc>
          <w:tcPr>
            <w:tcW w:w="12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Supporting</w:t>
            </w:r>
          </w:p>
        </w:tc>
        <w:tc>
          <w:tcPr>
            <w:tcW w:w="1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Initial → Advanced</w:t>
            </w:r>
          </w:p>
        </w:tc>
        <w:tc>
          <w:tcPr>
            <w:tcW w:w="30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OS fingerprint + process hash workload identity</w:t>
            </w:r>
          </w:p>
        </w:tc>
        <w:tc>
          <w:tcPr>
            <w:tcW w:w="16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Partial Coverage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Maturity Stage Mapping by Pillar</w:t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Networks Pillar — Primary CSW Domain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99"/>
        <w:gridCol w:w="1"/>
        <w:gridCol w:w="1599"/>
        <w:gridCol w:w="1800"/>
        <w:gridCol w:w="3060"/>
        <w:gridCol w:w="1501"/>
      </w:tblGrid>
      <w:tr>
        <w:trPr/>
        <w:tc>
          <w:tcPr>
            <w:tcW w:w="14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Pillar</w:t>
            </w:r>
          </w:p>
        </w:tc>
        <w:tc>
          <w:tcPr>
            <w:tcW w:w="15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Stage Transition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ZTMM Requirement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Coverage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Networks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Traditional → Initial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Traffic Visibility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Establish initial network traffic visibility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deployed; all workload flows documented; scope hierarchy defined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Networks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Initial → Advanced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Micro-Segmentation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Enforce workload-level network segmentation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Allowlist policies enforced; default-deny inbound; encryption compliance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Networks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Advanced → Optimal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Dynamic Policy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Continuously validate and dynamically adjust network policies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Continuous ADM re-runs; API-driven policy updates; ML anomaly detection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Networks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Advanced → Optimal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Encryption Enforcement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Encrypt all network traffic between workloads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Detect/block non-encrypted flows; enforce TLS-only paths across all scopes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Apps &amp; Workloads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Traditional → Initial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Workload Inventory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Establish inventory of all application workloads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inventory provides real-time workload asset catalog across hybrid environments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Apps &amp; Workloads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Initial → Advanced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Workload Identity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Enforce workload identity-based access controls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Process hash + OS fingerprint + network identity — not just IP address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Apps &amp; Workloads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Advanced → Optimal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Continuous Validation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Continuously validate workload access footprint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90-day ADM re-runs; vulnerability-triggered policy review; drift detection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Traditional → Initial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Data Flow Visibility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Establish visibility into data movement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reveals all data flow paths across on-prem and cloud environments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Initial → Advanced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Data Access Logging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Log all access to sensitive data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Full flow + process telemetry on sensitive data scopes; forensic export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Data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Advanced → Optimal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Encryption Compliance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Enforce encryption for sensitive data in transit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Protocol-level flow analysis; block plaintext; enforce HTTPS/SFTP/LDAPS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Identity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Supporting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Identity-Verified Paths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Enforce access only through identity-verified paths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enforces that only identity-verified systems (LDAPS/Kerberos) can reach sensitive workloads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Partial Coverage</w:t>
            </w:r>
          </w:p>
        </w:tc>
      </w:tr>
      <w:tr>
        <w:trPr/>
        <w:tc>
          <w:tcPr>
            <w:tcW w:w="1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Devices</w:t>
            </w:r>
          </w:p>
        </w:tc>
        <w:tc>
          <w:tcPr>
            <w:tcW w:w="1600" w:type="dxa"/>
            <w:gridSpan w:val="2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Supporting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Device Fingerprinting</w:t>
            </w:r>
          </w:p>
        </w:tc>
        <w:tc>
          <w:tcPr>
            <w:tcW w:w="30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Identify and authenticate devices accessing resources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OS fingerprint + process hash provides workload-level device identity in CSW</w:t>
            </w:r>
          </w:p>
        </w:tc>
        <w:tc>
          <w:tcPr>
            <w:tcW w:w="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Partial Coverage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ZTMM Deployment Roadmap</w:t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Phase 1 — Traditional to Initial (Weeks 1–4)</w:t>
      </w:r>
    </w:p>
    <w:p>
      <w:pPr>
        <w:pStyle w:val="ListParagraph"/>
        <w:numPr>
          <w:ilvl w:val="0"/>
          <w:numId w:val="3"/>
        </w:numPr>
        <w:spacing w:before="60" w:after="60"/>
        <w:rPr/>
      </w:pPr>
      <w:r>
        <w:rPr>
          <w:rFonts w:eastAsia="Arial" w:cs="Arial"/>
          <w:sz w:val="22"/>
          <w:szCs w:val="22"/>
        </w:rPr>
        <w:t>Deploy CSW sensors on all on-prem workloads; connect cloud accounts via CSW cloud connectors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Run Application Dependency Mapping (ADM) to establish complete traffic baseline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Define scope hierarchy aligned to ZTMM pillar boundaries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Enable flow telemetry retention (minimum 12 months)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Phase 2 — Initial to Advanced (Weeks 5–12)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Build allowlist policies from ADM baseline — enforce least-privilege network access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Run simulation mode for 2 weeks; validate no false positives before enforcement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Enable enforcement mode on sensitive scopes first; expand progressively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Detect and block non-encrypted flows; enforce HTTPS/SFTP/LDAPS across all scopes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Configure anomaly detection and SIEM integration for continuous monitoring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Phase 3 — Advanced to Optimal (Month 4+)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Implement 90-day ADM re-run cycle for continuous policy validation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Integrate CSW API with SOAR for automated policy response to incidents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Enable vulnerability-triggered policy review — critical CVEs tighten access automatically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Conduct quarterly ZTMM maturity assessment against scorecard</w:t>
      </w:r>
    </w:p>
    <w:p>
      <w:pPr>
        <w:pStyle w:val="Normal"/>
        <w:spacing w:before="100" w:after="0"/>
        <w:rPr/>
      </w:pPr>
      <w:r>
        <w:rPr/>
      </w:r>
    </w:p>
    <w:p>
      <w:pPr>
        <w:pStyle w:val="Heading1"/>
        <w:pBdr>
          <w:bottom w:val="single" w:sz="8" w:space="4" w:color="0070C0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ZTMM Assessment Evidence Package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500"/>
        <w:gridCol w:w="1560"/>
        <w:gridCol w:w="2501"/>
      </w:tblGrid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 Item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Source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ZTMM Pillar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Maturity Stage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ADM traffic baseline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ADM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Networks, Apps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Initial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Enforcement policy export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Defend → Policy Workspaces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Networks, Apps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Advanced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Encryption compliance report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Search (protocol filter)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Networks, Data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Advanced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Anomaly detection log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Alerts → Dashboard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Networks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Advanced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Vulnerability report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Vulnerability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Apps &amp; Workloads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Advanced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Continuous ADM comparison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re-run vs baseline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Networks, Apps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Optimal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API policy automation log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API audit log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Networks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Optimal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Workload inventory export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Manage → Inventory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Devices, Apps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Initial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CISA ZERO TRUST MATURITY MODEL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CISA ZERO TRUST MATURITY MODEL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003366"/>
      <w:sz w:val="36"/>
      <w:szCs w:val="36"/>
    </w:rPr>
  </w:style>
  <w:style w:type="paragraph" w:styleId="Heading2">
    <w:name w:val="heading 2"/>
    <w:basedOn w:val="Heading"/>
    <w:qFormat/>
    <w:pPr>
      <w:spacing w:before="300" w:after="160"/>
      <w:outlineLvl w:val="1"/>
    </w:pPr>
    <w:rPr>
      <w:rFonts w:ascii="Arial" w:hAnsi="Arial" w:eastAsia="Arial" w:cs="Arial"/>
      <w:b/>
      <w:bCs/>
      <w:color w:val="0070C0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2026-04-29T23:36:30Z</dcterms:created>
  <dc:creator>Un-named</dc:creator>
  <dc:description/>
  <dc:language>en-US</dc:language>
  <cp:lastModifiedBy>Un-named</cp:lastModifiedBy>
  <dcterms:modified xsi:type="dcterms:W3CDTF">2026-04-29T23:36:30Z</dcterms:modified>
  <cp:revision>1</cp:revision>
  <dc:subject/>
  <dc:title/>
</cp:coreProperties>
</file>