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HIPAA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/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HIPAA Security Rule (45 CFR Part 164)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AWS / Azure / GCP)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Healthcare organizations face escalating regulatory obligations under the HIPAA Security Rule to protect electronic Protected Health Information (ePHI). This report documents how Cisco Secure Workload (CSW) enables [Customer Name] to satisfy HIPAA Security Rule requirements through workload-level visibility, micro-segmentation, real-time monitoring, and forensic telemetry.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provides the technical foundation for a defense-in-depth approach to ePHI protection — ensuring that access to sensitive clinical and billing data is continuously authorized, monitored, and auditable across on-premises and cloud environments.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Compliance Posture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800"/>
        <w:gridCol w:w="3760"/>
        <w:gridCol w:w="1800"/>
      </w:tblGrid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Safeguard Category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Controls Addressed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Administrative Safeguards §164.308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Risk analysis, access management, incident response, contingency planning, evaluation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Physical Safeguards §164.310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Workload isolation and access boundary enforcement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Technical Safeguards §164.312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Access controls, audit controls, integrity, authentication, encryption in transit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3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Organizational Requirements §164.314</w:t>
            </w:r>
          </w:p>
        </w:tc>
        <w:tc>
          <w:tcPr>
            <w:tcW w:w="37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Business Associate scope definition, third-party access control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70C0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Evidence Required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/>
          <w:iCs/>
          <w:color w:val="666666"/>
          <w:sz w:val="22"/>
          <w:szCs w:val="22"/>
        </w:rPr>
        <w:t>Note: Physical Safeguards relate to physical facility controls (locks, cameras, workstation policies) which are outside CSW scope. CSW directly complements these controls through workload isolation and logical access enforcement.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CSW Capabilities &amp; HIPAA Alignment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Cisco Secure Workload delivers four core capability pillars that directly address HIPAA Security Rule requirements: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3561"/>
        <w:gridCol w:w="3600"/>
      </w:tblGrid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Capability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HIPAA Controls Satisfied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Application Dependency Mapping (ADM)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Discovers all workload-to-workload communication flows, processes, and users. Identifies ePHI application boundaries without prior knowledge.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 Risk Analysis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§164.312(a) Access Control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§164.308(a)(3) Workforce Access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Micro-Segmentation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Enforces allowlist policies at the workload level — not just perimeter firewalls. Isolates ePHI systems from unauthorized lateral access.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§164.312(a)(1) Access Control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§164.312(e) Encryption/Isolation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 Incident Response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Vulnerability Detection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Continuously scans workloads for CVEs with CVSS scoring. Prioritizes risk remediation on ePHI-bearing systems.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 Risk Analysis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§164.308(a)(8) Evaluation</w:t>
            </w:r>
          </w:p>
        </w:tc>
      </w:tr>
      <w:tr>
        <w:trPr/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Forensic Telemetry</w:t>
            </w:r>
          </w:p>
        </w:tc>
        <w:tc>
          <w:tcPr>
            <w:tcW w:w="35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Retains network flow and process-level audit trail across all monitored workloads for breach investigation and compliance reporting.</w:t>
            </w:r>
          </w:p>
        </w:tc>
        <w:tc>
          <w:tcPr>
            <w:tcW w:w="3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§164.312(b) Audit Controls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 Incident Response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 Risk Analysis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HIPAA Control Mapping Detail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The following table maps each applicable HIPAA Security Rule control to the corresponding CSW capability and implementation approach.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1200"/>
        <w:gridCol w:w="1699"/>
        <w:gridCol w:w="2101"/>
        <w:gridCol w:w="2359"/>
        <w:gridCol w:w="701"/>
      </w:tblGrid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Safeguard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Ref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HIPAA Requirement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§164.312(a)(2)(i)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Unique User Identification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Assign unique name or number for identifying and tracking user identity.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ADM captures process-user context per workload. Anomaly detection alerts on shared or generic credential usage patterns.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§164.312(a)(2)(ii)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Emergency Access Procedure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Establish procedures for obtaining necessary ePHI during an emergency.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Break-glass policy workspace configured in CSW with alert-only mode. Emergency IP ranges defined with expanded but audited access.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§164.312(b)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Audit Controls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mechanisms to record and examine activity in systems containing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retains full network flow and process telemetry. Flow search enables retrospective audit of any ePHI workload interaction.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§164.312(c)(1)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Integrity Controls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Protect ePHI from improper alteration or destruction.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policy enforcement blocks unauthorized write-path access. Process hash verification detects workload tampering.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§164.312(d)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Authentication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Verify that a person or entity seeking access to ePHI is the one claimed.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enforces LDAPS/Kerberos-only paths to ePHI systems. Unencrypted LDAP (port 389) blocked via policy.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Technical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§164.312(e)(2)(ii)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Encryption in Transit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a mechanism to encrypt ePHI in transit when appropriate.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detects unencrypted protocols (HTTP, FTP, plain LDAP) on PHI-Zone workloads. Policy enforces HTTPS/SFTP/LDAPS.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§164.308(a)(1)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Risk Analysis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Conduct an accurate and thorough assessment of the potential risks and vulnerabilities to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vulnerability detection provides continuous CVE assessment on all PHI-Zone workloads. CVSS-scored reports exportable for risk register input.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§164.308(a)(3)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Workforce Access Management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procedures for authorizing access to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scope-based policies define which workloads can access ePHI systems. Policy changes require approved workflow.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§164.308(a)(6)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Security Incident Procedures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Implement policies to address security incidents, including identifying and responding to suspected incidents.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anomaly detection and policy violation alerts provide real-time incident detection. Forensic telemetry supports full incident reconstruction.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§164.308(a)(7)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Contingency Plan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Establish policies for responding to emergencies that damage systems containing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policy workspaces exportable for DR purposes. Backup policy sets maintained for recovery scenarios.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Administrative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§164.308(a)(8)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Evaluation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Perform periodic technical and nontechnical evaluation of implemented security measures.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compliance dashboard provides ongoing posture evaluation. Quarterly ADM re-runs detect policy drift.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Organizational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8"/>
                <w:szCs w:val="18"/>
              </w:rPr>
              <w:t>§164.314(a)</w:t>
            </w:r>
          </w:p>
        </w:tc>
        <w:tc>
          <w:tcPr>
            <w:tcW w:w="16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Business Associate Contracts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Document satisfactory assurances from business associates that they will appropriately safeguard ePHI.</w:t>
            </w:r>
          </w:p>
        </w:tc>
        <w:tc>
          <w:tcPr>
            <w:tcW w:w="23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19"/>
                <w:szCs w:val="19"/>
              </w:rPr>
              <w:t>CSW defines External-Partners scope with restricted policy. All BA network access flows through audited, policy-enforced paths.</w:t>
            </w:r>
          </w:p>
        </w:tc>
        <w:tc>
          <w:tcPr>
            <w:tcW w:w="7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70C0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Evidence Required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Recommended Deployment Architecture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PHI Zone Segmentation Model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organizes workloads into policy scopes that map directly to HIPAA data classification requirements. The following architecture is recommended for hybrid healthcare environments: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PHI Zone (Strict)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Clinical Support (Moderate)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Corporate IT (Standard)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External Partners (BAA)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EHR / EMR Servers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Billing Systems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Medical Imaging (PACS)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HL7 Integration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Clinical Databases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Clinical Workstations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Lab Systems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Pharmacy Apps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Diagnostic Tools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Active Directory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Email / Collaboration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File Servers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IT Management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Clearinghouses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Third-Party Apps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Health Plans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Vendor Portals</w:t>
            </w:r>
          </w:p>
        </w:tc>
      </w:tr>
      <w:tr>
        <w:trPr/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Default DENY all inbound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Encrypted paths only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Full forensic logging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Restricted to defined PHI-Zone flows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ADM-validated policies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No direct PHI access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Jump-host controlled admin paths</w:t>
            </w:r>
          </w:p>
        </w:tc>
        <w:tc>
          <w:tcPr>
            <w:tcW w:w="234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BAA-documented access only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18"/>
                <w:szCs w:val="18"/>
              </w:rPr>
              <w:t>Full flow audit per partner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Hybrid Environment Coverage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provides unified policy and visibility across on-premises and cloud workloads: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3781"/>
        <w:gridCol w:w="3780"/>
      </w:tblGrid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Deployment Method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Capabilities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On-Premises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(Linux/Windows sensor)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Direct CSW cluster registration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Full telemetry, policy enforcement, vulnerability scan, process context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AWS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on EC2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Cloud connector (VPC Flow Logs)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Tag-based scope inheritance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Flow visibility, security group mapping, instance inventory, policy enforcement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Azure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on VMs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Cloud connector (NSG Flow Logs)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Azure tag synchronization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Flow visibility, NSG mapping, VM inventory, policy enforcement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GCP</w:t>
            </w:r>
          </w:p>
        </w:tc>
        <w:tc>
          <w:tcPr>
            <w:tcW w:w="378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Software agent on GCE</w:t>
            </w:r>
          </w:p>
          <w:p>
            <w:pPr>
              <w:pStyle w:val="Normal"/>
              <w:spacing w:before="0" w:after="6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Cloud connector (VPC Flow Logs)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Label-based scope inheritance</w:t>
            </w:r>
          </w:p>
        </w:tc>
        <w:tc>
          <w:tcPr>
            <w:tcW w:w="37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Flow visibility, firewall rule mapping, instance inventory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Evidence Collection &amp; Audit Readiness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CSW generates and retains the evidence required to demonstrate HIPAA compliance to auditors. The following evidence artifacts are available from CSW: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2500"/>
        <w:gridCol w:w="2000"/>
        <w:gridCol w:w="2360"/>
      </w:tblGrid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Evidence Artifact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HIPAA Control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Recommended Frequency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Policy Enforcement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Defend &gt; Policy Analysis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§164.312(a)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Continuous / Monthly export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Vulnerability Scan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Vulnerability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Weekly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Network Flow Audit Log (PHI-Zone)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Flow Search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§164.312(b)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Continuous / Quarterly export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Policy Violation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Alerts &gt; Triggered Events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Real-time / Monthly summary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Scope Membership Snapshot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Inventory &gt; Export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§164.308(a)(3)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Monthly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Encryption Compliance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Flow analysis (protocol filter)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§164.312(e)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Quarterly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Application Dependency Map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ADM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§164.308(a)(1)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Quarterly re-run</w:t>
            </w:r>
          </w:p>
        </w:tc>
      </w:tr>
      <w:tr>
        <w:trPr/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Forensic Incident Timeline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>Investigate &gt; Flow/Process Search</w:t>
            </w:r>
          </w:p>
        </w:tc>
        <w:tc>
          <w:tcPr>
            <w:tcW w:w="2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§164.308(a)(6)</w:t>
            </w:r>
          </w:p>
        </w:tc>
        <w:tc>
          <w:tcPr>
            <w:tcW w:w="23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On-demand (post-incident)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Documentation Retention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HIPAA requires documentation to be retained for a minimum of 6 years from the date of creation or the date it was last in effect. CSW supports this through: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Configurable telemetry retention periods (recommend 6-year minimum for audit logs)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Policy workspace version history — tracks all policy changes with timestamps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Exportable evidence packages in PDF/CSV format for long-term archival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API-based integration with SIEM/SOAR platforms for centralized log management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Recommended Next Steps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99"/>
        <w:gridCol w:w="2101"/>
        <w:gridCol w:w="4659"/>
        <w:gridCol w:w="2101"/>
      </w:tblGrid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Timeline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Sensor Deployment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Install CSW software sensors on all on-prem PHI workloads. Connect cloud accounts via CSW cloud connectors.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1-5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Scope &amp; Inventory Design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Create PHI-Zone scope hierarchy. Apply HIPAA labels (env, compliance, data) across all workloads.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6-10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Application Dependency Mapping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Run 2-4 week ADM to discover all ePHI application flows. Identify and tag ePHI apps from ADM output.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11-28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Policy Development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Build allowlist policies from ADM baseline. Configure default-deny for PHI-Zone. Run in Simulation mode.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29-42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Enforcement Go-Live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Progress from Simulation to Enforcement. Validate no clinical workflow disruption. Enable full alerting.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Days 43-56</w:t>
            </w:r>
          </w:p>
        </w:tc>
      </w:tr>
      <w:tr>
        <w:trPr/>
        <w:tc>
          <w:tcPr>
            <w:tcW w:w="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>Compliance Reporting</w:t>
            </w:r>
          </w:p>
        </w:tc>
        <w:tc>
          <w:tcPr>
            <w:tcW w:w="465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Generate first HIPAA evidence package. Schedule quarterly review cycle. Deliver compliance dashboard to CISO.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Day 60+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About Cisco Secure Workload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000000"/>
          <w:sz w:val="22"/>
          <w:szCs w:val="22"/>
        </w:rPr>
        <w:t>Cisco Secure Workload (CSW) is a workload protection platform that provides application micro-segmentation, real-time vulnerability assessment, and forensic telemetry across hybrid and multi-cloud environments. CSW is deployed by leading healthcare, financial services, and critical infrastructure organizations to satisfy regulatory compliance requirements and accelerate zero trust adoption.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color w:val="666666"/>
          <w:sz w:val="22"/>
          <w:szCs w:val="22"/>
        </w:rPr>
        <w:t>For more information or to schedule a technical deep-dive, contact your Cisco account team.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HIPAA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HIPAA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2026-04-29T23:01:56Z</dcterms:created>
  <dc:creator>Un-named</dc:creator>
  <dc:description/>
  <dc:language>en-US</dc:language>
  <cp:lastModifiedBy>Un-named</cp:lastModifiedBy>
  <dcterms:modified xsi:type="dcterms:W3CDTF">2026-04-29T23:01:56Z</dcterms:modified>
  <cp:revision>1</cp:revision>
  <dc:subject/>
  <dc:title/>
</cp:coreProperties>
</file>