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3366"/>
          <w:sz w:val="52"/>
          <w:szCs w:val="52"/>
        </w:rPr>
        <w:t>CISCO SECURE WORKLOAD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0070C0"/>
          <w:sz w:val="40"/>
          <w:szCs w:val="40"/>
        </w:rPr>
        <w:t>ISO 27001:2022 Compliance Framework</w:t>
      </w:r>
    </w:p>
    <w:p>
      <w:pPr>
        <w:pStyle w:val="Normal"/>
        <w:pBdr>
          <w:bottom w:val="single" w:sz="12" w:space="4" w:color="0070C0"/>
        </w:pBdr>
        <w:spacing w:before="0" w:after="400"/>
        <w:jc w:val="center"/>
        <w:rPr/>
      </w:pPr>
      <w:r>
        <w:rPr>
          <w:rFonts w:eastAsia="Arial" w:cs="Arial"/>
          <w:color w:val="555555"/>
          <w:sz w:val="28"/>
          <w:szCs w:val="28"/>
        </w:rPr>
        <w:t>Information Security Management System — Annex A Controls</w:t>
      </w:r>
    </w:p>
    <w:p>
      <w:pPr>
        <w:pStyle w:val="Normal"/>
        <w:spacing w:before="400" w:after="160"/>
        <w:jc w:val="center"/>
        <w:rPr/>
      </w:pPr>
      <w:r>
        <w:rPr>
          <w:rFonts w:eastAsia="Arial" w:cs="Arial"/>
          <w:color w:val="444444"/>
          <w:sz w:val="28"/>
          <w:szCs w:val="28"/>
        </w:rPr>
        <w:t>Prepared for:  [Customer Name]</w:t>
      </w:r>
    </w:p>
    <w:p>
      <w:pPr>
        <w:pStyle w:val="Normal"/>
        <w:spacing w:before="0" w:after="160"/>
        <w:jc w:val="center"/>
        <w:rPr/>
      </w:pPr>
      <w:r>
        <w:rPr>
          <w:rFonts w:eastAsia="Arial" w:cs="Arial"/>
          <w:color w:val="666666"/>
          <w:sz w:val="24"/>
          <w:szCs w:val="24"/>
        </w:rPr>
        <w:t>Prepared by:  Cisco Systems, Inc.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color w:val="888888"/>
          <w:sz w:val="22"/>
          <w:szCs w:val="22"/>
        </w:rPr>
        <w:t>Date:  [Month Year]  |  Version 1.0  |  Cisco Confidential</w:t>
      </w:r>
    </w:p>
    <w:tbl>
      <w:tblPr>
        <w:tblW w:w="600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6000"/>
      </w:tblGrid>
      <w:tr>
        <w:trPr/>
        <w:tc>
          <w:tcPr>
            <w:tcW w:w="6000" w:type="dxa"/>
            <w:tcBorders>
              <w:top w:val="single" w:sz="2" w:space="0" w:color="0070C0"/>
              <w:start w:val="single" w:sz="2" w:space="0" w:color="0070C0"/>
              <w:bottom w:val="single" w:sz="2" w:space="0" w:color="0070C0"/>
              <w:end w:val="single" w:sz="2" w:space="0" w:color="0070C0"/>
            </w:tcBorders>
            <w:shd w:fill="E8F4FC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003366"/>
                <w:sz w:val="22"/>
                <w:szCs w:val="22"/>
              </w:rPr>
              <w:t>Regulatory Standard: ISO/IEC 27001:2022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Environment: Hybrid (On-Premises + Cloud)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Deployment Stage: Fresh Installation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Executive Summary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ISO/IEC 27001:2022 restructured Annex A from 114 controls to 93 controls across four themes: Organizational, People, Physical, and Technological. Cisco Secure Workload (CSW) primarily addresses Technological theme controls (A.8) and contributes significantly to Organizational controls (A.5) around threat intelligence, incident management, and cloud security — including several controls new in the 2022 revision.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CSW's continuous visibility, enforcement, and forensic capabilities enable organizations to achieve and maintain ISO 27001:2022 certification with documented, auditable evidence for each applicable control.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300" w:after="160"/>
        <w:rPr/>
      </w:pPr>
      <w:r>
        <w:rPr>
          <w:rFonts w:eastAsia="Arial" w:cs="Arial" w:ascii="Arial" w:hAnsi="Arial"/>
          <w:b/>
          <w:bCs/>
          <w:color w:val="0070C0"/>
          <w:sz w:val="28"/>
          <w:szCs w:val="28"/>
        </w:rPr>
        <w:t>Annex A Control Coverage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400"/>
        <w:gridCol w:w="700"/>
        <w:gridCol w:w="1499"/>
        <w:gridCol w:w="1800"/>
        <w:gridCol w:w="2460"/>
        <w:gridCol w:w="1501"/>
      </w:tblGrid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Theme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Ref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Control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ISO 27001 Requirement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Implementation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A.5.7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Threat Intelligence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Collect and analyze information about threats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CVE vulnerability data provides threat-informed risk posture across all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A.5.23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Services Security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Establish controls for cloud service security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connectors enforce unified policy across AWS, Azure, and GCP workloads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A.5.25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Incident Management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Manage information security incidents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Forensic telemetry supports root cause analysis and incident timeline reconstruction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A.5.30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ICT Readiness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Prepare ICT systems for business continuity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workspace backup; simulation mode for DR testing; redundant sensor architecture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A.5 Organizational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A.5.37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Documented Procedures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Document operating procedures for information processing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ADM-generated dependency maps serve as documented network operating procedures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A.8.15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Logging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Record events and generate evidence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Full network + process telemetry; configurable retention; tamper-resistant storage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A.8.16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Monitoring Activities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Monitor networks and systems for anomalous behavior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Real-time anomaly detection; policy violation alerting; SIEM integration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A.8.19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Software Installation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Control software installation on operational systems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hash monitoring detects unauthorized software installations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A.8.20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Security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Protect networks and network devices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Micro-segmentation enforces network security at workload level across hybrid environments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A.8.21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Service Security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Secure network services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maps all network services; policy enforces approved services only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A.8.22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Network Segregation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Segregate networks based on information classification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Scope-based isolation: PHI, CDE, production, development, partner environments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A.8.23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Web Filtering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Filter access to external websites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unauthorized outbound web access from sensitive scopes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4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A.8 Technological</w:t>
            </w:r>
          </w:p>
        </w:tc>
        <w:tc>
          <w:tcPr>
            <w:tcW w:w="7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A.8.29</w:t>
            </w:r>
          </w:p>
        </w:tc>
        <w:tc>
          <w:tcPr>
            <w:tcW w:w="14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Security Testing</w:t>
            </w:r>
          </w:p>
        </w:tc>
        <w:tc>
          <w:tcPr>
            <w:tcW w:w="1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Test security during development and acceptance</w:t>
            </w:r>
          </w:p>
        </w:tc>
        <w:tc>
          <w:tcPr>
            <w:tcW w:w="24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ADM baseline comparison pre/post deployment detects new communication paths</w:t>
            </w:r>
          </w:p>
        </w:tc>
        <w:tc>
          <w:tcPr>
            <w:tcW w:w="1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8" w:space="4" w:color="0070C0"/>
        </w:pBdr>
        <w:spacing w:before="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New ISO 27001:2022 Controls — CSW Alignment</w:t>
      </w:r>
    </w:p>
    <w:p>
      <w:pPr>
        <w:pStyle w:val="Normal"/>
        <w:spacing w:before="80" w:after="80"/>
        <w:rPr/>
      </w:pPr>
      <w:r>
        <w:rPr>
          <w:rFonts w:eastAsia="Arial" w:cs="Arial"/>
          <w:b w:val="false"/>
          <w:bCs w:val="false"/>
          <w:i w:val="false"/>
          <w:iCs w:val="false"/>
          <w:color w:val="000000"/>
          <w:sz w:val="22"/>
          <w:szCs w:val="22"/>
        </w:rPr>
        <w:t>The following controls are new in the 2022 revision and are directly addressed by CSW: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900"/>
        <w:gridCol w:w="800"/>
        <w:gridCol w:w="3660"/>
        <w:gridCol w:w="3000"/>
      </w:tblGrid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New Control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Ref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Capability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Maturity Contribution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Threat Intelligence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A.5.7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Continuous CVE scanning provides workload-level threat intelligence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Cloud Services Security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A.5.23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Cloud connectors enforce policy on AWS/Azure/GCP workloads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ICT Readiness for BC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A.5.30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workspace export for DR; simulation mode for BC testing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Web Filtering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A.8.23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Block unauthorized outbound from sensitive scopes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107C4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Full Coverage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Secure Coding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A.8.28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Process hash monitoring detects unexpected code execution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  <w:tr>
        <w:trPr/>
        <w:tc>
          <w:tcPr>
            <w:tcW w:w="19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Data Masking</w:t>
            </w:r>
          </w:p>
        </w:tc>
        <w:tc>
          <w:tcPr>
            <w:tcW w:w="8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A.8.11</w:t>
            </w:r>
          </w:p>
        </w:tc>
        <w:tc>
          <w:tcPr>
            <w:tcW w:w="36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Enforce encrypted paths; detect plaintext sensitive data flows</w:t>
            </w:r>
          </w:p>
        </w:tc>
        <w:tc>
          <w:tcPr>
            <w:tcW w:w="30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C55A11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Partial Coverage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1"/>
        <w:pBdr>
          <w:bottom w:val="single" w:sz="8" w:space="4" w:color="0070C0"/>
        </w:pBdr>
        <w:spacing w:before="400" w:after="200"/>
        <w:rPr/>
      </w:pPr>
      <w:r>
        <w:rPr>
          <w:rFonts w:eastAsia="Arial" w:cs="Arial" w:ascii="Arial" w:hAnsi="Arial"/>
          <w:b/>
          <w:bCs/>
          <w:color w:val="003366"/>
          <w:sz w:val="36"/>
          <w:szCs w:val="36"/>
        </w:rPr>
        <w:t>ISMS Evidence Package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2500"/>
        <w:gridCol w:w="1560"/>
        <w:gridCol w:w="2501"/>
      </w:tblGrid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 Item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CSW Source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Annex A Control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00336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Frequency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Network security policy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Defend → Policy Workspaces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A.8.20, A.8.22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audit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Flow telemetry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A.8.15, A.8.16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Continuous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Vulnerability / threat intelligence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Vulnerability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A.5.7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Weekly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Anomaly / alert log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Alerts → Dashboard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A.8.16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ADM application dependency map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ADM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A.8.21, A.5.37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Quarterly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Incident forensic export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Investigate → Flow/Process Search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A.5.25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On-demand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Cloud workload inventory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Manage → Inventory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A.5.23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Monthly</w:t>
            </w:r>
          </w:p>
        </w:tc>
      </w:tr>
      <w:tr>
        <w:trPr/>
        <w:tc>
          <w:tcPr>
            <w:tcW w:w="2799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>Policy change audit trail</w:t>
            </w:r>
          </w:p>
        </w:tc>
        <w:tc>
          <w:tcPr>
            <w:tcW w:w="250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Policy workspace history</w:t>
            </w:r>
          </w:p>
        </w:tc>
        <w:tc>
          <w:tcPr>
            <w:tcW w:w="1560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F2F2F2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A.8.20</w:t>
            </w:r>
          </w:p>
        </w:tc>
        <w:tc>
          <w:tcPr>
            <w:tcW w:w="2501" w:type="dxa"/>
            <w:tcBorders>
              <w:top w:val="single" w:sz="2" w:space="0" w:color="D9D9D9"/>
              <w:start w:val="single" w:sz="2" w:space="0" w:color="D9D9D9"/>
              <w:bottom w:val="single" w:sz="2" w:space="0" w:color="D9D9D9"/>
              <w:end w:val="single" w:sz="2" w:space="0" w:color="D9D9D9"/>
            </w:tcBorders>
            <w:shd w:fill="D9D9D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Per change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2" w:color="D9D9D9"/>
      </w:pBdr>
      <w:rPr/>
    </w:pPr>
    <w:r>
      <w:rPr>
        <w:rFonts w:eastAsia="Arial" w:cs="Arial"/>
        <w:color w:val="888888"/>
        <w:sz w:val="16"/>
        <w:szCs w:val="16"/>
      </w:rPr>
      <w:t xml:space="preserve">© 2025 Cisco Systems, Inc. All rights reserved.  |  Cisco Confidential  |  Page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ISO 27001:2022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0070C0"/>
      </w:pBdr>
      <w:tabs>
        <w:tab w:val="clear" w:pos="720"/>
        <w:tab w:val="right" w:pos="9026" w:leader="none"/>
      </w:tabs>
      <w:rPr/>
    </w:pPr>
    <w:r>
      <w:rPr>
        <w:rFonts w:eastAsia="Arial" w:cs="Arial"/>
        <w:b/>
        <w:bCs/>
        <w:color w:val="003366"/>
        <w:sz w:val="16"/>
        <w:szCs w:val="16"/>
      </w:rPr>
      <w:t>CISCO SECURE WORKLOAD  |  ISO 27001:2022 COMPLIANCE FRAMEWORK</w:t>
    </w:r>
    <w:r>
      <w:rPr>
        <w:rFonts w:eastAsia="Arial" w:cs="Arial"/>
        <w:color w:val="888888"/>
        <w:sz w:val="16"/>
        <w:szCs w:val="16"/>
      </w:rPr>
      <w:tab/>
      <w:t>[Customer Name] — Confidential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400" w:after="200"/>
      <w:outlineLvl w:val="0"/>
    </w:pPr>
    <w:rPr>
      <w:rFonts w:ascii="Arial" w:hAnsi="Arial" w:eastAsia="Arial" w:cs="Arial"/>
      <w:b/>
      <w:bCs/>
      <w:color w:val="003366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0070C0"/>
      <w:sz w:val="28"/>
      <w:szCs w:val="28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2026-04-29T23:36:30Z</dcterms:created>
  <dc:creator>Un-named</dc:creator>
  <dc:description/>
  <dc:language>en-US</dc:language>
  <cp:lastModifiedBy>Un-named</cp:lastModifiedBy>
  <dcterms:modified xsi:type="dcterms:W3CDTF">2026-04-29T23:36:30Z</dcterms:modified>
  <cp:revision>1</cp:revision>
  <dc:subject/>
  <dc:title/>
</cp:coreProperties>
</file>