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80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NIST SP 800-207 Zero Trust Architecture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555555"/>
          <w:sz w:val="26"/>
          <w:szCs w:val="26"/>
        </w:rPr>
        <w:t>Zero Trust Tenets &amp; Deployment Model Alignment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/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0"/>
          <w:szCs w:val="20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NIST SP 800-207 (Zero Trust Architecture — Seven Tenets)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AWS / Azure / GCP)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SP 800-207 defines Zero Trust Architecture (ZTA) as a set of cybersecurity paradigms that move defenses from static, network-based perimeters to focus on users, assets, and resources. The standard defines seven foundational tenets that any ZTA implementation must satisfy, along with three deployment models: Agent-Based, Enclave-Based, and Resource Portal-Based.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Cisco Secure Workload (CSW) is a foundational ZTA technology that directly satisfies NIST 800-207 tenets related to resource protection, communication integrity, dynamic policy enforcement, and continuous monitoring. CSW's workload-level micro-segmentation, Application Dependency Mapping (ADM), vulnerability detection, and forensic telemetry make it the enforcement and visibility layer of a NIST-compliant ZTA implementation.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ZTA Tenet Coverage Summary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199"/>
        <w:gridCol w:w="3361"/>
        <w:gridCol w:w="1800"/>
      </w:tblGrid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NIST 800-207 Tenet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Role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1 — All data sources and computing services are resources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discovery and inventory across hybrid environments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2 — All communication is secured regardless of network location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Encrypted protocol enforcement, unencrypted flow detection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3 — Access to individual enterprise resources is granted on a per-session basis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Workload-level allowlist policies, session-scoped access enforcement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4 — Access to resources is determined by dynamic policy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ADM-derived policies, API-driven dynamic policy updates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5 — Enterprise monitors and measures integrity and security posture of all assets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vulnerability scanning, process hash verification, telemetry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6 — All resource authentication and authorization is dynamic and strictly enforced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Encrypted auth path enforcement (LDAPS/Kerberos), unauthenticated access blocking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  <w:tr>
        <w:trPr/>
        <w:tc>
          <w:tcPr>
            <w:tcW w:w="41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7 — Enterprise collects information about current state of assets and uses it to improve security posture</w:t>
            </w:r>
          </w:p>
        </w:tc>
        <w:tc>
          <w:tcPr>
            <w:tcW w:w="33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flow + process telemetry, ADM baseline, SIEM integration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NIST 800-207 Tenet-by-Tenet Mapping</w:t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1 — All Data Sources and Computing Services Are Resources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Every device, service, and data source — regardless of ownership or location — must be treated as a resource and managed accordingly.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Workload Discovery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software sensors auto-register every monitored workload as a managed resource. Cloud connectors extend this to AWS EC2, Azure VMs, and GCP instances via agentless discovery.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Universal Inventory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builds a real-time inventory of all computing resources — hostname, OS, processes, open ports, network interfaces, and communication partners.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Label-Based Classification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Every resource is labeled by environment, data classification, application, and owner — establishing the resource identity required by NIST 800-207.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Cloud Resource Parity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Cloud workloads are managed under the same policy framework as on-prem. No implicit trust for cloud-hosted resources — all treated as untrusted until verified.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Workload inventory export, ADM resource map, cloud connector inventory report.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2 — All Communication Is Secured Regardless of Network Location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All traffic — including traffic on internal networks — must be protected. Network location alone does not grant implicit trust. Communications must be authenticated and encrypted.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Unencrypted Flow Detection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continuously monitors all workload communications and flags unencrypted protocols: HTTP (port 80), FTP (port 21), Telnet (port 23), plain LDAP (port 389), and legacy TLS versions (1.0/1.1).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Encrypted Path Enforcement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policies enforce HTTPS, SFTP, LDAPS, and SSH as the only permitted protocols for sensitive workloads. Non-compliant connections are blocked and alerted.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Internal Traffic Visibility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captures all east-west (internal) traffic — eliminating the assumption that internal network communication is safe. Every internal flow is validated against the approved policy baseline.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No Implicit Internal Trust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default-deny policies treat internal traffic identically to external traffic. All connections must match an explicit allowlist rule regardless of source network location.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Protocol compliance report (unencrypted flow detection), policy enforcement log, ADM east-west flow map.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3 — Access to Individual Resources Is Granted Per-Session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Access must be granted to specific individual resources — not broad network segments — and must be evaluated per connection or session.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Workload-Level Allowlist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policies operate at the individual workload level — not subnet or VLAN. Each workload has its own explicit allowlist. Access to Workload A does not imply access to Workload B, even if they share a subnet.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Per-Flow Policy Evaluation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Every network connection is evaluated against the policy engine in real time. ADM-baseline policies define exactly which source workloads can reach which destination workloads on which ports.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Micro-Segmentation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enforces microsegmentation between every workload pair. Lateral movement — a resource reaching a workload it has no approved flow to — is blocked automatically.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Session Audit Trail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Every connection attempt (approved or denied) is recorded in CSW forensic telemetry with full context: source, destination, process, user, timestamp, and policy decision.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Per-session flow log, policy denial log, micro-segmentation policy workspace export.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4 — Access Is Determined by Dynamic Policy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Access policy must be dynamic — incorporating observable state of the requesting resource, user behavioral attributes, and environmental conditions. Static firewall rules are insufficient.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ADM-Derived Policy Baseline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policies are derived from actual observed application behavior (ADM) — not manually authored static rules. The baseline reflects real traffic patterns and is updated as applications evolve.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Label-Driven Dynamic Scoping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As workload labels change (e.g., a workload is classified as PHI-bearing), CSW scope membership — and therefore the policies applied to it — updates automatically without manual rule changes.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API-Driven Policy Updates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REST API allows SOAR platforms, CMDB systems, and orchestration tools to push policy updates in real time. A workload flagged as compromised by EDR triggers an automatic CSW isolation policy via API.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Vulnerability-Informed Policy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vulnerability data drives compensating control policies: a workload with a critical unpatched CVE can be automatically restricted to admin-only access until patched — posture-aware access control.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Anomaly-Triggered Adjustment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anomaly detection identifies behavioral deviations from the ADM baseline. These signals trigger SOAR-mediated policy tightening — moving access decisions from static to continuously adaptive.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ADM policy workspace, API audit log, anomaly alert-to-policy-change correlation log.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5 — Enterprise Monitors and Measures Integrity and Security Posture of All Assets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The enterprise must continuously monitor the security posture of all owned and associated assets. No asset is assumed healthy without verification.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Continuous Vulnerability Scanning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continuously scans all monitored workloads for CVEs without requiring a separate scanning tool. Results are CVSS-scored, workload-attributed, and exportable for risk register input.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Process Hash Verification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monitors the hash of all running processes per workload. Deviations from the approved process baseline — new or modified executables — are flagged immediately as integrity violations.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Configuration Drift Detection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detects new listening ports, new processes, and new network connections that deviate from the ADM-established baseline. Any drift from approved configuration triggers an alert.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Real-Time Posture Feed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posture data (vulnerability state, process baseline, network compliance) is continuously streamed to SIEM — providing the asset health data feed that NIST 800-207 requires for dynamic policy decisions.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Vulnerability scan report (continuous), process anomaly alert log, configuration drift report, SIEM posture feed.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6 — Authentication and Authorization Are Dynamic and Strictly Enforced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Authentication and authorization must be performed before access is granted and must be re-evaluated continuously. This applies to both human users and non-person entities (NPEs).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Encrypted Auth Path Enforcement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enforces LDAPS (port 636) and Kerberos as the only permitted authentication paths to sensitive workloads. Plain LDAP (port 389) and unauthenticated access attempts are blocked by policy.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Non-Person Entity (NPE) Authentication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captures process-identity context per workload connection — identifying which service or application initiated each flow. Unrecognized process-to-resource connections trigger alerts.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Unauthenticated Access Detection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forensic telemetry identifies connections that bypass the approved authentication path — a direct indicator of credential compromise or lateral movement.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Complementary Controls Required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dynamic authentication (MFA re-evaluation, continuous session validation, IdP integration) requires pairing CSW with an Identity Provider (IdP), SSO platform, and/or Cisco Secure Access (ZTNA).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Authentication path enforcement log (LDAPS policy), unauthenticated access alert log, process-identity flow report.</w:t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Note: Tenet 6 is Partial Coverage because CSW enforces the network path to authentication systems but does not itself perform identity provider functions. Pair with Cisco Secure Access or equivalent ZTNA for full coverage.</w:t>
      </w:r>
    </w:p>
    <w:p>
      <w:pPr>
        <w:pStyle w:val="Normal"/>
        <w:spacing w:before="2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Tenet 7 — Enterprise Collects Information and Uses It to Improve Security Posture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Requirement: The enterprise must collect, aggregate, and analyze data about the current state of assets, network traffic, and access requests, and use it to improve security posture over time.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99"/>
        <w:gridCol w:w="6961"/>
      </w:tblGrid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Full Flow &amp; Process Telemetry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collects comprehensive telemetry: every network flow (source, destination, port, protocol, bytes, duration), every process (name, hash, parent, user), and every policy decision across all monitored workloads.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ADM Behavioral Baseline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Quarterly ADM re-runs establish an evolving behavioral baseline. Delta analysis between ADM runs reveals new application dependencies, removed flows, and emerging attack surface — enabling proactive posture improvement.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Vulnerability Trend Analysis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tracks CVE emergence and remediation over time per workload. Trending data shows whether the organization's patch posture is improving, stable, or degrading.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SIEM Integration for Analytics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All CSW telemetry streams to SIEM via Kafka/Syslog — enabling the enterprise analytics platform required by NIST 800-207 to correlate CSW data with identity, endpoint, and cloud signals.</w:t>
            </w:r>
          </w:p>
        </w:tc>
      </w:tr>
      <w:tr>
        <w:trPr/>
        <w:tc>
          <w:tcPr>
            <w:tcW w:w="23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>Compliance Reporting Loop</w:t>
            </w:r>
          </w:p>
        </w:tc>
        <w:tc>
          <w:tcPr>
            <w:tcW w:w="696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compliance reports feed the security governance process. Control mapping evidence, vulnerability trends, and policy drift reports provide the data loop required by 800-207's continuous improvement model.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i/>
          <w:iCs/>
          <w:color w:val="555555"/>
          <w:sz w:val="20"/>
          <w:szCs w:val="20"/>
        </w:rPr>
        <w:t>Evidence generated: SIEM telemetry feed, ADM delta report (quarterly), vulnerability trend report, compliance posture report.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NIST 800-207 Deployment Models — CSW Positioning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NIST 800-207 defines three ZTA deployment models. CSW plays a role in all three: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99"/>
        <w:gridCol w:w="2560"/>
        <w:gridCol w:w="3201"/>
        <w:gridCol w:w="1800"/>
      </w:tblGrid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Deployment Model</w:t>
            </w:r>
          </w:p>
        </w:tc>
        <w:tc>
          <w:tcPr>
            <w:tcW w:w="2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NIST 800-207 Description</w:t>
            </w:r>
          </w:p>
        </w:tc>
        <w:tc>
          <w:tcPr>
            <w:tcW w:w="32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Role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Status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Agent/Device-Based ZTA</w:t>
            </w:r>
          </w:p>
        </w:tc>
        <w:tc>
          <w:tcPr>
            <w:tcW w:w="2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enforcement agent on each device evaluates access requests based on device posture and identity.</w:t>
            </w:r>
          </w:p>
        </w:tc>
        <w:tc>
          <w:tcPr>
            <w:tcW w:w="32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software sensor on each workload enforces network policy and collects posture data. Primary CSW deployment model.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Enclave-Based ZTA</w:t>
            </w:r>
          </w:p>
        </w:tc>
        <w:tc>
          <w:tcPr>
            <w:tcW w:w="2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Resources are grouped into enclaves. Access controlled at the gateway. Intra-enclave traffic is implicitly trusted.</w:t>
            </w:r>
          </w:p>
        </w:tc>
        <w:tc>
          <w:tcPr>
            <w:tcW w:w="32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replaces implicit intra-enclave trust with workload-level micro-segmentation. ADM validates all intra-enclave flows — no assumed trust within zones.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Resource Portal-Based ZTA</w:t>
            </w:r>
          </w:p>
        </w:tc>
        <w:tc>
          <w:tcPr>
            <w:tcW w:w="2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 resource portal mediates all access. Users connect to the portal which proxies requests to backend resources.</w:t>
            </w:r>
          </w:p>
        </w:tc>
        <w:tc>
          <w:tcPr>
            <w:tcW w:w="32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CSW protects backend resources behind the portal. Enforces that only the portal can reach backend workloads. Detects any bypass of the portal path.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Evidence Collection for NIST 800-207 Compliance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00"/>
        <w:gridCol w:w="2460"/>
        <w:gridCol w:w="2099"/>
        <w:gridCol w:w="2101"/>
      </w:tblGrid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Artifact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NIST 800-207 Tenet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Workload inventory &amp; resource map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Inventory → Export + ADM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1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Protocol compliance report (unencrypted flows)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Flow Search (protocol filter)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2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Quarterly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Per-session flow &amp; policy decision log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3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policy workspace + change log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Workspace History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4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Per change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Vulnerability scan report (trend)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Vulnerability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5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Weekly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baseline + anomaly alert log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Triggered Events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5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Real-time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Authentication path enforcement log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Analysis (LDAPS rules)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6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SIEM telemetry feed + ADM delta report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Platform → Data Export + ADM</w:t>
            </w:r>
          </w:p>
        </w:tc>
        <w:tc>
          <w:tcPr>
            <w:tcW w:w="20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Tenet 7</w:t>
            </w:r>
          </w:p>
        </w:tc>
        <w:tc>
          <w:tcPr>
            <w:tcW w:w="21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 / Quarterly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Recommended Deployment Roadmap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80"/>
        <w:gridCol w:w="1919"/>
        <w:gridCol w:w="5041"/>
        <w:gridCol w:w="1920"/>
      </w:tblGrid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#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Timeline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Resource Enumeration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Deploy CSW sensors on all workloads. Connect cloud accounts. Build complete resource inventory with labels. (Tenet 1)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1–10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Communication Visibility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Run ADM for 2–4 weeks. Map all east-west flows. Identify unencrypted communications. (Tenet 2, 7)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11–35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3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Per-Resource Policy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Build workload-level allowlist policies from ADM. Deploy default-deny for all sensitive scopes. (Tenet 3)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36–50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4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Dynamic Policy Enablement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Integrate CSW API with SOAR. Enable label-driven dynamic scoping. Configure vulnerability-informed compensating controls. (Tenet 4)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51–65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5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Posture Monitoring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Enable SIEM integration. Configure anomaly detection alerts. Establish weekly vulnerability reporting cadence. (Tenet 5, 7)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66–75</w:t>
            </w:r>
          </w:p>
        </w:tc>
      </w:tr>
      <w:tr>
        <w:trPr/>
        <w:tc>
          <w:tcPr>
            <w:tcW w:w="48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6</w:t>
            </w:r>
          </w:p>
        </w:tc>
        <w:tc>
          <w:tcPr>
            <w:tcW w:w="191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Auth Path Enforcement</w:t>
            </w:r>
          </w:p>
        </w:tc>
        <w:tc>
          <w:tcPr>
            <w:tcW w:w="504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LDAPS-only paths. Block plain LDAP, Telnet, FTP to sensitive scopes. Pair with IdP/ZTNA for full Tenet 6 coverage. (Tenet 6)</w:t>
            </w:r>
          </w:p>
        </w:tc>
        <w:tc>
          <w:tcPr>
            <w:tcW w:w="192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Days 76–90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NIST SP 800-207 ZERO TRUST ARCHITECTURE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NIST SP 800-207 ZERO TRUST ARCHITECTURE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2026-05-01T00:02:05Z</dcterms:created>
  <dc:creator>Un-named</dc:creator>
  <dc:description/>
  <dc:language>en-US</dc:language>
  <cp:lastModifiedBy>Un-named</cp:lastModifiedBy>
  <dcterms:modified xsi:type="dcterms:W3CDTF">2026-05-01T00:02:05Z</dcterms:modified>
  <cp:revision>1</cp:revision>
  <dc:subject/>
  <dc:title/>
</cp:coreProperties>
</file>