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1440" w:after="0"/>
        <w:rPr/>
      </w:pPr>
      <w:r>
        <w:rPr/>
      </w:r>
    </w:p>
    <w:p>
      <w:pPr>
        <w:pStyle w:val="Normal"/>
        <w:spacing w:before="0" w:after="200"/>
        <w:jc w:val="center"/>
        <w:rPr/>
      </w:pPr>
      <w:r>
        <w:rPr>
          <w:rFonts w:eastAsia="Arial" w:cs="Arial"/>
          <w:b/>
          <w:bCs/>
          <w:color w:val="003366"/>
          <w:sz w:val="52"/>
          <w:szCs w:val="52"/>
        </w:rPr>
        <w:t>CISCO SECURE WORKLOAD</w:t>
      </w:r>
    </w:p>
    <w:p>
      <w:pPr>
        <w:pStyle w:val="Normal"/>
        <w:spacing w:before="0" w:after="200"/>
        <w:jc w:val="center"/>
        <w:rPr/>
      </w:pPr>
      <w:r>
        <w:rPr>
          <w:rFonts w:eastAsia="Arial" w:cs="Arial"/>
          <w:b/>
          <w:bCs/>
          <w:color w:val="0070C0"/>
          <w:sz w:val="40"/>
          <w:szCs w:val="40"/>
        </w:rPr>
        <w:t>PCI DSS v4.0 Compliance Framework</w:t>
      </w:r>
    </w:p>
    <w:p>
      <w:pPr>
        <w:pStyle w:val="Normal"/>
        <w:pBdr>
          <w:bottom w:val="single" w:sz="12" w:space="4" w:color="0070C0"/>
        </w:pBdr>
        <w:spacing w:before="0" w:after="400"/>
        <w:jc w:val="center"/>
        <w:rPr/>
      </w:pPr>
      <w:r>
        <w:rPr>
          <w:rFonts w:eastAsia="Arial" w:cs="Arial"/>
          <w:color w:val="555555"/>
          <w:sz w:val="28"/>
          <w:szCs w:val="28"/>
        </w:rPr>
        <w:t>Payment Card Industry Data Security Standard</w:t>
      </w:r>
    </w:p>
    <w:p>
      <w:pPr>
        <w:pStyle w:val="Normal"/>
        <w:spacing w:before="400" w:after="160"/>
        <w:jc w:val="center"/>
        <w:rPr/>
      </w:pPr>
      <w:r>
        <w:rPr>
          <w:rFonts w:eastAsia="Arial" w:cs="Arial"/>
          <w:color w:val="444444"/>
          <w:sz w:val="28"/>
          <w:szCs w:val="28"/>
        </w:rPr>
        <w:t>Prepared for:  [Customer Name]</w:t>
      </w:r>
    </w:p>
    <w:p>
      <w:pPr>
        <w:pStyle w:val="Normal"/>
        <w:spacing w:before="0" w:after="160"/>
        <w:jc w:val="center"/>
        <w:rPr/>
      </w:pPr>
      <w:r>
        <w:rPr>
          <w:rFonts w:eastAsia="Arial" w:cs="Arial"/>
          <w:color w:val="666666"/>
          <w:sz w:val="24"/>
          <w:szCs w:val="24"/>
        </w:rPr>
        <w:t>Prepared by:  Cisco Systems, Inc.</w:t>
      </w:r>
    </w:p>
    <w:p>
      <w:pPr>
        <w:pStyle w:val="Normal"/>
        <w:spacing w:before="0" w:after="400"/>
        <w:jc w:val="center"/>
        <w:rPr/>
      </w:pPr>
      <w:r>
        <w:rPr>
          <w:rFonts w:eastAsia="Arial" w:cs="Arial"/>
          <w:color w:val="888888"/>
          <w:sz w:val="22"/>
          <w:szCs w:val="22"/>
        </w:rPr>
        <w:t>Date:  [Month Year]  |  Version 1.0  |  Cisco Confidential</w:t>
      </w:r>
    </w:p>
    <w:tbl>
      <w:tblPr>
        <w:tblW w:w="6000" w:type="dxa"/>
        <w:jc w:val="start"/>
        <w:tblInd w:w="0" w:type="dxa"/>
        <w:tblLayout w:type="fixed"/>
        <w:tblCellMar>
          <w:top w:w="160" w:type="dxa"/>
          <w:start w:w="240" w:type="dxa"/>
          <w:bottom w:w="160" w:type="dxa"/>
          <w:end w:w="240" w:type="dxa"/>
        </w:tblCellMar>
      </w:tblPr>
      <w:tblGrid>
        <w:gridCol w:w="6000"/>
      </w:tblGrid>
      <w:tr>
        <w:trPr/>
        <w:tc>
          <w:tcPr>
            <w:tcW w:w="6000" w:type="dxa"/>
            <w:tcBorders>
              <w:top w:val="single" w:sz="2" w:space="0" w:color="0070C0"/>
              <w:start w:val="single" w:sz="2" w:space="0" w:color="0070C0"/>
              <w:bottom w:val="single" w:sz="2" w:space="0" w:color="0070C0"/>
              <w:end w:val="single" w:sz="2" w:space="0" w:color="0070C0"/>
            </w:tcBorders>
            <w:shd w:fill="E8F4FC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003366"/>
                <w:sz w:val="22"/>
                <w:szCs w:val="22"/>
              </w:rPr>
              <w:t>Regulatory Standard: PCI DSS v4.0 (March 2022)</w:t>
            </w:r>
          </w:p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555555"/>
                <w:sz w:val="20"/>
                <w:szCs w:val="20"/>
              </w:rPr>
              <w:t>Environment: Hybrid (On-Premises + Cloud)</w:t>
            </w:r>
          </w:p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555555"/>
                <w:sz w:val="20"/>
                <w:szCs w:val="20"/>
              </w:rPr>
              <w:t>Deployment Stage: Fresh Installation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8" w:space="4" w:color="0070C0"/>
        </w:pBdr>
        <w:spacing w:before="0" w:after="200"/>
        <w:rPr/>
      </w:pPr>
      <w:r>
        <w:rPr>
          <w:rFonts w:eastAsia="Arial" w:cs="Arial" w:ascii="Arial" w:hAnsi="Arial"/>
          <w:b/>
          <w:bCs/>
          <w:color w:val="003366"/>
          <w:sz w:val="36"/>
          <w:szCs w:val="36"/>
        </w:rPr>
        <w:t>Executive Summary</w:t>
      </w:r>
    </w:p>
    <w:p>
      <w:pPr>
        <w:pStyle w:val="Normal"/>
        <w:spacing w:before="80" w:after="80"/>
        <w:rPr/>
      </w:pPr>
      <w:r>
        <w:rPr>
          <w:rFonts w:eastAsia="Arial" w:cs="Arial"/>
          <w:b w:val="false"/>
          <w:bCs w:val="false"/>
          <w:i w:val="false"/>
          <w:iCs w:val="false"/>
          <w:color w:val="000000"/>
          <w:sz w:val="22"/>
          <w:szCs w:val="22"/>
        </w:rPr>
        <w:t>PCI DSS v4.0 introduces the Customized Approach and strengthens network segmentation requirements significantly. Cisco Secure Workload (CSW) directly satisfies Requirements 1 (Network Security Controls), 6 (Vulnerability Management), 7 (Access Control), 10 (Logging &amp; Monitoring), and 11 (Security Testing) — the five requirements most commonly cited in PCI DSS audit findings.</w:t>
      </w:r>
    </w:p>
    <w:p>
      <w:pPr>
        <w:pStyle w:val="Normal"/>
        <w:spacing w:before="100" w:after="0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/>
          <w:b w:val="false"/>
          <w:bCs w:val="false"/>
          <w:i w:val="false"/>
          <w:iCs w:val="false"/>
          <w:color w:val="000000"/>
          <w:sz w:val="22"/>
          <w:szCs w:val="22"/>
        </w:rPr>
        <w:t>CSW's workload-level micro-segmentation provides stronger CDE isolation than traditional firewall-only approaches, directly addressing QSA concerns about lateral movement within the cardholder data environment.</w:t>
      </w:r>
    </w:p>
    <w:p>
      <w:pPr>
        <w:pStyle w:val="Normal"/>
        <w:spacing w:before="100" w:after="0"/>
        <w:rPr/>
      </w:pPr>
      <w:r>
        <w:rPr/>
      </w:r>
    </w:p>
    <w:p>
      <w:pPr>
        <w:pStyle w:val="Heading2"/>
        <w:spacing w:before="300" w:after="160"/>
        <w:rPr/>
      </w:pPr>
      <w:r>
        <w:rPr>
          <w:rFonts w:eastAsia="Arial" w:cs="Arial" w:ascii="Arial" w:hAnsi="Arial"/>
          <w:b/>
          <w:bCs/>
          <w:color w:val="0070C0"/>
          <w:sz w:val="28"/>
          <w:szCs w:val="28"/>
        </w:rPr>
        <w:t>Control Coverage Summary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599"/>
        <w:gridCol w:w="801"/>
        <w:gridCol w:w="1499"/>
        <w:gridCol w:w="1800"/>
        <w:gridCol w:w="2861"/>
        <w:gridCol w:w="1800"/>
      </w:tblGrid>
      <w:tr>
        <w:trPr/>
        <w:tc>
          <w:tcPr>
            <w:tcW w:w="5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Req</w:t>
            </w:r>
          </w:p>
        </w:tc>
        <w:tc>
          <w:tcPr>
            <w:tcW w:w="8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Sub-Req</w:t>
            </w:r>
          </w:p>
        </w:tc>
        <w:tc>
          <w:tcPr>
            <w:tcW w:w="14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Control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PCI DSS Requirement</w:t>
            </w:r>
          </w:p>
        </w:tc>
        <w:tc>
          <w:tcPr>
            <w:tcW w:w="28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CSW Implementation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Coverage</w:t>
            </w:r>
          </w:p>
        </w:tc>
      </w:tr>
      <w:tr>
        <w:trPr/>
        <w:tc>
          <w:tcPr>
            <w:tcW w:w="5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Req 1</w:t>
            </w:r>
          </w:p>
        </w:tc>
        <w:tc>
          <w:tcPr>
            <w:tcW w:w="8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1.2.1</w:t>
            </w:r>
          </w:p>
        </w:tc>
        <w:tc>
          <w:tcPr>
            <w:tcW w:w="14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Network Control Config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Document and enforce network security controls</w:t>
            </w:r>
          </w:p>
        </w:tc>
        <w:tc>
          <w:tcPr>
            <w:tcW w:w="28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ADM generates complete approved flow documentation; policy workspace serves as config evidence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Full Coverage</w:t>
            </w:r>
          </w:p>
        </w:tc>
      </w:tr>
      <w:tr>
        <w:trPr/>
        <w:tc>
          <w:tcPr>
            <w:tcW w:w="5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Req 1</w:t>
            </w:r>
          </w:p>
        </w:tc>
        <w:tc>
          <w:tcPr>
            <w:tcW w:w="8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1.3.1</w:t>
            </w:r>
          </w:p>
        </w:tc>
        <w:tc>
          <w:tcPr>
            <w:tcW w:w="14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Inbound CDE Traffic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Restrict inbound traffic to CDE to only what is necessary</w:t>
            </w:r>
          </w:p>
        </w:tc>
        <w:tc>
          <w:tcPr>
            <w:tcW w:w="28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Default-deny inbound to CDE scope; explicit allowlist only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Full Coverage</w:t>
            </w:r>
          </w:p>
        </w:tc>
      </w:tr>
      <w:tr>
        <w:trPr/>
        <w:tc>
          <w:tcPr>
            <w:tcW w:w="5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Req 1</w:t>
            </w:r>
          </w:p>
        </w:tc>
        <w:tc>
          <w:tcPr>
            <w:tcW w:w="8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1.3.2</w:t>
            </w:r>
          </w:p>
        </w:tc>
        <w:tc>
          <w:tcPr>
            <w:tcW w:w="14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Outbound CDE Traffic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Restrict outbound traffic from CDE to only what is necessary</w:t>
            </w:r>
          </w:p>
        </w:tc>
        <w:tc>
          <w:tcPr>
            <w:tcW w:w="28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Block direct internet from CDE; allowlist-only outbound paths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Full Coverage</w:t>
            </w:r>
          </w:p>
        </w:tc>
      </w:tr>
      <w:tr>
        <w:trPr/>
        <w:tc>
          <w:tcPr>
            <w:tcW w:w="5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Req 1</w:t>
            </w:r>
          </w:p>
        </w:tc>
        <w:tc>
          <w:tcPr>
            <w:tcW w:w="8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1.4.1</w:t>
            </w:r>
          </w:p>
        </w:tc>
        <w:tc>
          <w:tcPr>
            <w:tcW w:w="14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CDE Network Controls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Controls between CDE and untrusted networks</w:t>
            </w:r>
          </w:p>
        </w:tc>
        <w:tc>
          <w:tcPr>
            <w:tcW w:w="28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Workload-level micro-segmentation; enforced at OS — not just perimeter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Full Coverage</w:t>
            </w:r>
          </w:p>
        </w:tc>
      </w:tr>
      <w:tr>
        <w:trPr/>
        <w:tc>
          <w:tcPr>
            <w:tcW w:w="5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Req 6</w:t>
            </w:r>
          </w:p>
        </w:tc>
        <w:tc>
          <w:tcPr>
            <w:tcW w:w="8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6.3.3</w:t>
            </w:r>
          </w:p>
        </w:tc>
        <w:tc>
          <w:tcPr>
            <w:tcW w:w="14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Vulnerability Remediation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Protect all system components from known vulnerabilities</w:t>
            </w:r>
          </w:p>
        </w:tc>
        <w:tc>
          <w:tcPr>
            <w:tcW w:w="28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Continuous CVE scanning; CVSS-ranked remediation; compensating controls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Full Coverage</w:t>
            </w:r>
          </w:p>
        </w:tc>
      </w:tr>
      <w:tr>
        <w:trPr/>
        <w:tc>
          <w:tcPr>
            <w:tcW w:w="5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Req 7</w:t>
            </w:r>
          </w:p>
        </w:tc>
        <w:tc>
          <w:tcPr>
            <w:tcW w:w="8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7.2.1</w:t>
            </w:r>
          </w:p>
        </w:tc>
        <w:tc>
          <w:tcPr>
            <w:tcW w:w="14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Access Restriction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Restrict access to system components and cardholder data</w:t>
            </w:r>
          </w:p>
        </w:tc>
        <w:tc>
          <w:tcPr>
            <w:tcW w:w="28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Scope-based allowlist policies; process-level access audit per workload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Full Coverage</w:t>
            </w:r>
          </w:p>
        </w:tc>
      </w:tr>
      <w:tr>
        <w:trPr/>
        <w:tc>
          <w:tcPr>
            <w:tcW w:w="5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Req 10</w:t>
            </w:r>
          </w:p>
        </w:tc>
        <w:tc>
          <w:tcPr>
            <w:tcW w:w="8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10.2.1</w:t>
            </w:r>
          </w:p>
        </w:tc>
        <w:tc>
          <w:tcPr>
            <w:tcW w:w="14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Audit Log Events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Capture required audit log events</w:t>
            </w:r>
          </w:p>
        </w:tc>
        <w:tc>
          <w:tcPr>
            <w:tcW w:w="28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Full 5-tuple flow + process + user context logging on all CDE workloads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Full Coverage</w:t>
            </w:r>
          </w:p>
        </w:tc>
      </w:tr>
      <w:tr>
        <w:trPr/>
        <w:tc>
          <w:tcPr>
            <w:tcW w:w="5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Req 10</w:t>
            </w:r>
          </w:p>
        </w:tc>
        <w:tc>
          <w:tcPr>
            <w:tcW w:w="8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10.3.1</w:t>
            </w:r>
          </w:p>
        </w:tc>
        <w:tc>
          <w:tcPr>
            <w:tcW w:w="14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Audit Log Protection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Protect audit logs from destruction and unauthorized modification</w:t>
            </w:r>
          </w:p>
        </w:tc>
        <w:tc>
          <w:tcPr>
            <w:tcW w:w="28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Tamper-resistant cluster storage; export to immutable SIEM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Full Coverage</w:t>
            </w:r>
          </w:p>
        </w:tc>
      </w:tr>
      <w:tr>
        <w:trPr/>
        <w:tc>
          <w:tcPr>
            <w:tcW w:w="5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Req 10</w:t>
            </w:r>
          </w:p>
        </w:tc>
        <w:tc>
          <w:tcPr>
            <w:tcW w:w="8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10.4.1</w:t>
            </w:r>
          </w:p>
        </w:tc>
        <w:tc>
          <w:tcPr>
            <w:tcW w:w="14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Audit Log Review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Review audit logs daily</w:t>
            </w:r>
          </w:p>
        </w:tc>
        <w:tc>
          <w:tcPr>
            <w:tcW w:w="28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Dashboard summary + automated alert export eliminates manual review burden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Full Coverage</w:t>
            </w:r>
          </w:p>
        </w:tc>
      </w:tr>
      <w:tr>
        <w:trPr/>
        <w:tc>
          <w:tcPr>
            <w:tcW w:w="5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Req 11</w:t>
            </w:r>
          </w:p>
        </w:tc>
        <w:tc>
          <w:tcPr>
            <w:tcW w:w="8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11.3.1</w:t>
            </w:r>
          </w:p>
        </w:tc>
        <w:tc>
          <w:tcPr>
            <w:tcW w:w="14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Vulnerability Scans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Perform vulnerability scans at least quarterly</w:t>
            </w:r>
          </w:p>
        </w:tc>
        <w:tc>
          <w:tcPr>
            <w:tcW w:w="28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Continuous scanning exceeds quarterly requirement; reports serve as evidence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Full Coverage</w:t>
            </w:r>
          </w:p>
        </w:tc>
      </w:tr>
      <w:tr>
        <w:trPr/>
        <w:tc>
          <w:tcPr>
            <w:tcW w:w="5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Req 11</w:t>
            </w:r>
          </w:p>
        </w:tc>
        <w:tc>
          <w:tcPr>
            <w:tcW w:w="8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11.4.1</w:t>
            </w:r>
          </w:p>
        </w:tc>
        <w:tc>
          <w:tcPr>
            <w:tcW w:w="14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Penetration Testing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Implement penetration testing methodology</w:t>
            </w:r>
          </w:p>
        </w:tc>
        <w:tc>
          <w:tcPr>
            <w:tcW w:w="28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ADM baseline used as pre/post-pentest reference; forensic telemetry captures all pentest activity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C55A1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Partial Coverage</w:t>
            </w:r>
          </w:p>
        </w:tc>
      </w:tr>
      <w:tr>
        <w:trPr/>
        <w:tc>
          <w:tcPr>
            <w:tcW w:w="5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Req 12</w:t>
            </w:r>
          </w:p>
        </w:tc>
        <w:tc>
          <w:tcPr>
            <w:tcW w:w="8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12.3.2</w:t>
            </w:r>
          </w:p>
        </w:tc>
        <w:tc>
          <w:tcPr>
            <w:tcW w:w="14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Targeted Risk Analysis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Conduct targeted risk analysis for customized implementations</w:t>
            </w:r>
          </w:p>
        </w:tc>
        <w:tc>
          <w:tcPr>
            <w:tcW w:w="28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CSW vulnerability + ADM data feeds targeted risk analysis documentation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70C0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Evidence Required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8" w:space="4" w:color="0070C0"/>
        </w:pBdr>
        <w:spacing w:before="0" w:after="200"/>
        <w:rPr/>
      </w:pPr>
      <w:r>
        <w:rPr>
          <w:rFonts w:eastAsia="Arial" w:cs="Arial" w:ascii="Arial" w:hAnsi="Arial"/>
          <w:b/>
          <w:bCs/>
          <w:color w:val="003366"/>
          <w:sz w:val="36"/>
          <w:szCs w:val="36"/>
        </w:rPr>
        <w:t>Cardholder Data Environment (CDE) Architecture</w:t>
      </w:r>
    </w:p>
    <w:p>
      <w:pPr>
        <w:pStyle w:val="Heading2"/>
        <w:spacing w:before="300" w:after="160"/>
        <w:rPr/>
      </w:pPr>
      <w:r>
        <w:rPr>
          <w:rFonts w:eastAsia="Arial" w:cs="Arial" w:ascii="Arial" w:hAnsi="Arial"/>
          <w:b/>
          <w:bCs/>
          <w:color w:val="0070C0"/>
          <w:sz w:val="28"/>
          <w:szCs w:val="28"/>
        </w:rPr>
        <w:t>Recommended Scope Segmentation</w:t>
      </w:r>
    </w:p>
    <w:p>
      <w:pPr>
        <w:pStyle w:val="Normal"/>
        <w:spacing w:before="80" w:after="80"/>
        <w:rPr/>
      </w:pPr>
      <w:r>
        <w:rPr>
          <w:rFonts w:eastAsia="Arial" w:cs="Arial"/>
          <w:b w:val="false"/>
          <w:bCs w:val="false"/>
          <w:i w:val="false"/>
          <w:iCs w:val="false"/>
          <w:color w:val="000000"/>
          <w:sz w:val="22"/>
          <w:szCs w:val="22"/>
        </w:rPr>
        <w:t>CSW organizes workloads into scopes that directly map to PCI DSS network segmentation requirements:</w:t>
      </w:r>
    </w:p>
    <w:p>
      <w:pPr>
        <w:pStyle w:val="Normal"/>
        <w:spacing w:before="100" w:after="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340"/>
        <w:gridCol w:w="2340"/>
        <w:gridCol w:w="2340"/>
        <w:gridCol w:w="2340"/>
      </w:tblGrid>
      <w:tr>
        <w:trPr/>
        <w:tc>
          <w:tcPr>
            <w:tcW w:w="234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CDE (Strictest)</w:t>
            </w:r>
          </w:p>
        </w:tc>
        <w:tc>
          <w:tcPr>
            <w:tcW w:w="234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CDE-Connected</w:t>
            </w:r>
          </w:p>
        </w:tc>
        <w:tc>
          <w:tcPr>
            <w:tcW w:w="234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Out-of-Scope</w:t>
            </w:r>
          </w:p>
        </w:tc>
        <w:tc>
          <w:tcPr>
            <w:tcW w:w="234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Third-Party Processors</w:t>
            </w:r>
          </w:p>
        </w:tc>
      </w:tr>
      <w:tr>
        <w:trPr/>
        <w:tc>
          <w:tcPr>
            <w:tcW w:w="234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>PAN Storage Payment Processing Payment Gateways HSM Servers</w:t>
            </w:r>
          </w:p>
        </w:tc>
        <w:tc>
          <w:tcPr>
            <w:tcW w:w="234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>Web Servers Auth Servers Logging Infrastructure</w:t>
            </w:r>
          </w:p>
        </w:tc>
        <w:tc>
          <w:tcPr>
            <w:tcW w:w="234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>Corporate Systems Dev/Test Environments HR Systems</w:t>
            </w:r>
          </w:p>
        </w:tc>
        <w:tc>
          <w:tcPr>
            <w:tcW w:w="234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>PCI-Compliant Vendors Acquirers Processing Networks</w:t>
            </w:r>
          </w:p>
        </w:tc>
      </w:tr>
      <w:tr>
        <w:trPr/>
        <w:tc>
          <w:tcPr>
            <w:tcW w:w="234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Default DENY all inbound Allowlist-only outbound Full forensic logging</w:t>
            </w:r>
          </w:p>
        </w:tc>
        <w:tc>
          <w:tcPr>
            <w:tcW w:w="234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Restricted to CDE-approved flows ADM-validated policies</w:t>
            </w:r>
          </w:p>
        </w:tc>
        <w:tc>
          <w:tcPr>
            <w:tcW w:w="234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Zero CDE communication ADM confirms isolation</w:t>
            </w:r>
          </w:p>
        </w:tc>
        <w:tc>
          <w:tcPr>
            <w:tcW w:w="234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>BAA-documented paths Full flow audit per processor</w:t>
            </w:r>
          </w:p>
        </w:tc>
      </w:tr>
    </w:tbl>
    <w:p>
      <w:pPr>
        <w:pStyle w:val="Normal"/>
        <w:spacing w:before="100" w:after="0"/>
        <w:rPr/>
      </w:pPr>
      <w:r>
        <w:rPr/>
      </w:r>
    </w:p>
    <w:p>
      <w:pPr>
        <w:pStyle w:val="Heading1"/>
        <w:pBdr>
          <w:bottom w:val="single" w:sz="8" w:space="4" w:color="0070C0"/>
        </w:pBdr>
        <w:spacing w:before="400" w:after="200"/>
        <w:rPr/>
      </w:pPr>
      <w:r>
        <w:rPr>
          <w:rFonts w:eastAsia="Arial" w:cs="Arial" w:ascii="Arial" w:hAnsi="Arial"/>
          <w:b/>
          <w:bCs/>
          <w:color w:val="003366"/>
          <w:sz w:val="36"/>
          <w:szCs w:val="36"/>
        </w:rPr>
        <w:t>QSA Evidence Package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799"/>
        <w:gridCol w:w="2500"/>
        <w:gridCol w:w="1560"/>
        <w:gridCol w:w="2501"/>
      </w:tblGrid>
      <w:tr>
        <w:trPr/>
        <w:tc>
          <w:tcPr>
            <w:tcW w:w="27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Evidence Item</w:t>
            </w:r>
          </w:p>
        </w:tc>
        <w:tc>
          <w:tcPr>
            <w:tcW w:w="25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CSW Source</w:t>
            </w:r>
          </w:p>
        </w:tc>
        <w:tc>
          <w:tcPr>
            <w:tcW w:w="15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PCI Requirement</w:t>
            </w:r>
          </w:p>
        </w:tc>
        <w:tc>
          <w:tcPr>
            <w:tcW w:w="2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Frequency</w:t>
            </w:r>
          </w:p>
        </w:tc>
      </w:tr>
      <w:tr>
        <w:trPr/>
        <w:tc>
          <w:tcPr>
            <w:tcW w:w="27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CDE network policy export</w:t>
            </w:r>
          </w:p>
        </w:tc>
        <w:tc>
          <w:tcPr>
            <w:tcW w:w="25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Defend → Policy Workspaces</w:t>
            </w:r>
          </w:p>
        </w:tc>
        <w:tc>
          <w:tcPr>
            <w:tcW w:w="15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Req 1</w:t>
            </w:r>
          </w:p>
        </w:tc>
        <w:tc>
          <w:tcPr>
            <w:tcW w:w="2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D9D9D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Per assessment</w:t>
            </w:r>
          </w:p>
        </w:tc>
      </w:tr>
      <w:tr>
        <w:trPr/>
        <w:tc>
          <w:tcPr>
            <w:tcW w:w="27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CDE inbound/outbound flow log</w:t>
            </w:r>
          </w:p>
        </w:tc>
        <w:tc>
          <w:tcPr>
            <w:tcW w:w="25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Investigate → Flow Search</w:t>
            </w:r>
          </w:p>
        </w:tc>
        <w:tc>
          <w:tcPr>
            <w:tcW w:w="15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Req 1, Req 10</w:t>
            </w:r>
          </w:p>
        </w:tc>
        <w:tc>
          <w:tcPr>
            <w:tcW w:w="2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D9D9D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Continuous</w:t>
            </w:r>
          </w:p>
        </w:tc>
      </w:tr>
      <w:tr>
        <w:trPr/>
        <w:tc>
          <w:tcPr>
            <w:tcW w:w="27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Policy violation report</w:t>
            </w:r>
          </w:p>
        </w:tc>
        <w:tc>
          <w:tcPr>
            <w:tcW w:w="25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Alerts → Triggered Events</w:t>
            </w:r>
          </w:p>
        </w:tc>
        <w:tc>
          <w:tcPr>
            <w:tcW w:w="15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Req 10</w:t>
            </w:r>
          </w:p>
        </w:tc>
        <w:tc>
          <w:tcPr>
            <w:tcW w:w="2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D9D9D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Monthly</w:t>
            </w:r>
          </w:p>
        </w:tc>
      </w:tr>
      <w:tr>
        <w:trPr/>
        <w:tc>
          <w:tcPr>
            <w:tcW w:w="27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Vulnerability scan report (CDE)</w:t>
            </w:r>
          </w:p>
        </w:tc>
        <w:tc>
          <w:tcPr>
            <w:tcW w:w="25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Investigate → Vulnerability</w:t>
            </w:r>
          </w:p>
        </w:tc>
        <w:tc>
          <w:tcPr>
            <w:tcW w:w="15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Req 6, Req 11</w:t>
            </w:r>
          </w:p>
        </w:tc>
        <w:tc>
          <w:tcPr>
            <w:tcW w:w="2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D9D9D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Weekly</w:t>
            </w:r>
          </w:p>
        </w:tc>
      </w:tr>
      <w:tr>
        <w:trPr/>
        <w:tc>
          <w:tcPr>
            <w:tcW w:w="27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CDE scope membership snapshot</w:t>
            </w:r>
          </w:p>
        </w:tc>
        <w:tc>
          <w:tcPr>
            <w:tcW w:w="25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Inventory → Export</w:t>
            </w:r>
          </w:p>
        </w:tc>
        <w:tc>
          <w:tcPr>
            <w:tcW w:w="15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Req 1, Req 7</w:t>
            </w:r>
          </w:p>
        </w:tc>
        <w:tc>
          <w:tcPr>
            <w:tcW w:w="2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D9D9D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Monthly</w:t>
            </w:r>
          </w:p>
        </w:tc>
      </w:tr>
      <w:tr>
        <w:trPr/>
        <w:tc>
          <w:tcPr>
            <w:tcW w:w="27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Anomaly detection log</w:t>
            </w:r>
          </w:p>
        </w:tc>
        <w:tc>
          <w:tcPr>
            <w:tcW w:w="25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Alerts → Dashboard</w:t>
            </w:r>
          </w:p>
        </w:tc>
        <w:tc>
          <w:tcPr>
            <w:tcW w:w="15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Req 10, Req 11</w:t>
            </w:r>
          </w:p>
        </w:tc>
        <w:tc>
          <w:tcPr>
            <w:tcW w:w="2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D9D9D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Monthly</w:t>
            </w:r>
          </w:p>
        </w:tc>
      </w:tr>
      <w:tr>
        <w:trPr/>
        <w:tc>
          <w:tcPr>
            <w:tcW w:w="27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ADM dependency map (CDE)</w:t>
            </w:r>
          </w:p>
        </w:tc>
        <w:tc>
          <w:tcPr>
            <w:tcW w:w="25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Investigate → ADM</w:t>
            </w:r>
          </w:p>
        </w:tc>
        <w:tc>
          <w:tcPr>
            <w:tcW w:w="15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Req 1</w:t>
            </w:r>
          </w:p>
        </w:tc>
        <w:tc>
          <w:tcPr>
            <w:tcW w:w="2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D9D9D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Quarterly</w:t>
            </w:r>
          </w:p>
        </w:tc>
      </w:tr>
      <w:tr>
        <w:trPr/>
        <w:tc>
          <w:tcPr>
            <w:tcW w:w="27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Process audit log (CDE)</w:t>
            </w:r>
          </w:p>
        </w:tc>
        <w:tc>
          <w:tcPr>
            <w:tcW w:w="25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Investigate → Process Search</w:t>
            </w:r>
          </w:p>
        </w:tc>
        <w:tc>
          <w:tcPr>
            <w:tcW w:w="15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Req 10</w:t>
            </w:r>
          </w:p>
        </w:tc>
        <w:tc>
          <w:tcPr>
            <w:tcW w:w="2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D9D9D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On-demand</w:t>
            </w:r>
          </w:p>
        </w:tc>
      </w:tr>
    </w:tbl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1080" w:right="1080" w:gutter="0" w:header="708" w:top="1080" w:footer="708" w:bottom="108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4" w:space="2" w:color="D9D9D9"/>
      </w:pBdr>
      <w:rPr/>
    </w:pPr>
    <w:r>
      <w:rPr>
        <w:rFonts w:eastAsia="Arial" w:cs="Arial"/>
        <w:color w:val="888888"/>
        <w:sz w:val="16"/>
        <w:szCs w:val="16"/>
      </w:rPr>
      <w:t xml:space="preserve">© 2025 Cisco Systems, Inc. All rights reserved.  |  Cisco Confidential  |  Page 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4" w:space="2" w:color="D9D9D9"/>
      </w:pBdr>
      <w:rPr/>
    </w:pPr>
    <w:r>
      <w:rPr>
        <w:rFonts w:eastAsia="Arial" w:cs="Arial"/>
        <w:color w:val="888888"/>
        <w:sz w:val="16"/>
        <w:szCs w:val="16"/>
      </w:rPr>
      <w:t xml:space="preserve">© 2025 Cisco Systems, Inc. All rights reserved.  |  Cisco Confidential  |  Page 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6" w:space="2" w:color="0070C0"/>
      </w:pBdr>
      <w:tabs>
        <w:tab w:val="clear" w:pos="720"/>
        <w:tab w:val="right" w:pos="9026" w:leader="none"/>
      </w:tabs>
      <w:rPr/>
    </w:pPr>
    <w:r>
      <w:rPr>
        <w:rFonts w:eastAsia="Arial" w:cs="Arial"/>
        <w:b/>
        <w:bCs/>
        <w:color w:val="003366"/>
        <w:sz w:val="16"/>
        <w:szCs w:val="16"/>
      </w:rPr>
      <w:t>CISCO SECURE WORKLOAD  |  PCI DSS v4.0 COMPLIANCE FRAMEWORK</w:t>
    </w:r>
    <w:r>
      <w:rPr>
        <w:rFonts w:eastAsia="Arial" w:cs="Arial"/>
        <w:color w:val="888888"/>
        <w:sz w:val="16"/>
        <w:szCs w:val="16"/>
      </w:rPr>
      <w:tab/>
      <w:t>[Customer Name] — Confidential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6" w:space="2" w:color="0070C0"/>
      </w:pBdr>
      <w:tabs>
        <w:tab w:val="clear" w:pos="720"/>
        <w:tab w:val="right" w:pos="9026" w:leader="none"/>
      </w:tabs>
      <w:rPr/>
    </w:pPr>
    <w:r>
      <w:rPr>
        <w:rFonts w:eastAsia="Arial" w:cs="Arial"/>
        <w:b/>
        <w:bCs/>
        <w:color w:val="003366"/>
        <w:sz w:val="16"/>
        <w:szCs w:val="16"/>
      </w:rPr>
      <w:t>CISCO SECURE WORKLOAD  |  PCI DSS v4.0 COMPLIANCE FRAMEWORK</w:t>
    </w:r>
    <w:r>
      <w:rPr>
        <w:rFonts w:eastAsia="Arial" w:cs="Arial"/>
        <w:color w:val="888888"/>
        <w:sz w:val="16"/>
        <w:szCs w:val="16"/>
      </w:rPr>
      <w:tab/>
      <w:t>[Customer Name] — Confidential</w:t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before="400" w:after="200"/>
      <w:outlineLvl w:val="0"/>
    </w:pPr>
    <w:rPr>
      <w:rFonts w:ascii="Arial" w:hAnsi="Arial" w:eastAsia="Arial" w:cs="Arial"/>
      <w:b/>
      <w:bCs/>
      <w:color w:val="003366"/>
      <w:sz w:val="36"/>
      <w:szCs w:val="36"/>
    </w:rPr>
  </w:style>
  <w:style w:type="paragraph" w:styleId="Heading2">
    <w:name w:val="heading 2"/>
    <w:basedOn w:val="Heading"/>
    <w:qFormat/>
    <w:pPr>
      <w:spacing w:before="300" w:after="160"/>
      <w:outlineLvl w:val="1"/>
    </w:pPr>
    <w:rPr>
      <w:rFonts w:ascii="Arial" w:hAnsi="Arial" w:eastAsia="Arial" w:cs="Arial"/>
      <w:b/>
      <w:bCs/>
      <w:color w:val="0070C0"/>
      <w:sz w:val="28"/>
      <w:szCs w:val="28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start"/>
    </w:pPr>
    <w:rPr>
      <w:rFonts w:ascii="Arial" w:hAnsi="Arial" w:eastAsia="Arial" w:cs="Arial"/>
      <w:b/>
      <w:bCs/>
      <w:color w:val="auto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LibreOffice/26.2.3.2$MacOSX_X86_64 LibreOffice_project/70e089b17412e4cb7773e41413306b17a2328c34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2026-04-29T23:36:29Z</dcterms:created>
  <dc:creator>Un-named</dc:creator>
  <dc:description/>
  <dc:language>en-US</dc:language>
  <cp:lastModifiedBy>Un-named</cp:lastModifiedBy>
  <dcterms:modified xsi:type="dcterms:W3CDTF">2026-04-29T23:36:29Z</dcterms:modified>
  <cp:revision>1</cp:revision>
  <dc:subject/>
  <dc:title/>
</cp:coreProperties>
</file>