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4" w:name="X6a01070faccf927d668c6a54f3e7f5011a5a999"/>
    <w:p>
      <w:pPr>
        <w:pStyle w:val="Heading1"/>
      </w:pPr>
      <w:r>
        <w:t xml:space="preserve">Cisco Secure Workload — UK NCSC Cyber Assessment Framework (CAF)</w:t>
      </w:r>
    </w:p>
    <w:bookmarkStart w:id="9" w:name="Xdaa7c1b5a8d5b27b764cecb92ddec7fd03e6a47"/>
    <w:p>
      <w:pPr>
        <w:pStyle w:val="Heading2"/>
      </w:pPr>
      <w:r>
        <w:t xml:space="preserve">Technical Runbook | Operators of Essential Services &amp; GovAssure</w:t>
      </w:r>
    </w:p>
    <w:p>
      <w:pPr>
        <w:pStyle w:val="FirstParagraph"/>
      </w:pPr>
      <w:r>
        <w:rPr>
          <w:b/>
          <w:bCs/>
        </w:rPr>
        <w:t xml:space="preserve">Version:</w:t>
      </w:r>
      <w:r>
        <w:t xml:space="preserve"> </w:t>
      </w:r>
      <w:r>
        <w:t xml:space="preserve">1.0</w:t>
      </w:r>
      <w:r>
        <w:t xml:space="preserve"> </w:t>
      </w:r>
      <w:r>
        <w:rPr>
          <w:b/>
          <w:bCs/>
        </w:rPr>
        <w:t xml:space="preserve">Framework:</w:t>
      </w:r>
      <w:r>
        <w:t xml:space="preserve"> </w:t>
      </w:r>
      <w:r>
        <w:t xml:space="preserve">NCSC Cyber Assessment Framework (</w:t>
      </w:r>
      <w:r>
        <w:rPr>
          <w:b/>
          <w:bCs/>
        </w:rPr>
        <w:t xml:space="preserve">CAF v3.2</w:t>
      </w:r>
      <w:r>
        <w:t xml:space="preserve">, published November 2024) — 4 objectives · 14 principles · Indicators of Good Practice (IGPs) with three-tier maturity (Achieved / Partially Achieved / Not Achieved)</w:t>
      </w:r>
      <w:r>
        <w:t xml:space="preserve"> </w:t>
      </w:r>
      <w:r>
        <w:rPr>
          <w:b/>
          <w:bCs/>
        </w:rPr>
        <w:t xml:space="preserve">Use Case:</w:t>
      </w:r>
      <w:r>
        <w:t xml:space="preserve"> </w:t>
      </w:r>
      <w:r>
        <w:t xml:space="preserve">OES self-assessment or regulator-led audit under</w:t>
      </w:r>
      <w:r>
        <w:t xml:space="preserve"> </w:t>
      </w:r>
      <w:r>
        <w:rPr>
          <w:b/>
          <w:bCs/>
        </w:rPr>
        <w:t xml:space="preserve">NIS Regulations 2018 (UK)</w:t>
      </w:r>
      <w:r>
        <w:t xml:space="preserve">; central-government departments / arm's-length bodies under</w:t>
      </w:r>
      <w:r>
        <w:t xml:space="preserve"> </w:t>
      </w:r>
      <w:r>
        <w:rPr>
          <w:b/>
          <w:bCs/>
        </w:rPr>
        <w:t xml:space="preserve">GovAssure</w:t>
      </w:r>
      <w:r>
        <w:t xml:space="preserve">; voluntary adoption by other CNI operators.</w:t>
      </w:r>
    </w:p>
    <w:p>
      <w:pPr>
        <w:pStyle w:val="BlockText"/>
      </w:pPr>
      <w:r>
        <w:rPr>
          <w:b/>
          <w:bCs/>
        </w:rPr>
        <w:t xml:space="preserve">Framework version note.</w:t>
      </w:r>
      <w:r>
        <w:t xml:space="preserve"> </w:t>
      </w:r>
      <w:r>
        <w:t xml:space="preserve">CAF v3.2 is the current NCSC-published baseline; sector regulators (Ofgem, Ofcom, DWI, CAA, ORR, MCA, DHSC/NHS England) may layer sector-specific profiles or add IGP guidance on top. Confirm the profile your Competent Authority uses before finalising evidence. This runbook cites CAF principle IDs (A1–D2) and IGP themes; specific IGP text is authoritative in the NCSC publication.</w:t>
      </w:r>
    </w:p>
    <w:p>
      <w:pPr>
        <w:pStyle w:val="BlockText"/>
      </w:pPr>
      <w:r>
        <w:rPr>
          <w:b/>
          <w:bCs/>
        </w:rPr>
        <w:t xml:space="preserve">Scope boundary.</w:t>
      </w:r>
      <w:r>
        <w:t xml:space="preserve"> </w:t>
      </w:r>
      <w:r>
        <w:t xml:space="preserve">CSW is a workload-segmentation and observability product operating on</w:t>
      </w:r>
      <w:r>
        <w:t xml:space="preserve"> </w:t>
      </w:r>
      <w:r>
        <w:rPr>
          <w:b/>
          <w:bCs/>
        </w:rPr>
        <w:t xml:space="preserve">servers, VMs, containers, and cloud workloads</w:t>
      </w:r>
      <w:r>
        <w:t xml:space="preserve">. Where CAF principles reference OT / ICS field devices (PLCs, RTUs, HMIs, IEDs, SCADA controllers) or industrial protocols (Modbus, DNP3, S7, OPC UA, BACnet), CSW is</w:t>
      </w:r>
      <w:r>
        <w:t xml:space="preserve"> </w:t>
      </w:r>
      <w:r>
        <w:rPr>
          <w:b/>
          <w:bCs/>
        </w:rPr>
        <w:t xml:space="preserve">not</w:t>
      </w:r>
      <w:r>
        <w:t xml:space="preserve"> </w:t>
      </w:r>
      <w:r>
        <w:t xml:space="preserve">the enforcement point — pair it with an OT-native product (Cisco Cyber Vision, Claroty xDome, Nozomi Networks). CSW's role is to harden the</w:t>
      </w:r>
      <w:r>
        <w:t xml:space="preserve"> </w:t>
      </w:r>
      <w:r>
        <w:rPr>
          <w:b/>
          <w:bCs/>
        </w:rPr>
        <w:t xml:space="preserve">IT-side workloads</w:t>
      </w:r>
      <w:r>
        <w:t xml:space="preserve"> </w:t>
      </w:r>
      <w:r>
        <w:t xml:space="preserve">that support essential services (jump hosts, historians, engineering workstations, IT/OT DMZ workloads, identity/PKI, patch/AV servers, monitoring stacks) and to evidence the</w:t>
      </w:r>
      <w:r>
        <w:t xml:space="preserve"> </w:t>
      </w:r>
      <w:r>
        <w:rPr>
          <w:b/>
          <w:bCs/>
        </w:rPr>
        <w:t xml:space="preserve">IT-side</w:t>
      </w:r>
      <w:r>
        <w:t xml:space="preserve"> </w:t>
      </w:r>
      <w:r>
        <w:t xml:space="preserve">of the IT/OT boundary.</w:t>
      </w:r>
    </w:p>
    <w:p>
      <w:pPr>
        <w:pStyle w:val="BlockText"/>
      </w:pPr>
      <w:r>
        <w:rPr>
          <w:b/>
          <w:bCs/>
        </w:rPr>
        <w:t xml:space="preserve">CSW UI navigation note.</w:t>
      </w:r>
      <w:r>
        <w:t xml:space="preserve"> </w:t>
      </w:r>
      <w:r>
        <w:t xml:space="preserve">Cisco does not yet publish CAF-specific UI navigation; framework-specific paths are on the product roadmap. This runbook describes CSW</w:t>
      </w:r>
      <w:r>
        <w:t xml:space="preserve"> </w:t>
      </w:r>
      <w:r>
        <w:rPr>
          <w:i/>
          <w:iCs/>
        </w:rPr>
        <w:t xml:space="preserve">capabilities</w:t>
      </w:r>
      <w:r>
        <w:t xml:space="preserve"> </w:t>
      </w:r>
      <w:r>
        <w:t xml:space="preserve">and the</w:t>
      </w:r>
      <w:r>
        <w:t xml:space="preserve"> </w:t>
      </w:r>
      <w:r>
        <w:rPr>
          <w:i/>
          <w:iCs/>
        </w:rPr>
        <w:t xml:space="preserve">evidence artifacts</w:t>
      </w:r>
      <w:r>
        <w:t xml:space="preserve"> </w:t>
      </w:r>
      <w:r>
        <w:t xml:space="preserve">they produce — those artefacts map to CAF IGPs regardless of UI cosmetics.</w:t>
      </w:r>
    </w:p>
    <w:p>
      <w:r>
        <w:pict>
          <v:rect style="width:0;height:1.5pt" o:hralign="center" o:hrstd="t" o:hr="t"/>
        </w:pict>
      </w:r>
    </w:p>
    <w:bookmarkEnd w:id="9"/>
    <w:bookmarkStart w:id="10" w:name="readers-guide"/>
    <w:p>
      <w:pPr>
        <w:pStyle w:val="Heading2"/>
      </w:pPr>
      <w:r>
        <w:t xml:space="preserve">Reader's Guide</w:t>
      </w:r>
    </w:p>
    <w:p>
      <w:pPr>
        <w:pStyle w:val="FirstParagraph"/>
      </w:pPr>
      <w:r>
        <w:rPr>
          <w:b/>
          <w:bCs/>
        </w:rPr>
        <w:t xml:space="preserve">Who this is for.</w:t>
      </w:r>
      <w:r>
        <w:t xml:space="preserve"> </w:t>
      </w:r>
      <w:r>
        <w:t xml:space="preserve">UK CNI operators — Energy (electricity, gas, oil), Water, Transport (air, maritime, rail, road), Healthcare (NHS Trusts and their suppliers), Digital Infrastructure (DNS, IXPs, TLD registries) — and central-government departments preparing for a</w:t>
      </w:r>
      <w:r>
        <w:t xml:space="preserve"> </w:t>
      </w:r>
      <w:r>
        <w:rPr>
          <w:b/>
          <w:bCs/>
        </w:rPr>
        <w:t xml:space="preserve">GovAssure</w:t>
      </w:r>
      <w:r>
        <w:t xml:space="preserve"> </w:t>
      </w:r>
      <w:r>
        <w:t xml:space="preserve">third-party CAF assessment. Roles served: CISO, CAF lead / GRC, IT and OT engineering, internal audit, and consultants running an IGP walk-through with a Competent Authority.</w:t>
      </w:r>
    </w:p>
    <w:p>
      <w:pPr>
        <w:pStyle w:val="BodyText"/>
      </w:pPr>
      <w:r>
        <w:rPr>
          <w:b/>
          <w:bCs/>
        </w:rPr>
        <w:t xml:space="preserve">Questions this runbook helps you answer:</w:t>
      </w:r>
    </w:p>
    <w:p>
      <w:pPr>
        <w:pStyle w:val="Compact"/>
        <w:numPr>
          <w:ilvl w:val="0"/>
          <w:numId w:val="1001"/>
        </w:numPr>
      </w:pPr>
      <w:r>
        <w:rPr>
          <w:i/>
          <w:iCs/>
        </w:rPr>
        <w:t xml:space="preserve">A3 Asset Management — Can I produce a continuously refreshed inventory of the physical devices, virtual workloads, containers, and cloud services supporting an essential function, and evidence coverage against my CMDB?</w:t>
      </w:r>
    </w:p>
    <w:p>
      <w:pPr>
        <w:pStyle w:val="Compact"/>
        <w:numPr>
          <w:ilvl w:val="0"/>
          <w:numId w:val="1001"/>
        </w:numPr>
      </w:pPr>
      <w:r>
        <w:rPr>
          <w:i/>
          <w:iCs/>
        </w:rPr>
        <w:t xml:space="preserve">B4 System Security / B5 Resilient Networks &amp; Systems — Can I demonstrate structural segmentation between IT corporate estate and OT/SCADA process networks, and micro-segmentation within IT tiers supporting the essential function?</w:t>
      </w:r>
    </w:p>
    <w:p>
      <w:pPr>
        <w:pStyle w:val="Compact"/>
        <w:numPr>
          <w:ilvl w:val="0"/>
          <w:numId w:val="1001"/>
        </w:numPr>
      </w:pPr>
      <w:r>
        <w:rPr>
          <w:i/>
          <w:iCs/>
        </w:rPr>
        <w:t xml:space="preserve">C1 Security Monitoring — Can I evidence continuous logging of network flows and workload processes with synchronised time, and forward telemetry to SIEM/SOAR for retention and correlation?</w:t>
      </w:r>
    </w:p>
    <w:p>
      <w:pPr>
        <w:pStyle w:val="Compact"/>
        <w:numPr>
          <w:ilvl w:val="0"/>
          <w:numId w:val="1001"/>
        </w:numPr>
      </w:pPr>
      <w:r>
        <w:rPr>
          <w:i/>
          <w:iCs/>
        </w:rPr>
        <w:t xml:space="preserve">C2 Proactive Event Discovery — Can I show anomaly detection, threat hunting inputs, and reachability-weighted vulnerability prioritisation for workloads adjacent to essential-function systems?</w:t>
      </w:r>
    </w:p>
    <w:p>
      <w:pPr>
        <w:pStyle w:val="Compact"/>
        <w:numPr>
          <w:ilvl w:val="0"/>
          <w:numId w:val="1001"/>
        </w:numPr>
      </w:pPr>
      <w:r>
        <w:rPr>
          <w:i/>
          <w:iCs/>
        </w:rPr>
        <w:t xml:space="preserve">D1 Response &amp; Recovery — In an incident, can I reconstruct a workload-level timeline (which processes talked to which peers, when, at what volume) as forensic input to the CIRP?</w:t>
      </w:r>
    </w:p>
    <w:p>
      <w:pPr>
        <w:pStyle w:val="Compact"/>
        <w:numPr>
          <w:ilvl w:val="0"/>
          <w:numId w:val="1001"/>
        </w:numPr>
      </w:pPr>
      <w:r>
        <w:rPr>
          <w:i/>
          <w:iCs/>
        </w:rPr>
        <w:t xml:space="preserve">IGP maturity — Which specific CAF outcomes can we credibly move from "Partially Achieved" to "Achieved" by operationalising CSW as the continuous-evidence tier?</w:t>
      </w:r>
    </w:p>
    <w:p>
      <w:pPr>
        <w:pStyle w:val="FirstParagraph"/>
      </w:pPr>
      <w:r>
        <w:rPr>
          <w:b/>
          <w:bCs/>
        </w:rPr>
        <w:t xml:space="preserve">What you'll need.</w:t>
      </w:r>
      <w:r>
        <w:t xml:space="preserve"> </w:t>
      </w:r>
      <w:r>
        <w:t xml:space="preserve">The list of essential functions in scope, the NCSC CAF profile your Competent Authority applies, an inventory of the IT systems and cloud services supporting each essential function, an architecture diagram showing the IT ⇄ IT/OT DMZ ⇄ OT boundary (where applicable), your CIRP (Cyber Incident Response Plan), and any prior CAF self-assessment or GovAssure report to identify gaps CSW should close first.</w:t>
      </w:r>
    </w:p>
    <w:p>
      <w:pPr>
        <w:pStyle w:val="BodyText"/>
      </w:pPr>
      <w:r>
        <w:rPr>
          <w:b/>
          <w:bCs/>
        </w:rPr>
        <w:t xml:space="preserve">Where to start.</w:t>
      </w:r>
      <w:r>
        <w:t xml:space="preserve"> </w:t>
      </w:r>
      <w:r>
        <w:t xml:space="preserve">Sections 1–2 if you are scoping the CSW deployment; sections 3–6 if you are executing the sensor / policy phased rollout; section 7 for the principle-by-principle IGP mapping (bring this to the Competent Authority conversation); section 8 for the audit-response templates; section 9 for boundaries you must not oversell.</w:t>
      </w:r>
    </w:p>
    <w:p>
      <w:r>
        <w:pict>
          <v:rect style="width:0;height:1.5pt" o:hralign="center" o:hrstd="t" o:hr="t"/>
        </w:pict>
      </w:r>
    </w:p>
    <w:bookmarkEnd w:id="10"/>
    <w:bookmarkStart w:id="13" w:name="X9ea0bc5b10255d5807114f32c5382b01b68ee39"/>
    <w:p>
      <w:pPr>
        <w:pStyle w:val="Heading2"/>
      </w:pPr>
      <w:r>
        <w:t xml:space="preserve">CSW primer — if you are new to Cisco Secure Workload</w:t>
      </w:r>
    </w:p>
    <w:p>
      <w:pPr>
        <w:pStyle w:val="FirstParagraph"/>
      </w:pPr>
      <w:r>
        <w:t xml:space="preserve">Cisco Secure Workload (CSW) is a</w:t>
      </w:r>
      <w:r>
        <w:t xml:space="preserve"> </w:t>
      </w:r>
      <w:r>
        <w:rPr>
          <w:b/>
          <w:bCs/>
        </w:rPr>
        <w:t xml:space="preserve">workload protection platform</w:t>
      </w:r>
      <w:r>
        <w:t xml:space="preserve">. A lightweight</w:t>
      </w:r>
      <w:r>
        <w:t xml:space="preserve"> </w:t>
      </w:r>
      <w:r>
        <w:rPr>
          <w:b/>
          <w:bCs/>
        </w:rPr>
        <w:t xml:space="preserve">agent</w:t>
      </w:r>
      <w:r>
        <w:t xml:space="preserve"> </w:t>
      </w:r>
      <w:r>
        <w:t xml:space="preserve">on each server/VM/container observes processes and network flows;</w:t>
      </w:r>
      <w:r>
        <w:t xml:space="preserve"> </w:t>
      </w:r>
      <w:r>
        <w:rPr>
          <w:b/>
          <w:bCs/>
        </w:rPr>
        <w:t xml:space="preserve">cloud connectors</w:t>
      </w:r>
      <w:r>
        <w:t xml:space="preserve"> </w:t>
      </w:r>
      <w:r>
        <w:t xml:space="preserve">add AWS/Azure/GCP inventory where agents are not deployed.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CSW term</w:t>
            </w:r>
          </w:p>
        </w:tc>
        <w:tc>
          <w:tcPr/>
          <w:p>
            <w:pPr>
              <w:pStyle w:val="Compact"/>
            </w:pPr>
            <w:r>
              <w:t xml:space="preserve">Meaning</w:t>
            </w:r>
          </w:p>
        </w:tc>
        <w:tc>
          <w:tcPr/>
          <w:p>
            <w:pPr>
              <w:pStyle w:val="Compact"/>
            </w:pPr>
            <w:r>
              <w:t xml:space="preserve">Why compliance teams care</w:t>
            </w:r>
          </w:p>
        </w:tc>
      </w:tr>
      <w:tr>
        <w:tc>
          <w:tcPr/>
          <w:p>
            <w:pPr>
              <w:pStyle w:val="Compact"/>
            </w:pPr>
            <w:r>
              <w:rPr>
                <w:b/>
                <w:bCs/>
              </w:rPr>
              <w:t xml:space="preserve">Scope</w:t>
            </w:r>
          </w:p>
        </w:tc>
        <w:tc>
          <w:tcPr/>
          <w:p>
            <w:pPr>
              <w:pStyle w:val="Compact"/>
            </w:pPr>
            <w:r>
              <w:t xml:space="preserve">Logical boundary (essential function, CDE, PHI zone, CUI enclave)</w:t>
            </w:r>
          </w:p>
        </w:tc>
        <w:tc>
          <w:tcPr/>
          <w:p>
            <w:pPr>
              <w:pStyle w:val="Compact"/>
            </w:pPr>
            <w:r>
              <w:t xml:space="preserve">Defines the systems you must prove are isolated</w:t>
            </w:r>
          </w:p>
        </w:tc>
      </w:tr>
      <w:tr>
        <w:tc>
          <w:tcPr/>
          <w:p>
            <w:pPr>
              <w:pStyle w:val="Compact"/>
            </w:pPr>
            <w:r>
              <w:rPr>
                <w:b/>
                <w:bCs/>
              </w:rPr>
              <w:t xml:space="preserve">Label / filter</w:t>
            </w:r>
          </w:p>
        </w:tc>
        <w:tc>
          <w:tcPr/>
          <w:p>
            <w:pPr>
              <w:pStyle w:val="Compact"/>
            </w:pPr>
            <w:r>
              <w:t xml:space="preserve">Tag or query assigning workloads to scopes</w:t>
            </w:r>
          </w:p>
        </w:tc>
        <w:tc>
          <w:tcPr/>
          <w:p>
            <w:pPr>
              <w:pStyle w:val="Compact"/>
            </w:pPr>
            <w:r>
              <w:t xml:space="preserve">Automates scope membership — reduces drift</w:t>
            </w:r>
          </w:p>
        </w:tc>
      </w:tr>
      <w:tr>
        <w:tc>
          <w:tcPr/>
          <w:p>
            <w:pPr>
              <w:pStyle w:val="Compact"/>
            </w:pPr>
            <w:r>
              <w:rPr>
                <w:b/>
                <w:bCs/>
              </w:rPr>
              <w:t xml:space="preserve">ADM</w:t>
            </w:r>
          </w:p>
        </w:tc>
        <w:tc>
          <w:tcPr/>
          <w:p>
            <w:pPr>
              <w:pStyle w:val="Compact"/>
            </w:pPr>
            <w:r>
              <w:t xml:space="preserve">Application Dependency Mapping from observed traffic</w:t>
            </w:r>
          </w:p>
        </w:tc>
        <w:tc>
          <w:tcPr/>
          <w:p>
            <w:pPr>
              <w:pStyle w:val="Compact"/>
            </w:pPr>
            <w:r>
              <w:rPr>
                <w:b/>
                <w:bCs/>
              </w:rPr>
              <w:t xml:space="preserve">Live</w:t>
            </w:r>
            <w:r>
              <w:t xml:space="preserve"> </w:t>
            </w:r>
            <w:r>
              <w:t xml:space="preserve">network/data-flow diagram for assessors</w:t>
            </w:r>
          </w:p>
        </w:tc>
      </w:tr>
      <w:tr>
        <w:tc>
          <w:tcPr/>
          <w:p>
            <w:pPr>
              <w:pStyle w:val="Compact"/>
            </w:pPr>
            <w:r>
              <w:rPr>
                <w:b/>
                <w:bCs/>
              </w:rPr>
              <w:t xml:space="preserve">Workspace</w:t>
            </w:r>
          </w:p>
        </w:tc>
        <w:tc>
          <w:tcPr/>
          <w:p>
            <w:pPr>
              <w:pStyle w:val="Compact"/>
            </w:pPr>
            <w:r>
              <w:t xml:space="preserve">Policy container for one scope or application</w:t>
            </w:r>
          </w:p>
        </w:tc>
        <w:tc>
          <w:tcPr/>
          <w:p>
            <w:pPr>
              <w:pStyle w:val="Compact"/>
            </w:pPr>
            <w:r>
              <w:t xml:space="preserve">Where allow/deny rules are authored</w:t>
            </w:r>
          </w:p>
        </w:tc>
      </w:tr>
      <w:tr>
        <w:tc>
          <w:tcPr/>
          <w:p>
            <w:pPr>
              <w:pStyle w:val="Compact"/>
            </w:pPr>
            <w:r>
              <w:rPr>
                <w:b/>
                <w:bCs/>
              </w:rPr>
              <w:t xml:space="preserve">Monitor → Simulation → Enforce</w:t>
            </w:r>
          </w:p>
        </w:tc>
        <w:tc>
          <w:tcPr/>
          <w:p>
            <w:pPr>
              <w:pStyle w:val="Compact"/>
            </w:pPr>
            <w:r>
              <w:t xml:space="preserve">Safe rollout sequence</w:t>
            </w:r>
          </w:p>
        </w:tc>
        <w:tc>
          <w:tcPr/>
          <w:p>
            <w:pPr>
              <w:pStyle w:val="Compact"/>
            </w:pPr>
            <w:r>
              <w:t xml:space="preserve">Simulation = change-board evidence before blocking traffic</w:t>
            </w:r>
          </w:p>
        </w:tc>
      </w:tr>
      <w:tr>
        <w:tc>
          <w:tcPr/>
          <w:p>
            <w:pPr>
              <w:pStyle w:val="Compact"/>
            </w:pPr>
            <w:r>
              <w:rPr>
                <w:b/>
                <w:bCs/>
              </w:rPr>
              <w:t xml:space="preserve">Denied Connections</w:t>
            </w:r>
          </w:p>
        </w:tc>
        <w:tc>
          <w:tcPr/>
          <w:p>
            <w:pPr>
              <w:pStyle w:val="Compact"/>
            </w:pPr>
            <w:r>
              <w:t xml:space="preserve">Log of flows blocked by policy</w:t>
            </w:r>
          </w:p>
        </w:tc>
        <w:tc>
          <w:tcPr/>
          <w:p>
            <w:pPr>
              <w:pStyle w:val="Compact"/>
            </w:pPr>
            <w:r>
              <w:t xml:space="preserve">Primary proof that enforcement</w:t>
            </w:r>
            <w:r>
              <w:t xml:space="preserve"> </w:t>
            </w:r>
            <w:r>
              <w:rPr>
                <w:b/>
                <w:bCs/>
              </w:rPr>
              <w:t xml:space="preserve">operates</w:t>
            </w:r>
          </w:p>
        </w:tc>
      </w:tr>
    </w:tbl>
    <w:p>
      <w:pPr>
        <w:pStyle w:val="BodyText"/>
      </w:pPr>
      <w:r>
        <w:rPr>
          <w:b/>
          <w:bCs/>
        </w:rPr>
        <w:t xml:space="preserve">Console areas:</w:t>
      </w:r>
      <w:r>
        <w:t xml:space="preserve"> </w:t>
      </w:r>
      <w:r>
        <w:t xml:space="preserve">Investigate (inventory, flows, vulns) · Defend/Segmentation (policy) · Manage (agents) · Platform (connectors) · Administration (audit log)</w:t>
      </w:r>
    </w:p>
    <w:p>
      <w:pPr>
        <w:pStyle w:val="BodyText"/>
      </w:pPr>
      <w:r>
        <w:rPr>
          <w:b/>
          <w:bCs/>
        </w:rPr>
        <w:t xml:space="preserve">Read next:</w:t>
      </w:r>
      <w:r>
        <w:t xml:space="preserve"> </w:t>
      </w:r>
      <w:hyperlink r:id="rId11">
        <w:r>
          <w:rPr>
            <w:rStyle w:val="Hyperlink"/>
          </w:rPr>
          <w:t xml:space="preserve">Compliance evidence playbook</w:t>
        </w:r>
      </w:hyperlink>
      <w:r>
        <w:t xml:space="preserve"> </w:t>
      </w:r>
      <w:r>
        <w:t xml:space="preserve">(full step-by-step) ·</w:t>
      </w:r>
      <w:r>
        <w:t xml:space="preserve"> </w:t>
      </w:r>
      <w:hyperlink r:id="rId12">
        <w:r>
          <w:rPr>
            <w:rStyle w:val="Hyperlink"/>
          </w:rPr>
          <w:t xml:space="preserve">About CSW</w:t>
        </w:r>
      </w:hyperlink>
      <w:r>
        <w:t xml:space="preserve"> </w:t>
      </w:r>
      <w:r>
        <w:t xml:space="preserve">(platform intro)</w:t>
      </w:r>
    </w:p>
    <w:p>
      <w:r>
        <w:pict>
          <v:rect style="width:0;height:1.5pt" o:hralign="center" o:hrstd="t" o:hr="t"/>
        </w:pict>
      </w:r>
    </w:p>
    <w:bookmarkEnd w:id="13"/>
    <w:bookmarkStart w:id="19" w:name="universal-evidence-workflow"/>
    <w:p>
      <w:pPr>
        <w:pStyle w:val="Heading2"/>
      </w:pPr>
      <w:r>
        <w:t xml:space="preserve">Universal evidence workflow</w:t>
      </w:r>
    </w:p>
    <w:p>
      <w:pPr>
        <w:pStyle w:val="FirstParagraph"/>
      </w:pPr>
      <w:r>
        <w:t xml:space="preserve">Execute these phases for</w:t>
      </w:r>
      <w:r>
        <w:t xml:space="preserve"> </w:t>
      </w:r>
      <w:r>
        <w:rPr>
          <w:b/>
          <w:bCs/>
        </w:rPr>
        <w:t xml:space="preserve">this framework's</w:t>
      </w:r>
      <w:r>
        <w:t xml:space="preserve"> </w:t>
      </w:r>
      <w:r>
        <w:t xml:space="preserve">compliance boundary. Map exports to CAF IGPs in the</w:t>
      </w:r>
      <w:r>
        <w:t xml:space="preserve"> </w:t>
      </w:r>
      <w:r>
        <w:rPr>
          <w:b/>
          <w:bCs/>
        </w:rPr>
        <w:t xml:space="preserve">principle-by-principle mapping</w:t>
      </w:r>
      <w:r>
        <w:t xml:space="preserve"> </w:t>
      </w:r>
      <w:r>
        <w:t xml:space="preserve">section below.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Goal</w:t>
            </w:r>
          </w:p>
        </w:tc>
        <w:tc>
          <w:tcPr/>
          <w:p>
            <w:pPr>
              <w:pStyle w:val="Compact"/>
            </w:pPr>
            <w:r>
              <w:t xml:space="preserve">Key CSW actions</w:t>
            </w:r>
          </w:p>
        </w:tc>
        <w:tc>
          <w:tcPr/>
          <w:p>
            <w:pPr>
              <w:pStyle w:val="Compact"/>
            </w:pPr>
            <w:r>
              <w:t xml:space="preserve">Typical duration</w:t>
            </w:r>
          </w:p>
        </w:tc>
      </w:tr>
      <w:tr>
        <w:tc>
          <w:tcPr/>
          <w:p>
            <w:pPr>
              <w:pStyle w:val="Compact"/>
            </w:pPr>
            <w:r>
              <w:rPr>
                <w:b/>
                <w:bCs/>
              </w:rPr>
              <w:t xml:space="preserve">1 — Coverage</w:t>
            </w:r>
          </w:p>
        </w:tc>
        <w:tc>
          <w:tcPr/>
          <w:p>
            <w:pPr>
              <w:pStyle w:val="Compact"/>
            </w:pPr>
            <w:r>
              <w:t xml:space="preserve">Every in-scope workload in CSW</w:t>
            </w:r>
          </w:p>
        </w:tc>
        <w:tc>
          <w:tcPr/>
          <w:p>
            <w:pPr>
              <w:pStyle w:val="Compact"/>
            </w:pPr>
            <w:r>
              <w:t xml:space="preserve">Install agents/connectors; apply CAF labels; create scope</w:t>
            </w:r>
          </w:p>
        </w:tc>
        <w:tc>
          <w:tcPr/>
          <w:p>
            <w:pPr>
              <w:pStyle w:val="Compact"/>
            </w:pPr>
            <w:r>
              <w:t xml:space="preserve">Days 1–10</w:t>
            </w:r>
          </w:p>
        </w:tc>
      </w:tr>
      <w:tr>
        <w:tc>
          <w:tcPr/>
          <w:p>
            <w:pPr>
              <w:pStyle w:val="Compact"/>
            </w:pPr>
            <w:r>
              <w:rPr>
                <w:b/>
                <w:bCs/>
              </w:rPr>
              <w:t xml:space="preserve">2 — Baseline</w:t>
            </w:r>
          </w:p>
        </w:tc>
        <w:tc>
          <w:tcPr/>
          <w:p>
            <w:pPr>
              <w:pStyle w:val="Compact"/>
            </w:pPr>
            <w:r>
              <w:t xml:space="preserve">Machine-generated flow map</w:t>
            </w:r>
          </w:p>
        </w:tc>
        <w:tc>
          <w:tcPr/>
          <w:p>
            <w:pPr>
              <w:pStyle w:val="Compact"/>
            </w:pPr>
            <w:r>
              <w:t xml:space="preserve">Run ADM ≥2 weeks; export clusters; app-owner signoff</w:t>
            </w:r>
          </w:p>
        </w:tc>
        <w:tc>
          <w:tcPr/>
          <w:p>
            <w:pPr>
              <w:pStyle w:val="Compact"/>
            </w:pPr>
            <w:r>
              <w:t xml:space="preserve">Days 11–28</w:t>
            </w:r>
          </w:p>
        </w:tc>
      </w:tr>
      <w:tr>
        <w:tc>
          <w:tcPr/>
          <w:p>
            <w:pPr>
              <w:pStyle w:val="Compact"/>
            </w:pPr>
            <w:r>
              <w:rPr>
                <w:b/>
                <w:bCs/>
              </w:rPr>
              <w:t xml:space="preserve">3 — Policy</w:t>
            </w:r>
          </w:p>
        </w:tc>
        <w:tc>
          <w:tcPr/>
          <w:p>
            <w:pPr>
              <w:pStyle w:val="Compact"/>
            </w:pPr>
            <w:r>
              <w:t xml:space="preserve">Designed isolation before enforce</w:t>
            </w:r>
          </w:p>
        </w:tc>
        <w:tc>
          <w:tcPr/>
          <w:p>
            <w:pPr>
              <w:pStyle w:val="Compact"/>
            </w:pPr>
            <w:r>
              <w:t xml:space="preserve">Build workspace; Simulation mode; fix false positives</w:t>
            </w:r>
          </w:p>
        </w:tc>
        <w:tc>
          <w:tcPr/>
          <w:p>
            <w:pPr>
              <w:pStyle w:val="Compact"/>
            </w:pPr>
            <w:r>
              <w:t xml:space="preserve">Days 29–45</w:t>
            </w:r>
          </w:p>
        </w:tc>
      </w:tr>
      <w:tr>
        <w:tc>
          <w:tcPr/>
          <w:p>
            <w:pPr>
              <w:pStyle w:val="Compact"/>
            </w:pPr>
            <w:r>
              <w:rPr>
                <w:b/>
                <w:bCs/>
              </w:rPr>
              <w:t xml:space="preserve">4 — Operate</w:t>
            </w:r>
          </w:p>
        </w:tc>
        <w:tc>
          <w:tcPr/>
          <w:p>
            <w:pPr>
              <w:pStyle w:val="Compact"/>
            </w:pPr>
            <w:r>
              <w:t xml:space="preserve">Continuous proof between audits</w:t>
            </w:r>
          </w:p>
        </w:tc>
        <w:tc>
          <w:tcPr/>
          <w:p>
            <w:pPr>
              <w:pStyle w:val="Compact"/>
            </w:pPr>
            <w:r>
              <w:t xml:space="preserve">Enforce; quarterly export pack; ADM refresh every 90 days</w:t>
            </w:r>
          </w:p>
        </w:tc>
        <w:tc>
          <w:tcPr/>
          <w:p>
            <w:pPr>
              <w:pStyle w:val="Compact"/>
            </w:pPr>
            <w:r>
              <w:t xml:space="preserve">Ongoing</w:t>
            </w:r>
          </w:p>
        </w:tc>
      </w:tr>
    </w:tbl>
    <w:bookmarkStart w:id="14" w:name="phase-1-checklist-coverage"/>
    <w:p>
      <w:pPr>
        <w:pStyle w:val="Heading3"/>
      </w:pPr>
      <w:r>
        <w:t xml:space="preserve">Phase 1 checklist (coverage)</w:t>
      </w:r>
    </w:p>
    <w:p>
      <w:pPr>
        <w:pStyle w:val="Compact"/>
        <w:numPr>
          <w:ilvl w:val="0"/>
          <w:numId w:val="1002"/>
        </w:numPr>
      </w:pPr>
      <w:r>
        <w:t xml:space="preserve">In-scope host list reconciled to CSW Inventory (100% or documented exceptions)</w:t>
      </w:r>
    </w:p>
    <w:p>
      <w:pPr>
        <w:pStyle w:val="Compact"/>
        <w:numPr>
          <w:ilvl w:val="0"/>
          <w:numId w:val="1003"/>
        </w:numPr>
      </w:pPr>
      <w:r>
        <w:t xml:space="preserve">Labels applied:</w:t>
      </w:r>
      <w:r>
        <w:t xml:space="preserve"> </w:t>
      </w:r>
      <w:r>
        <w:rPr>
          <w:rStyle w:val="VerbatimChar"/>
        </w:rPr>
        <w:t xml:space="preserve">caf:essential_function=&lt;name&gt;</w:t>
      </w:r>
      <w:r>
        <w:t xml:space="preserve">,</w:t>
      </w:r>
      <w:r>
        <w:t xml:space="preserve"> </w:t>
      </w:r>
      <w:r>
        <w:rPr>
          <w:rStyle w:val="VerbatimChar"/>
        </w:rPr>
        <w:t xml:space="preserve">caf:objective=&lt;A|B|C|D&gt;</w:t>
      </w:r>
      <w:r>
        <w:t xml:space="preserve">,</w:t>
      </w:r>
      <w:r>
        <w:t xml:space="preserve"> </w:t>
      </w:r>
      <w:r>
        <w:rPr>
          <w:rStyle w:val="VerbatimChar"/>
        </w:rPr>
        <w:t xml:space="preserve">env:&lt;tier&gt;</w:t>
      </w:r>
      <w:r>
        <w:t xml:space="preserve">,</w:t>
      </w:r>
      <w:r>
        <w:t xml:space="preserve"> </w:t>
      </w:r>
      <w:r>
        <w:rPr>
          <w:rStyle w:val="VerbatimChar"/>
        </w:rPr>
        <w:t xml:space="preserve">data:&lt;classification&gt;</w:t>
      </w:r>
    </w:p>
    <w:p>
      <w:pPr>
        <w:pStyle w:val="Compact"/>
        <w:numPr>
          <w:ilvl w:val="0"/>
          <w:numId w:val="1004"/>
        </w:numPr>
      </w:pPr>
      <w:r>
        <w:t xml:space="preserve">CSW scope created matching essential-function boundary</w:t>
      </w:r>
    </w:p>
    <w:p>
      <w:pPr>
        <w:pStyle w:val="Compact"/>
        <w:numPr>
          <w:ilvl w:val="0"/>
          <w:numId w:val="1005"/>
        </w:numPr>
      </w:pPr>
      <w:r>
        <w:rPr>
          <w:b/>
          <w:bCs/>
        </w:rPr>
        <w:t xml:space="preserve">Export:</w:t>
      </w:r>
      <w:r>
        <w:t xml:space="preserve"> </w:t>
      </w:r>
      <w:r>
        <w:t xml:space="preserve">inventory CSV + agent status screenshot</w:t>
      </w:r>
    </w:p>
    <w:bookmarkEnd w:id="14"/>
    <w:bookmarkStart w:id="15" w:name="phase-2-checklist-baseline"/>
    <w:p>
      <w:pPr>
        <w:pStyle w:val="Heading3"/>
      </w:pPr>
      <w:r>
        <w:t xml:space="preserve">Phase 2 checklist (baseline)</w:t>
      </w:r>
    </w:p>
    <w:p>
      <w:pPr>
        <w:pStyle w:val="Compact"/>
        <w:numPr>
          <w:ilvl w:val="0"/>
          <w:numId w:val="1006"/>
        </w:numPr>
      </w:pPr>
      <w:r>
        <w:t xml:space="preserve">ADM running on essential-function scope for full business cycle (≥2 weeks)</w:t>
      </w:r>
    </w:p>
    <w:p>
      <w:pPr>
        <w:pStyle w:val="Compact"/>
        <w:numPr>
          <w:ilvl w:val="0"/>
          <w:numId w:val="1007"/>
        </w:numPr>
      </w:pPr>
      <w:r>
        <w:t xml:space="preserve">Unexpected flows documented (shadow IT, vendor egress, cross-function reach)</w:t>
      </w:r>
    </w:p>
    <w:p>
      <w:pPr>
        <w:pStyle w:val="Compact"/>
        <w:numPr>
          <w:ilvl w:val="0"/>
          <w:numId w:val="1008"/>
        </w:numPr>
      </w:pPr>
      <w:r>
        <w:t xml:space="preserve">Essential-function owners signed cluster-to-service mapping</w:t>
      </w:r>
    </w:p>
    <w:p>
      <w:pPr>
        <w:pStyle w:val="Compact"/>
        <w:numPr>
          <w:ilvl w:val="0"/>
          <w:numId w:val="1009"/>
        </w:numPr>
      </w:pPr>
      <w:r>
        <w:rPr>
          <w:b/>
          <w:bCs/>
        </w:rPr>
        <w:t xml:space="preserve">Export:</w:t>
      </w:r>
      <w:r>
        <w:t xml:space="preserve"> </w:t>
      </w:r>
      <w:r>
        <w:t xml:space="preserve">ADM diagram + flow samples with process context</w:t>
      </w:r>
    </w:p>
    <w:bookmarkEnd w:id="15"/>
    <w:bookmarkStart w:id="16" w:name="phase-3-checklist-policy"/>
    <w:p>
      <w:pPr>
        <w:pStyle w:val="Heading3"/>
      </w:pPr>
      <w:r>
        <w:t xml:space="preserve">Phase 3 checklist (policy)</w:t>
      </w:r>
    </w:p>
    <w:p>
      <w:pPr>
        <w:pStyle w:val="Compact"/>
        <w:numPr>
          <w:ilvl w:val="0"/>
          <w:numId w:val="1010"/>
        </w:numPr>
      </w:pPr>
      <w:r>
        <w:t xml:space="preserve">Default-deny posture defined for essential-function scope</w:t>
      </w:r>
    </w:p>
    <w:p>
      <w:pPr>
        <w:pStyle w:val="Compact"/>
        <w:numPr>
          <w:ilvl w:val="0"/>
          <w:numId w:val="1011"/>
        </w:numPr>
      </w:pPr>
      <w:r>
        <w:t xml:space="preserve">ADM-imported rules refined; Simulation run ≥1 week</w:t>
      </w:r>
    </w:p>
    <w:p>
      <w:pPr>
        <w:pStyle w:val="Compact"/>
        <w:numPr>
          <w:ilvl w:val="0"/>
          <w:numId w:val="1012"/>
        </w:numPr>
      </w:pPr>
      <w:r>
        <w:t xml:space="preserve">Change tickets for false-positive fixes; exception register updated</w:t>
      </w:r>
    </w:p>
    <w:p>
      <w:pPr>
        <w:pStyle w:val="Compact"/>
        <w:numPr>
          <w:ilvl w:val="0"/>
          <w:numId w:val="1013"/>
        </w:numPr>
      </w:pPr>
      <w:r>
        <w:rPr>
          <w:b/>
          <w:bCs/>
        </w:rPr>
        <w:t xml:space="preserve">Export:</w:t>
      </w:r>
      <w:r>
        <w:t xml:space="preserve"> </w:t>
      </w:r>
      <w:r>
        <w:t xml:space="preserve">policy export + simulation report</w:t>
      </w:r>
    </w:p>
    <w:bookmarkEnd w:id="16"/>
    <w:bookmarkStart w:id="17" w:name="phase-4-checklist-operate"/>
    <w:p>
      <w:pPr>
        <w:pStyle w:val="Heading3"/>
      </w:pPr>
      <w:r>
        <w:t xml:space="preserve">Phase 4 checklist (operate)</w:t>
      </w:r>
    </w:p>
    <w:p>
      <w:pPr>
        <w:pStyle w:val="Compact"/>
        <w:numPr>
          <w:ilvl w:val="0"/>
          <w:numId w:val="1014"/>
        </w:numPr>
      </w:pPr>
      <w:r>
        <w:t xml:space="preserve">Enforcement enabled on pilot scope; negative test recorded in Denied Connections</w:t>
      </w:r>
    </w:p>
    <w:p>
      <w:pPr>
        <w:pStyle w:val="Compact"/>
        <w:numPr>
          <w:ilvl w:val="0"/>
          <w:numId w:val="1015"/>
        </w:numPr>
      </w:pPr>
      <w:r>
        <w:t xml:space="preserve">Quarterly pack: inventory, policy, denies, vulns, audit log (see playbook)</w:t>
      </w:r>
    </w:p>
    <w:bookmarkEnd w:id="17"/>
    <w:bookmarkStart w:id="18" w:name="what-csw-evidence-does-not-replace"/>
    <w:p>
      <w:pPr>
        <w:pStyle w:val="Heading3"/>
      </w:pPr>
      <w:r>
        <w:t xml:space="preserve">What CSW evidence does not replace</w:t>
      </w:r>
    </w:p>
    <w:p>
      <w:pPr>
        <w:pStyle w:val="Compact"/>
        <w:numPr>
          <w:ilvl w:val="0"/>
          <w:numId w:val="1016"/>
        </w:numPr>
      </w:pPr>
      <w:r>
        <w:t xml:space="preserve">Board / executive governance evidence (A1) — organisational, not technical.</w:t>
      </w:r>
    </w:p>
    <w:p>
      <w:pPr>
        <w:pStyle w:val="Compact"/>
        <w:numPr>
          <w:ilvl w:val="0"/>
          <w:numId w:val="1016"/>
        </w:numPr>
      </w:pPr>
      <w:r>
        <w:t xml:space="preserve">Enterprise risk-management methodology and treatment plans (A2) — process, not telemetry.</w:t>
      </w:r>
    </w:p>
    <w:p>
      <w:pPr>
        <w:pStyle w:val="Compact"/>
        <w:numPr>
          <w:ilvl w:val="0"/>
          <w:numId w:val="1016"/>
        </w:numPr>
      </w:pPr>
      <w:r>
        <w:t xml:space="preserve">Supply-chain assurance clauses, supplier audits, and third-party contracts (A4) — procurement.</w:t>
      </w:r>
    </w:p>
    <w:p>
      <w:pPr>
        <w:pStyle w:val="Compact"/>
        <w:numPr>
          <w:ilvl w:val="0"/>
          <w:numId w:val="1016"/>
        </w:numPr>
      </w:pPr>
      <w:r>
        <w:t xml:space="preserve">Written service-protection policies, exception registers, and management review (B1) — policy authoring, not enforcement.</w:t>
      </w:r>
    </w:p>
    <w:p>
      <w:pPr>
        <w:pStyle w:val="Compact"/>
        <w:numPr>
          <w:ilvl w:val="0"/>
          <w:numId w:val="1016"/>
        </w:numPr>
      </w:pPr>
      <w:r>
        <w:t xml:space="preserve">Staff awareness and training programmes (B6) — HR / learning.</w:t>
      </w:r>
    </w:p>
    <w:p>
      <w:pPr>
        <w:pStyle w:val="Compact"/>
        <w:numPr>
          <w:ilvl w:val="0"/>
          <w:numId w:val="1016"/>
        </w:numPr>
      </w:pPr>
      <w:r>
        <w:t xml:space="preserve">Backup content itself, RTO/RPO testing, and disaster-recovery exercises (D1 backup pillar) — CSW contributes forensic reconstruction, not restoration.</w:t>
      </w:r>
    </w:p>
    <w:p>
      <w:pPr>
        <w:pStyle w:val="Compact"/>
        <w:numPr>
          <w:ilvl w:val="0"/>
          <w:numId w:val="1016"/>
        </w:numPr>
      </w:pPr>
      <w:r>
        <w:t xml:space="preserve">Post-incident lessons-learned documentation and management follow-up (D2) — process.</w:t>
      </w:r>
    </w:p>
    <w:p>
      <w:r>
        <w:pict>
          <v:rect style="width:0;height:1.5pt" o:hralign="center" o:hrstd="t" o:hr="t"/>
        </w:pict>
      </w:r>
    </w:p>
    <w:bookmarkEnd w:id="18"/>
    <w:bookmarkEnd w:id="19"/>
    <w:bookmarkStart w:id="20" w:name="csw-effectiveness-for-this-framework"/>
    <w:p>
      <w:pPr>
        <w:pStyle w:val="Heading2"/>
      </w:pPr>
      <w:r>
        <w:t xml:space="preserve">CSW effectiveness for this framework</w:t>
      </w:r>
    </w:p>
    <w:p>
      <w:pPr>
        <w:pStyle w:val="Compact"/>
        <w:numPr>
          <w:ilvl w:val="0"/>
          <w:numId w:val="1017"/>
        </w:numPr>
      </w:pPr>
      <w:r>
        <w:rPr>
          <w:b/>
          <w:bCs/>
        </w:rPr>
        <w:t xml:space="preserve">Continuous, machine-generated evidence</w:t>
      </w:r>
      <w:r>
        <w:t xml:space="preserve"> </w:t>
      </w:r>
      <w:r>
        <w:t xml:space="preserve">for A3 (asset inventory), B5 (segmentation), C1 (monitoring) — replaces spreadsheet-derived asset lists and quarterly firewall samples that IGP reviewers routinely find insufficient for "Achieved".</w:t>
      </w:r>
    </w:p>
    <w:p>
      <w:pPr>
        <w:pStyle w:val="Compact"/>
        <w:numPr>
          <w:ilvl w:val="0"/>
          <w:numId w:val="1017"/>
        </w:numPr>
      </w:pPr>
      <w:r>
        <w:rPr>
          <w:b/>
          <w:bCs/>
        </w:rPr>
        <w:t xml:space="preserve">Structural IT ⇄ IT/OT DMZ boundary</w:t>
      </w:r>
      <w:r>
        <w:t xml:space="preserve"> </w:t>
      </w:r>
      <w:r>
        <w:t xml:space="preserve">at the workload layer — a foundational B5 outcome that many operators only have at the network-perimeter tier and which regulators now expect at the workload / host tier.</w:t>
      </w:r>
    </w:p>
    <w:p>
      <w:pPr>
        <w:pStyle w:val="Compact"/>
        <w:numPr>
          <w:ilvl w:val="0"/>
          <w:numId w:val="1017"/>
        </w:numPr>
      </w:pPr>
      <w:r>
        <w:rPr>
          <w:b/>
          <w:bCs/>
        </w:rPr>
        <w:t xml:space="preserve">Reachability-weighted vulnerability prioritisation</w:t>
      </w:r>
      <w:r>
        <w:t xml:space="preserve"> </w:t>
      </w:r>
      <w:r>
        <w:t xml:space="preserve">(B4 + C2) — turns "we scanned" into "we prioritised by exposure to the essential function".</w:t>
      </w:r>
    </w:p>
    <w:p>
      <w:pPr>
        <w:pStyle w:val="Compact"/>
        <w:numPr>
          <w:ilvl w:val="0"/>
          <w:numId w:val="1017"/>
        </w:numPr>
      </w:pPr>
      <w:r>
        <w:rPr>
          <w:b/>
          <w:bCs/>
        </w:rPr>
        <w:t xml:space="preserve">Incident-time forensic timeline</w:t>
      </w:r>
      <w:r>
        <w:t xml:space="preserve"> </w:t>
      </w:r>
      <w:r>
        <w:t xml:space="preserve">(D1) — reconstructs workload-to-workload flow + process history without depending on SIEM log completeness.</w:t>
      </w:r>
    </w:p>
    <w:p>
      <w:pPr>
        <w:pStyle w:val="FirstParagraph"/>
      </w:pPr>
      <w:r>
        <w:rPr>
          <w:b/>
          <w:bCs/>
        </w:rPr>
        <w:t xml:space="preserve">Compared to manual programmes.</w:t>
      </w:r>
      <w:r>
        <w:t xml:space="preserve"> </w:t>
      </w:r>
      <w:r>
        <w:t xml:space="preserve">CAF IGPs distinguish between</w:t>
      </w:r>
      <w:r>
        <w:t xml:space="preserve"> </w:t>
      </w:r>
      <w:r>
        <w:rPr>
          <w:i/>
          <w:iCs/>
        </w:rPr>
        <w:t xml:space="preserve">documented</w:t>
      </w:r>
      <w:r>
        <w:t xml:space="preserve"> </w:t>
      </w:r>
      <w:r>
        <w:t xml:space="preserve">and</w:t>
      </w:r>
      <w:r>
        <w:t xml:space="preserve"> </w:t>
      </w:r>
      <w:r>
        <w:rPr>
          <w:i/>
          <w:iCs/>
        </w:rPr>
        <w:t xml:space="preserve">continuously verified</w:t>
      </w:r>
      <w:r>
        <w:t xml:space="preserve"> </w:t>
      </w:r>
      <w:r>
        <w:t xml:space="preserve">controls; a static Visio diagram plus an annual firewall sample review reads as</w:t>
      </w:r>
      <w:r>
        <w:t xml:space="preserve"> </w:t>
      </w:r>
      <w:r>
        <w:rPr>
          <w:b/>
          <w:bCs/>
        </w:rPr>
        <w:t xml:space="preserve">Partially Achieved</w:t>
      </w:r>
      <w:r>
        <w:t xml:space="preserve"> </w:t>
      </w:r>
      <w:r>
        <w:t xml:space="preserve">at best. CSW ties evidence to live workload behaviour and produces queryable exports on demand — the language IGP reviewers look for when awarding</w:t>
      </w:r>
      <w:r>
        <w:t xml:space="preserve"> </w:t>
      </w:r>
      <w:r>
        <w:rPr>
          <w:b/>
          <w:bCs/>
        </w:rPr>
        <w:t xml:space="preserve">Achieved</w:t>
      </w:r>
      <w:r>
        <w:t xml:space="preserve">.</w:t>
      </w:r>
    </w:p>
    <w:p>
      <w:r>
        <w:pict>
          <v:rect style="width:0;height:1.5pt" o:hralign="center" o:hrstd="t" o:hr="t"/>
        </w:pict>
      </w:r>
    </w:p>
    <w:bookmarkEnd w:id="20"/>
    <w:bookmarkStart w:id="23" w:name="Xc8951b796c7b61cbdd4998c72efbdeed0056e13"/>
    <w:p>
      <w:pPr>
        <w:pStyle w:val="Heading2"/>
      </w:pPr>
      <w:r>
        <w:t xml:space="preserve">1. Overview</w:t>
      </w:r>
    </w:p>
    <w:p>
      <w:pPr>
        <w:pStyle w:val="FirstParagraph"/>
      </w:pPr>
      <w:r>
        <w:t xml:space="preserve">The CAF is a principle-based, outcome-focused framework. It does not prescribe technology; it asks whether an operator can</w:t>
      </w:r>
      <w:r>
        <w:t xml:space="preserve"> </w:t>
      </w:r>
      <w:r>
        <w:rPr>
          <w:b/>
          <w:bCs/>
        </w:rPr>
        <w:t xml:space="preserve">demonstrate the outcome</w:t>
      </w:r>
      <w:r>
        <w:t xml:space="preserve">, at a defined level of maturity, for the systems supporting each</w:t>
      </w:r>
      <w:r>
        <w:t xml:space="preserve"> </w:t>
      </w:r>
      <w:r>
        <w:rPr>
          <w:b/>
          <w:bCs/>
        </w:rPr>
        <w:t xml:space="preserve">essential function</w:t>
      </w:r>
      <w:r>
        <w:t xml:space="preserve">. That framing has direct implications for tooling choice:</w:t>
      </w:r>
    </w:p>
    <w:p>
      <w:pPr>
        <w:pStyle w:val="Compact"/>
        <w:numPr>
          <w:ilvl w:val="0"/>
          <w:numId w:val="1018"/>
        </w:numPr>
      </w:pPr>
      <w:r>
        <w:t xml:space="preserve">Evidence must be</w:t>
      </w:r>
      <w:r>
        <w:t xml:space="preserve"> </w:t>
      </w:r>
      <w:r>
        <w:rPr>
          <w:b/>
          <w:bCs/>
        </w:rPr>
        <w:t xml:space="preserve">specific to the essential function</w:t>
      </w:r>
      <w:r>
        <w:t xml:space="preserve"> </w:t>
      </w:r>
      <w:r>
        <w:t xml:space="preserve">— CSW's</w:t>
      </w:r>
      <w:r>
        <w:t xml:space="preserve"> </w:t>
      </w:r>
      <w:r>
        <w:rPr>
          <w:b/>
          <w:bCs/>
        </w:rPr>
        <w:t xml:space="preserve">scope</w:t>
      </w:r>
      <w:r>
        <w:t xml:space="preserve"> </w:t>
      </w:r>
      <w:r>
        <w:t xml:space="preserve">construct maps 1:1 to this notion (label workloads by essential function; scope-scoped exports become the evidence pack).</w:t>
      </w:r>
    </w:p>
    <w:p>
      <w:pPr>
        <w:pStyle w:val="Compact"/>
        <w:numPr>
          <w:ilvl w:val="0"/>
          <w:numId w:val="1018"/>
        </w:numPr>
      </w:pPr>
      <w:r>
        <w:t xml:space="preserve">Evidence must be</w:t>
      </w:r>
      <w:r>
        <w:t xml:space="preserve"> </w:t>
      </w:r>
      <w:r>
        <w:rPr>
          <w:b/>
          <w:bCs/>
        </w:rPr>
        <w:t xml:space="preserve">current</w:t>
      </w:r>
      <w:r>
        <w:t xml:space="preserve"> </w:t>
      </w:r>
      <w:r>
        <w:t xml:space="preserve">— CAF IGPs frequently distinguish "in place" (Partially Achieved) from "regularly tested and continuously verified" (Achieved). CSW's continuous flow + process telemetry satisfies the "continuously verified" bar for the outcomes it covers.</w:t>
      </w:r>
    </w:p>
    <w:p>
      <w:pPr>
        <w:pStyle w:val="Compact"/>
        <w:numPr>
          <w:ilvl w:val="0"/>
          <w:numId w:val="1018"/>
        </w:numPr>
      </w:pPr>
      <w:r>
        <w:t xml:space="preserve">Evidence must be</w:t>
      </w:r>
      <w:r>
        <w:t xml:space="preserve"> </w:t>
      </w:r>
      <w:r>
        <w:rPr>
          <w:b/>
          <w:bCs/>
        </w:rPr>
        <w:t xml:space="preserve">testable</w:t>
      </w:r>
      <w:r>
        <w:t xml:space="preserve"> </w:t>
      </w:r>
      <w:r>
        <w:t xml:space="preserve">— the Competent Authority may request re-execution of a query or a re-export. CSW's inventory / policy / flow queries are reproducible via UI or API.</w:t>
      </w:r>
    </w:p>
    <w:bookmarkStart w:id="21" w:name="X95a3480451f03a8bbf7a6f8c7dabe740d65e555"/>
    <w:p>
      <w:pPr>
        <w:pStyle w:val="Heading3"/>
      </w:pPr>
      <w:r>
        <w:t xml:space="preserve">1.1 CAF structure and where CSW contributes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CAF Objective</w:t>
            </w:r>
          </w:p>
        </w:tc>
        <w:tc>
          <w:tcPr/>
          <w:p>
            <w:pPr>
              <w:pStyle w:val="Compact"/>
            </w:pPr>
            <w:r>
              <w:t xml:space="preserve">Principle</w:t>
            </w:r>
          </w:p>
        </w:tc>
        <w:tc>
          <w:tcPr/>
          <w:p>
            <w:pPr>
              <w:pStyle w:val="Compact"/>
            </w:pPr>
            <w:r>
              <w:t xml:space="preserve">CSW contribution</w:t>
            </w:r>
          </w:p>
        </w:tc>
        <w:tc>
          <w:tcPr/>
          <w:p>
            <w:pPr>
              <w:pStyle w:val="Compact"/>
            </w:pPr>
            <w:r>
              <w:t xml:space="preserve">Coverage rating</w:t>
            </w:r>
          </w:p>
        </w:tc>
      </w:tr>
      <w:tr>
        <w:tc>
          <w:tcPr/>
          <w:p>
            <w:pPr>
              <w:pStyle w:val="Compact"/>
            </w:pPr>
            <w:r>
              <w:rPr>
                <w:b/>
                <w:bCs/>
              </w:rPr>
              <w:t xml:space="preserve">A — Managing security risk</w:t>
            </w:r>
          </w:p>
        </w:tc>
        <w:tc>
          <w:tcPr/>
          <w:p>
            <w:pPr>
              <w:pStyle w:val="Compact"/>
            </w:pPr>
            <w:r>
              <w:t xml:space="preserve">A1 Governance</w:t>
            </w:r>
          </w:p>
        </w:tc>
        <w:tc>
          <w:tcPr/>
          <w:p>
            <w:pPr>
              <w:pStyle w:val="Compact"/>
            </w:pPr>
            <w:r>
              <w:t xml:space="preserve">Inputs to board pack: coverage metrics, denies, unresolved exceptions</w:t>
            </w:r>
          </w:p>
        </w:tc>
        <w:tc>
          <w:tcPr/>
          <w:p>
            <w:pPr>
              <w:pStyle w:val="Compact"/>
            </w:pPr>
            <w:r>
              <w:t xml:space="preserve">Supporting</w:t>
            </w:r>
          </w:p>
        </w:tc>
      </w:tr>
      <w:tr>
        <w:tc>
          <w:tcPr/>
          <w:p>
            <w:pPr>
              <w:pStyle w:val="Compact"/>
            </w:pPr>
          </w:p>
        </w:tc>
        <w:tc>
          <w:tcPr/>
          <w:p>
            <w:pPr>
              <w:pStyle w:val="Compact"/>
            </w:pPr>
            <w:r>
              <w:t xml:space="preserve">A2 Risk management</w:t>
            </w:r>
          </w:p>
        </w:tc>
        <w:tc>
          <w:tcPr/>
          <w:p>
            <w:pPr>
              <w:pStyle w:val="Compact"/>
            </w:pPr>
            <w:r>
              <w:t xml:space="preserve">Reachability + attack-surface inputs to threat modelling</w:t>
            </w:r>
          </w:p>
        </w:tc>
        <w:tc>
          <w:tcPr/>
          <w:p>
            <w:pPr>
              <w:pStyle w:val="Compact"/>
            </w:pPr>
            <w:r>
              <w:t xml:space="preserve">Supporting</w:t>
            </w:r>
          </w:p>
        </w:tc>
      </w:tr>
      <w:tr>
        <w:tc>
          <w:tcPr/>
          <w:p>
            <w:pPr>
              <w:pStyle w:val="Compact"/>
            </w:pPr>
          </w:p>
        </w:tc>
        <w:tc>
          <w:tcPr/>
          <w:p>
            <w:pPr>
              <w:pStyle w:val="Compact"/>
            </w:pPr>
            <w:r>
              <w:t xml:space="preserve">A3 Asset management</w:t>
            </w:r>
          </w:p>
        </w:tc>
        <w:tc>
          <w:tcPr/>
          <w:p>
            <w:pPr>
              <w:pStyle w:val="Compact"/>
            </w:pPr>
            <w:r>
              <w:rPr>
                <w:b/>
                <w:bCs/>
              </w:rPr>
              <w:t xml:space="preserve">Primary</w:t>
            </w:r>
            <w:r>
              <w:t xml:space="preserve"> </w:t>
            </w:r>
            <w:r>
              <w:t xml:space="preserve">— continuous workload/service inventory across on-prem + cloud</w:t>
            </w:r>
          </w:p>
        </w:tc>
        <w:tc>
          <w:tcPr/>
          <w:p>
            <w:pPr>
              <w:pStyle w:val="Compact"/>
            </w:pPr>
            <w:r>
              <w:rPr>
                <w:b/>
                <w:bCs/>
              </w:rPr>
              <w:t xml:space="preserve">Core</w:t>
            </w:r>
          </w:p>
        </w:tc>
      </w:tr>
      <w:tr>
        <w:tc>
          <w:tcPr/>
          <w:p>
            <w:pPr>
              <w:pStyle w:val="Compact"/>
            </w:pPr>
          </w:p>
        </w:tc>
        <w:tc>
          <w:tcPr/>
          <w:p>
            <w:pPr>
              <w:pStyle w:val="Compact"/>
            </w:pPr>
            <w:r>
              <w:t xml:space="preserve">A4 Supply chain</w:t>
            </w:r>
          </w:p>
        </w:tc>
        <w:tc>
          <w:tcPr/>
          <w:p>
            <w:pPr>
              <w:pStyle w:val="Compact"/>
            </w:pPr>
            <w:r>
              <w:t xml:space="preserve">Vendor-egress reconciliation vs. supplier register</w:t>
            </w:r>
          </w:p>
        </w:tc>
        <w:tc>
          <w:tcPr/>
          <w:p>
            <w:pPr>
              <w:pStyle w:val="Compact"/>
            </w:pPr>
            <w:r>
              <w:t xml:space="preserve">Partial</w:t>
            </w:r>
          </w:p>
        </w:tc>
      </w:tr>
      <w:tr>
        <w:tc>
          <w:tcPr/>
          <w:p>
            <w:pPr>
              <w:pStyle w:val="Compact"/>
            </w:pPr>
            <w:r>
              <w:rPr>
                <w:b/>
                <w:bCs/>
              </w:rPr>
              <w:t xml:space="preserve">B — Protecting against cyber attack</w:t>
            </w:r>
          </w:p>
        </w:tc>
        <w:tc>
          <w:tcPr/>
          <w:p>
            <w:pPr>
              <w:pStyle w:val="Compact"/>
            </w:pPr>
            <w:r>
              <w:t xml:space="preserve">B1 Service protection policies &amp; processes</w:t>
            </w:r>
          </w:p>
        </w:tc>
        <w:tc>
          <w:tcPr/>
          <w:p>
            <w:pPr>
              <w:pStyle w:val="Compact"/>
            </w:pPr>
            <w:r>
              <w:t xml:space="preserve">Enforcement + drift telemetry proves policies operate</w:t>
            </w:r>
          </w:p>
        </w:tc>
        <w:tc>
          <w:tcPr/>
          <w:p>
            <w:pPr>
              <w:pStyle w:val="Compact"/>
            </w:pPr>
            <w:r>
              <w:t xml:space="preserve">Supporting</w:t>
            </w:r>
          </w:p>
        </w:tc>
      </w:tr>
      <w:tr>
        <w:tc>
          <w:tcPr/>
          <w:p>
            <w:pPr>
              <w:pStyle w:val="Compact"/>
            </w:pPr>
          </w:p>
        </w:tc>
        <w:tc>
          <w:tcPr/>
          <w:p>
            <w:pPr>
              <w:pStyle w:val="Compact"/>
            </w:pPr>
            <w:r>
              <w:t xml:space="preserve">B2 Identity &amp; access control</w:t>
            </w:r>
          </w:p>
        </w:tc>
        <w:tc>
          <w:tcPr/>
          <w:p>
            <w:pPr>
              <w:pStyle w:val="Compact"/>
            </w:pPr>
            <w:r>
              <w:t xml:space="preserve">Workload-to-workload allowlist; least-priv reach evidence (does not replace IAM / MFA / PAM)</w:t>
            </w:r>
          </w:p>
        </w:tc>
        <w:tc>
          <w:tcPr/>
          <w:p>
            <w:pPr>
              <w:pStyle w:val="Compact"/>
            </w:pPr>
            <w:r>
              <w:t xml:space="preserve">Partial</w:t>
            </w:r>
          </w:p>
        </w:tc>
      </w:tr>
      <w:tr>
        <w:tc>
          <w:tcPr/>
          <w:p>
            <w:pPr>
              <w:pStyle w:val="Compact"/>
            </w:pPr>
          </w:p>
        </w:tc>
        <w:tc>
          <w:tcPr/>
          <w:p>
            <w:pPr>
              <w:pStyle w:val="Compact"/>
            </w:pPr>
            <w:r>
              <w:t xml:space="preserve">B3 Data security</w:t>
            </w:r>
          </w:p>
        </w:tc>
        <w:tc>
          <w:tcPr/>
          <w:p>
            <w:pPr>
              <w:pStyle w:val="Compact"/>
            </w:pPr>
            <w:r>
              <w:t xml:space="preserve">Enforces protected paths (TLS-only conduits, deny egress); does not manage keys/crypto primitives</w:t>
            </w:r>
          </w:p>
        </w:tc>
        <w:tc>
          <w:tcPr/>
          <w:p>
            <w:pPr>
              <w:pStyle w:val="Compact"/>
            </w:pPr>
            <w:r>
              <w:t xml:space="preserve">Partial</w:t>
            </w:r>
          </w:p>
        </w:tc>
      </w:tr>
      <w:tr>
        <w:tc>
          <w:tcPr/>
          <w:p>
            <w:pPr>
              <w:pStyle w:val="Compact"/>
            </w:pPr>
          </w:p>
        </w:tc>
        <w:tc>
          <w:tcPr/>
          <w:p>
            <w:pPr>
              <w:pStyle w:val="Compact"/>
            </w:pPr>
            <w:r>
              <w:t xml:space="preserve">B4 System security</w:t>
            </w:r>
          </w:p>
        </w:tc>
        <w:tc>
          <w:tcPr/>
          <w:p>
            <w:pPr>
              <w:pStyle w:val="Compact"/>
            </w:pPr>
            <w:r>
              <w:t xml:space="preserve">Configuration/process baseline + drift; VA integration for patch prioritisation</w:t>
            </w:r>
          </w:p>
        </w:tc>
        <w:tc>
          <w:tcPr/>
          <w:p>
            <w:pPr>
              <w:pStyle w:val="Compact"/>
            </w:pPr>
            <w:r>
              <w:t xml:space="preserve">Strong</w:t>
            </w:r>
          </w:p>
        </w:tc>
      </w:tr>
      <w:tr>
        <w:tc>
          <w:tcPr/>
          <w:p>
            <w:pPr>
              <w:pStyle w:val="Compact"/>
            </w:pPr>
          </w:p>
        </w:tc>
        <w:tc>
          <w:tcPr/>
          <w:p>
            <w:pPr>
              <w:pStyle w:val="Compact"/>
            </w:pPr>
            <w:r>
              <w:t xml:space="preserve">B5 Resilient networks &amp; systems</w:t>
            </w:r>
          </w:p>
        </w:tc>
        <w:tc>
          <w:tcPr/>
          <w:p>
            <w:pPr>
              <w:pStyle w:val="Compact"/>
            </w:pPr>
            <w:r>
              <w:rPr>
                <w:b/>
                <w:bCs/>
              </w:rPr>
              <w:t xml:space="preserve">Primary</w:t>
            </w:r>
            <w:r>
              <w:t xml:space="preserve"> </w:t>
            </w:r>
            <w:r>
              <w:t xml:space="preserve">— microsegmentation, IT/OT DMZ, ADM-derived allowlists</w:t>
            </w:r>
          </w:p>
        </w:tc>
        <w:tc>
          <w:tcPr/>
          <w:p>
            <w:pPr>
              <w:pStyle w:val="Compact"/>
            </w:pPr>
            <w:r>
              <w:rPr>
                <w:b/>
                <w:bCs/>
              </w:rPr>
              <w:t xml:space="preserve">Core</w:t>
            </w:r>
          </w:p>
        </w:tc>
      </w:tr>
      <w:tr>
        <w:tc>
          <w:tcPr/>
          <w:p>
            <w:pPr>
              <w:pStyle w:val="Compact"/>
            </w:pPr>
          </w:p>
        </w:tc>
        <w:tc>
          <w:tcPr/>
          <w:p>
            <w:pPr>
              <w:pStyle w:val="Compact"/>
            </w:pPr>
            <w:r>
              <w:t xml:space="preserve">B6 Staff awareness &amp; training</w:t>
            </w:r>
          </w:p>
        </w:tc>
        <w:tc>
          <w:tcPr/>
          <w:p>
            <w:pPr>
              <w:pStyle w:val="Compact"/>
            </w:pPr>
            <w:r>
              <w:t xml:space="preserve">Out of scope</w:t>
            </w:r>
          </w:p>
        </w:tc>
        <w:tc>
          <w:tcPr/>
          <w:p>
            <w:pPr>
              <w:pStyle w:val="Compact"/>
            </w:pPr>
            <w:r>
              <w:t xml:space="preserve">—</w:t>
            </w:r>
          </w:p>
        </w:tc>
      </w:tr>
      <w:tr>
        <w:tc>
          <w:tcPr/>
          <w:p>
            <w:pPr>
              <w:pStyle w:val="Compact"/>
            </w:pPr>
            <w:r>
              <w:rPr>
                <w:b/>
                <w:bCs/>
              </w:rPr>
              <w:t xml:space="preserve">C — Detecting cyber security events</w:t>
            </w:r>
          </w:p>
        </w:tc>
        <w:tc>
          <w:tcPr/>
          <w:p>
            <w:pPr>
              <w:pStyle w:val="Compact"/>
            </w:pPr>
            <w:r>
              <w:t xml:space="preserve">C1 Security monitoring</w:t>
            </w:r>
          </w:p>
        </w:tc>
        <w:tc>
          <w:tcPr/>
          <w:p>
            <w:pPr>
              <w:pStyle w:val="Compact"/>
            </w:pPr>
            <w:r>
              <w:rPr>
                <w:b/>
                <w:bCs/>
              </w:rPr>
              <w:t xml:space="preserve">Primary</w:t>
            </w:r>
            <w:r>
              <w:t xml:space="preserve"> </w:t>
            </w:r>
            <w:r>
              <w:t xml:space="preserve">— continuous flow + process telemetry, SIEM forwarding, NTP-locked timestamps</w:t>
            </w:r>
          </w:p>
        </w:tc>
        <w:tc>
          <w:tcPr/>
          <w:p>
            <w:pPr>
              <w:pStyle w:val="Compact"/>
            </w:pPr>
            <w:r>
              <w:rPr>
                <w:b/>
                <w:bCs/>
              </w:rPr>
              <w:t xml:space="preserve">Core</w:t>
            </w:r>
          </w:p>
        </w:tc>
      </w:tr>
      <w:tr>
        <w:tc>
          <w:tcPr/>
          <w:p>
            <w:pPr>
              <w:pStyle w:val="Compact"/>
            </w:pPr>
          </w:p>
        </w:tc>
        <w:tc>
          <w:tcPr/>
          <w:p>
            <w:pPr>
              <w:pStyle w:val="Compact"/>
            </w:pPr>
            <w:r>
              <w:t xml:space="preserve">C2 Proactive event discovery</w:t>
            </w:r>
          </w:p>
        </w:tc>
        <w:tc>
          <w:tcPr/>
          <w:p>
            <w:pPr>
              <w:pStyle w:val="Compact"/>
            </w:pPr>
            <w:r>
              <w:t xml:space="preserve">Anomaly detection; reachability-weighted CVE evidence; threat-intel-fed workspace rules</w:t>
            </w:r>
          </w:p>
        </w:tc>
        <w:tc>
          <w:tcPr/>
          <w:p>
            <w:pPr>
              <w:pStyle w:val="Compact"/>
            </w:pPr>
            <w:r>
              <w:t xml:space="preserve">Strong</w:t>
            </w:r>
          </w:p>
        </w:tc>
      </w:tr>
      <w:tr>
        <w:tc>
          <w:tcPr/>
          <w:p>
            <w:pPr>
              <w:pStyle w:val="Compact"/>
            </w:pPr>
            <w:r>
              <w:rPr>
                <w:b/>
                <w:bCs/>
              </w:rPr>
              <w:t xml:space="preserve">D — Minimising the impact of incidents</w:t>
            </w:r>
          </w:p>
        </w:tc>
        <w:tc>
          <w:tcPr/>
          <w:p>
            <w:pPr>
              <w:pStyle w:val="Compact"/>
            </w:pPr>
            <w:r>
              <w:t xml:space="preserve">D1 Response &amp; recovery planning</w:t>
            </w:r>
          </w:p>
        </w:tc>
        <w:tc>
          <w:tcPr/>
          <w:p>
            <w:pPr>
              <w:pStyle w:val="Compact"/>
            </w:pPr>
            <w:r>
              <w:t xml:space="preserve">Forensic flow + process reconstruction; policy diff history; does not replace backup/DR</w:t>
            </w:r>
          </w:p>
        </w:tc>
        <w:tc>
          <w:tcPr/>
          <w:p>
            <w:pPr>
              <w:pStyle w:val="Compact"/>
            </w:pPr>
            <w:r>
              <w:t xml:space="preserve">Partial</w:t>
            </w:r>
          </w:p>
        </w:tc>
      </w:tr>
      <w:tr>
        <w:tc>
          <w:tcPr/>
          <w:p>
            <w:pPr>
              <w:pStyle w:val="Compact"/>
            </w:pPr>
          </w:p>
        </w:tc>
        <w:tc>
          <w:tcPr/>
          <w:p>
            <w:pPr>
              <w:pStyle w:val="Compact"/>
            </w:pPr>
            <w:r>
              <w:t xml:space="preserve">D2 Improvements</w:t>
            </w:r>
          </w:p>
        </w:tc>
        <w:tc>
          <w:tcPr/>
          <w:p>
            <w:pPr>
              <w:pStyle w:val="Compact"/>
            </w:pPr>
            <w:r>
              <w:t xml:space="preserve">Historical policy + inventory diffs feed post-incident RCA</w:t>
            </w:r>
          </w:p>
        </w:tc>
        <w:tc>
          <w:tcPr/>
          <w:p>
            <w:pPr>
              <w:pStyle w:val="Compact"/>
            </w:pPr>
            <w:r>
              <w:t xml:space="preserve">Supporting</w:t>
            </w:r>
          </w:p>
        </w:tc>
      </w:tr>
    </w:tbl>
    <w:bookmarkEnd w:id="21"/>
    <w:bookmarkStart w:id="22" w:name="X7ab5659fb5a71a710b56bda97cae9488dfecbfc"/>
    <w:p>
      <w:pPr>
        <w:pStyle w:val="Heading3"/>
      </w:pPr>
      <w:r>
        <w:t xml:space="preserve">1.2 Regulatory context (informative)</w:t>
      </w:r>
    </w:p>
    <w:p>
      <w:pPr>
        <w:pStyle w:val="FirstParagraph"/>
      </w:pPr>
      <w:r>
        <w:t xml:space="preserve">CAF is not a law; it is an assessment framework used by regulators and departments to demonstrate satisfaction of legal or policy duties: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Sector / entity</w:t>
            </w:r>
          </w:p>
        </w:tc>
        <w:tc>
          <w:tcPr/>
          <w:p>
            <w:pPr>
              <w:pStyle w:val="Compact"/>
            </w:pPr>
            <w:r>
              <w:t xml:space="preserve">Statutory basis</w:t>
            </w:r>
          </w:p>
        </w:tc>
        <w:tc>
          <w:tcPr/>
          <w:p>
            <w:pPr>
              <w:pStyle w:val="Compact"/>
            </w:pPr>
            <w:r>
              <w:t xml:space="preserve">Competent Authority (representative)</w:t>
            </w:r>
          </w:p>
        </w:tc>
      </w:tr>
      <w:tr>
        <w:tc>
          <w:tcPr/>
          <w:p>
            <w:pPr>
              <w:pStyle w:val="Compact"/>
            </w:pPr>
            <w:r>
              <w:t xml:space="preserve">Energy — Electricity, Gas, Oil</w:t>
            </w:r>
          </w:p>
        </w:tc>
        <w:tc>
          <w:tcPr/>
          <w:p>
            <w:pPr>
              <w:pStyle w:val="Compact"/>
            </w:pPr>
            <w:r>
              <w:t xml:space="preserve">NIS Regulations 2018</w:t>
            </w:r>
          </w:p>
        </w:tc>
        <w:tc>
          <w:tcPr/>
          <w:p>
            <w:pPr>
              <w:pStyle w:val="Compact"/>
            </w:pPr>
            <w:r>
              <w:rPr>
                <w:b/>
                <w:bCs/>
              </w:rPr>
              <w:t xml:space="preserve">Ofgem</w:t>
            </w:r>
            <w:r>
              <w:t xml:space="preserve"> </w:t>
            </w:r>
            <w:r>
              <w:t xml:space="preserve">(Great Britain); DfE Northern Ireland</w:t>
            </w:r>
          </w:p>
        </w:tc>
      </w:tr>
      <w:tr>
        <w:tc>
          <w:tcPr/>
          <w:p>
            <w:pPr>
              <w:pStyle w:val="Compact"/>
            </w:pPr>
            <w:r>
              <w:t xml:space="preserve">Water</w:t>
            </w:r>
          </w:p>
        </w:tc>
        <w:tc>
          <w:tcPr/>
          <w:p>
            <w:pPr>
              <w:pStyle w:val="Compact"/>
            </w:pPr>
            <w:r>
              <w:t xml:space="preserve">NIS Regulations 2018</w:t>
            </w:r>
          </w:p>
        </w:tc>
        <w:tc>
          <w:tcPr/>
          <w:p>
            <w:pPr>
              <w:pStyle w:val="Compact"/>
            </w:pPr>
            <w:r>
              <w:rPr>
                <w:b/>
                <w:bCs/>
              </w:rPr>
              <w:t xml:space="preserve">DWI</w:t>
            </w:r>
            <w:r>
              <w:t xml:space="preserve"> </w:t>
            </w:r>
            <w:r>
              <w:t xml:space="preserve">(Drinking Water Inspectorate, England &amp; Wales); Scottish / NI equivalents</w:t>
            </w:r>
          </w:p>
        </w:tc>
      </w:tr>
      <w:tr>
        <w:tc>
          <w:tcPr/>
          <w:p>
            <w:pPr>
              <w:pStyle w:val="Compact"/>
            </w:pPr>
            <w:r>
              <w:t xml:space="preserve">Transport — Air</w:t>
            </w:r>
          </w:p>
        </w:tc>
        <w:tc>
          <w:tcPr/>
          <w:p>
            <w:pPr>
              <w:pStyle w:val="Compact"/>
            </w:pPr>
            <w:r>
              <w:t xml:space="preserve">NIS Regulations 2018</w:t>
            </w:r>
          </w:p>
        </w:tc>
        <w:tc>
          <w:tcPr/>
          <w:p>
            <w:pPr>
              <w:pStyle w:val="Compact"/>
            </w:pPr>
            <w:r>
              <w:rPr>
                <w:b/>
                <w:bCs/>
              </w:rPr>
              <w:t xml:space="preserve">CAA</w:t>
            </w:r>
            <w:r>
              <w:t xml:space="preserve"> </w:t>
            </w:r>
            <w:r>
              <w:t xml:space="preserve">(Civil Aviation Authority)</w:t>
            </w:r>
          </w:p>
        </w:tc>
      </w:tr>
      <w:tr>
        <w:tc>
          <w:tcPr/>
          <w:p>
            <w:pPr>
              <w:pStyle w:val="Compact"/>
            </w:pPr>
            <w:r>
              <w:t xml:space="preserve">Transport — Maritime</w:t>
            </w:r>
          </w:p>
        </w:tc>
        <w:tc>
          <w:tcPr/>
          <w:p>
            <w:pPr>
              <w:pStyle w:val="Compact"/>
            </w:pPr>
            <w:r>
              <w:t xml:space="preserve">NIS Regulations 2018</w:t>
            </w:r>
          </w:p>
        </w:tc>
        <w:tc>
          <w:tcPr/>
          <w:p>
            <w:pPr>
              <w:pStyle w:val="Compact"/>
            </w:pPr>
            <w:r>
              <w:rPr>
                <w:b/>
                <w:bCs/>
              </w:rPr>
              <w:t xml:space="preserve">MCA</w:t>
            </w:r>
            <w:r>
              <w:t xml:space="preserve"> </w:t>
            </w:r>
            <w:r>
              <w:t xml:space="preserve">(Maritime and Coastguard Agency)</w:t>
            </w:r>
          </w:p>
        </w:tc>
      </w:tr>
      <w:tr>
        <w:tc>
          <w:tcPr/>
          <w:p>
            <w:pPr>
              <w:pStyle w:val="Compact"/>
            </w:pPr>
            <w:r>
              <w:t xml:space="preserve">Transport — Rail</w:t>
            </w:r>
          </w:p>
        </w:tc>
        <w:tc>
          <w:tcPr/>
          <w:p>
            <w:pPr>
              <w:pStyle w:val="Compact"/>
            </w:pPr>
            <w:r>
              <w:t xml:space="preserve">NIS Regulations 2018</w:t>
            </w:r>
          </w:p>
        </w:tc>
        <w:tc>
          <w:tcPr/>
          <w:p>
            <w:pPr>
              <w:pStyle w:val="Compact"/>
            </w:pPr>
            <w:r>
              <w:rPr>
                <w:b/>
                <w:bCs/>
              </w:rPr>
              <w:t xml:space="preserve">ORR</w:t>
            </w:r>
            <w:r>
              <w:t xml:space="preserve"> </w:t>
            </w:r>
            <w:r>
              <w:t xml:space="preserve">(Office of Rail and Road)</w:t>
            </w:r>
          </w:p>
        </w:tc>
      </w:tr>
      <w:tr>
        <w:tc>
          <w:tcPr/>
          <w:p>
            <w:pPr>
              <w:pStyle w:val="Compact"/>
            </w:pPr>
            <w:r>
              <w:t xml:space="preserve">Transport — Road (strategic road network)</w:t>
            </w:r>
          </w:p>
        </w:tc>
        <w:tc>
          <w:tcPr/>
          <w:p>
            <w:pPr>
              <w:pStyle w:val="Compact"/>
            </w:pPr>
            <w:r>
              <w:t xml:space="preserve">NIS Regulations 2018</w:t>
            </w:r>
          </w:p>
        </w:tc>
        <w:tc>
          <w:tcPr/>
          <w:p>
            <w:pPr>
              <w:pStyle w:val="Compact"/>
            </w:pPr>
            <w:r>
              <w:rPr>
                <w:b/>
                <w:bCs/>
              </w:rPr>
              <w:t xml:space="preserve">DfT</w:t>
            </w:r>
          </w:p>
        </w:tc>
      </w:tr>
      <w:tr>
        <w:tc>
          <w:tcPr/>
          <w:p>
            <w:pPr>
              <w:pStyle w:val="Compact"/>
            </w:pPr>
            <w:r>
              <w:t xml:space="preserve">Healthcare</w:t>
            </w:r>
          </w:p>
        </w:tc>
        <w:tc>
          <w:tcPr/>
          <w:p>
            <w:pPr>
              <w:pStyle w:val="Compact"/>
            </w:pPr>
            <w:r>
              <w:t xml:space="preserve">NIS Regulations 2018</w:t>
            </w:r>
          </w:p>
        </w:tc>
        <w:tc>
          <w:tcPr/>
          <w:p>
            <w:pPr>
              <w:pStyle w:val="Compact"/>
            </w:pPr>
            <w:r>
              <w:rPr>
                <w:b/>
                <w:bCs/>
              </w:rPr>
              <w:t xml:space="preserve">DHSC</w:t>
            </w:r>
            <w:r>
              <w:t xml:space="preserve"> </w:t>
            </w:r>
            <w:r>
              <w:t xml:space="preserve">with</w:t>
            </w:r>
            <w:r>
              <w:t xml:space="preserve"> </w:t>
            </w:r>
            <w:r>
              <w:rPr>
                <w:b/>
                <w:bCs/>
              </w:rPr>
              <w:t xml:space="preserve">NHS England</w:t>
            </w:r>
            <w:r>
              <w:t xml:space="preserve"> </w:t>
            </w:r>
            <w:r>
              <w:t xml:space="preserve">delegated operational role</w:t>
            </w:r>
          </w:p>
        </w:tc>
      </w:tr>
      <w:tr>
        <w:tc>
          <w:tcPr/>
          <w:p>
            <w:pPr>
              <w:pStyle w:val="Compact"/>
            </w:pPr>
            <w:r>
              <w:t xml:space="preserve">Digital Infrastructure (DNS, IXPs, TLD registries)</w:t>
            </w:r>
          </w:p>
        </w:tc>
        <w:tc>
          <w:tcPr/>
          <w:p>
            <w:pPr>
              <w:pStyle w:val="Compact"/>
            </w:pPr>
            <w:r>
              <w:t xml:space="preserve">NIS Regulations 2018</w:t>
            </w:r>
          </w:p>
        </w:tc>
        <w:tc>
          <w:tcPr/>
          <w:p>
            <w:pPr>
              <w:pStyle w:val="Compact"/>
            </w:pPr>
            <w:r>
              <w:rPr>
                <w:b/>
                <w:bCs/>
              </w:rPr>
              <w:t xml:space="preserve">Ofcom</w:t>
            </w:r>
          </w:p>
        </w:tc>
      </w:tr>
      <w:tr>
        <w:tc>
          <w:tcPr/>
          <w:p>
            <w:pPr>
              <w:pStyle w:val="Compact"/>
            </w:pPr>
            <w:r>
              <w:t xml:space="preserve">Relevant Digital Service Providers (RDSPs)</w:t>
            </w:r>
          </w:p>
        </w:tc>
        <w:tc>
          <w:tcPr/>
          <w:p>
            <w:pPr>
              <w:pStyle w:val="Compact"/>
            </w:pPr>
            <w:r>
              <w:t xml:space="preserve">NIS Regulations 2018</w:t>
            </w:r>
          </w:p>
        </w:tc>
        <w:tc>
          <w:tcPr/>
          <w:p>
            <w:pPr>
              <w:pStyle w:val="Compact"/>
            </w:pPr>
            <w:r>
              <w:rPr>
                <w:b/>
                <w:bCs/>
              </w:rPr>
              <w:t xml:space="preserve">ICO</w:t>
            </w:r>
          </w:p>
        </w:tc>
      </w:tr>
      <w:tr>
        <w:tc>
          <w:tcPr/>
          <w:p>
            <w:pPr>
              <w:pStyle w:val="Compact"/>
            </w:pPr>
            <w:r>
              <w:t xml:space="preserve">UK central government</w:t>
            </w:r>
          </w:p>
        </w:tc>
        <w:tc>
          <w:tcPr/>
          <w:p>
            <w:pPr>
              <w:pStyle w:val="Compact"/>
            </w:pPr>
            <w:r>
              <w:t xml:space="preserve">Cabinet Office policy</w:t>
            </w:r>
          </w:p>
        </w:tc>
        <w:tc>
          <w:tcPr/>
          <w:p>
            <w:pPr>
              <w:pStyle w:val="Compact"/>
            </w:pPr>
            <w:r>
              <w:rPr>
                <w:b/>
                <w:bCs/>
              </w:rPr>
              <w:t xml:space="preserve">GSG</w:t>
            </w:r>
            <w:r>
              <w:t xml:space="preserve"> </w:t>
            </w:r>
            <w:r>
              <w:t xml:space="preserve">(Government Security Group) via</w:t>
            </w:r>
            <w:r>
              <w:t xml:space="preserve"> </w:t>
            </w:r>
            <w:r>
              <w:rPr>
                <w:b/>
                <w:bCs/>
              </w:rPr>
              <w:t xml:space="preserve">GovAssure</w:t>
            </w:r>
          </w:p>
        </w:tc>
      </w:tr>
    </w:tbl>
    <w:p>
      <w:pPr>
        <w:pStyle w:val="BodyText"/>
      </w:pPr>
      <w:r>
        <w:t xml:space="preserve">Confirm the specific competent authority and any sector profile before finalising your CAF evidence — some regulators publish supplementary IGP interpretation guidance.</w:t>
      </w:r>
    </w:p>
    <w:p>
      <w:r>
        <w:pict>
          <v:rect style="width:0;height:1.5pt" o:hralign="center" o:hrstd="t" o:hr="t"/>
        </w:pict>
      </w:r>
    </w:p>
    <w:bookmarkEnd w:id="22"/>
    <w:bookmarkEnd w:id="23"/>
    <w:bookmarkStart w:id="24" w:name="Xcaf64b391b9418042f6653ba9f777777e18d51e"/>
    <w:p>
      <w:pPr>
        <w:pStyle w:val="Heading2"/>
      </w:pPr>
      <w:r>
        <w:t xml:space="preserve">2. Pre-Deployment Checklist</w:t>
      </w:r>
    </w:p>
    <w:p>
      <w:pPr>
        <w:pStyle w:val="FirstParagraph"/>
      </w:pPr>
      <w:r>
        <w:t xml:space="preserve">Before deploying CSW sensors for CAF evidence:</w:t>
      </w:r>
    </w:p>
    <w:p>
      <w:pPr>
        <w:pStyle w:val="Compact"/>
        <w:numPr>
          <w:ilvl w:val="0"/>
          <w:numId w:val="1019"/>
        </w:numPr>
      </w:pPr>
      <w:r>
        <w:rPr>
          <w:b/>
          <w:bCs/>
        </w:rPr>
        <w:t xml:space="preserve">Essential functions defined and named</w:t>
      </w:r>
      <w:r>
        <w:t xml:space="preserve"> </w:t>
      </w:r>
      <w:r>
        <w:t xml:space="preserve">(per NCSC guidance) — CSW scopes will be labelled to these names.</w:t>
      </w:r>
    </w:p>
    <w:p>
      <w:pPr>
        <w:pStyle w:val="Compact"/>
        <w:numPr>
          <w:ilvl w:val="0"/>
          <w:numId w:val="1020"/>
        </w:numPr>
      </w:pPr>
      <w:r>
        <w:rPr>
          <w:b/>
          <w:bCs/>
        </w:rPr>
        <w:t xml:space="preserve">Sector profile confirmed</w:t>
      </w:r>
      <w:r>
        <w:t xml:space="preserve"> </w:t>
      </w:r>
      <w:r>
        <w:t xml:space="preserve">with your Competent Authority (baseline CAF vs. sector overlay).</w:t>
      </w:r>
    </w:p>
    <w:p>
      <w:pPr>
        <w:pStyle w:val="Compact"/>
        <w:numPr>
          <w:ilvl w:val="0"/>
          <w:numId w:val="1021"/>
        </w:numPr>
      </w:pPr>
      <w:r>
        <w:rPr>
          <w:b/>
          <w:bCs/>
        </w:rPr>
        <w:t xml:space="preserve">Systems inventory</w:t>
      </w:r>
      <w:r>
        <w:t xml:space="preserve"> </w:t>
      </w:r>
      <w:r>
        <w:t xml:space="preserve">— list of servers, VMs, containers, cloud services supporting each essential function, with owner and criticality.</w:t>
      </w:r>
    </w:p>
    <w:p>
      <w:pPr>
        <w:pStyle w:val="Compact"/>
        <w:numPr>
          <w:ilvl w:val="0"/>
          <w:numId w:val="1022"/>
        </w:numPr>
      </w:pPr>
      <w:r>
        <w:rPr>
          <w:b/>
          <w:bCs/>
        </w:rPr>
        <w:t xml:space="preserve">IT / OT boundary architecture diagram</w:t>
      </w:r>
      <w:r>
        <w:t xml:space="preserve"> </w:t>
      </w:r>
      <w:r>
        <w:t xml:space="preserve">— for operators with OT estate; identify jump hosts, IT/OT DMZ workloads, historians, engineering workstations.</w:t>
      </w:r>
    </w:p>
    <w:p>
      <w:pPr>
        <w:pStyle w:val="Compact"/>
        <w:numPr>
          <w:ilvl w:val="0"/>
          <w:numId w:val="1023"/>
        </w:numPr>
      </w:pPr>
      <w:r>
        <w:rPr>
          <w:b/>
          <w:bCs/>
        </w:rPr>
        <w:t xml:space="preserve">Existing CAF self-assessment or GovAssure report</w:t>
      </w:r>
      <w:r>
        <w:t xml:space="preserve"> </w:t>
      </w:r>
      <w:r>
        <w:t xml:space="preserve">— identify current IGP status per principle so you can target the "Partially Achieved → Achieved" moves CSW enables.</w:t>
      </w:r>
    </w:p>
    <w:p>
      <w:pPr>
        <w:pStyle w:val="Compact"/>
        <w:numPr>
          <w:ilvl w:val="0"/>
          <w:numId w:val="1024"/>
        </w:numPr>
      </w:pPr>
      <w:r>
        <w:rPr>
          <w:b/>
          <w:bCs/>
        </w:rPr>
        <w:t xml:space="preserve">Time source</w:t>
      </w:r>
      <w:r>
        <w:t xml:space="preserve"> </w:t>
      </w:r>
      <w:r>
        <w:t xml:space="preserve">— confirm NTP source for all in-scope hosts (CAF C1 IGP explicitly calls out synchronised time).</w:t>
      </w:r>
    </w:p>
    <w:p>
      <w:pPr>
        <w:pStyle w:val="Compact"/>
        <w:numPr>
          <w:ilvl w:val="0"/>
          <w:numId w:val="1025"/>
        </w:numPr>
      </w:pPr>
      <w:r>
        <w:rPr>
          <w:b/>
          <w:bCs/>
        </w:rPr>
        <w:t xml:space="preserve">SIEM / SOAR forwarding path</w:t>
      </w:r>
      <w:r>
        <w:t xml:space="preserve"> </w:t>
      </w:r>
      <w:r>
        <w:t xml:space="preserve">confirmed (CSW will export flow + process telemetry via syslog / Kafka / cloud connector).</w:t>
      </w:r>
    </w:p>
    <w:p>
      <w:pPr>
        <w:pStyle w:val="Compact"/>
        <w:numPr>
          <w:ilvl w:val="0"/>
          <w:numId w:val="1026"/>
        </w:numPr>
      </w:pPr>
      <w:r>
        <w:rPr>
          <w:b/>
          <w:bCs/>
        </w:rPr>
        <w:t xml:space="preserve">Change-management approval</w:t>
      </w:r>
      <w:r>
        <w:t xml:space="preserve"> </w:t>
      </w:r>
      <w:r>
        <w:t xml:space="preserve">for agent install on operational systems (OT-adjacent systems will need pilot approval).</w:t>
      </w:r>
    </w:p>
    <w:p>
      <w:r>
        <w:pict>
          <v:rect style="width:0;height:1.5pt" o:hralign="center" o:hrstd="t" o:hr="t"/>
        </w:pict>
      </w:r>
    </w:p>
    <w:bookmarkEnd w:id="24"/>
    <w:bookmarkStart w:id="28" w:name="Xaad571b9c74984ccc77e3af2a486e7c29b1f7b8"/>
    <w:p>
      <w:pPr>
        <w:pStyle w:val="Heading2"/>
      </w:pPr>
      <w:r>
        <w:t xml:space="preserve">3. Phase 1 — IT-Side Sensor &amp; Connector Deployment (Days 1–5)</w:t>
      </w:r>
    </w:p>
    <w:p>
      <w:pPr>
        <w:pStyle w:val="FirstParagraph"/>
      </w:pPr>
      <w:r>
        <w:t xml:space="preserve">Objective: land coverage on the workloads that support each essential function.</w:t>
      </w:r>
    </w:p>
    <w:bookmarkStart w:id="25" w:name="Xf887435b7e5b9b96ecfe5932c986dc0b2c68b4c"/>
    <w:p>
      <w:pPr>
        <w:pStyle w:val="Heading3"/>
      </w:pPr>
      <w:r>
        <w:t xml:space="preserve">3.1 Server / VM / container agents</w:t>
      </w:r>
    </w:p>
    <w:p>
      <w:pPr>
        <w:pStyle w:val="SourceCode"/>
      </w:pPr>
      <w:r>
        <w:rPr>
          <w:rStyle w:val="CommentTok"/>
        </w:rPr>
        <w:t xml:space="preserve"># Linux (RHEL / Ubuntu / Debian / SLES families)</w:t>
      </w:r>
      <w:r>
        <w:br/>
      </w:r>
      <w:r>
        <w:rPr>
          <w:rStyle w:val="FunctionTok"/>
        </w:rPr>
        <w:t xml:space="preserve">sudo</w:t>
      </w:r>
      <w:r>
        <w:rPr>
          <w:rStyle w:val="NormalTok"/>
        </w:rPr>
        <w:t xml:space="preserve"> rpm </w:t>
      </w:r>
      <w:r>
        <w:rPr>
          <w:rStyle w:val="AttributeTok"/>
        </w:rPr>
        <w:t xml:space="preserve">-ivh</w:t>
      </w:r>
      <w:r>
        <w:rPr>
          <w:rStyle w:val="NormalTok"/>
        </w:rPr>
        <w:t xml:space="preserve"> tetration-sensor.rpm    </w:t>
      </w:r>
      <w:r>
        <w:rPr>
          <w:rStyle w:val="CommentTok"/>
        </w:rPr>
        <w:t xml:space="preserve"># or .deb via dpkg -i</w:t>
      </w:r>
      <w:r>
        <w:br/>
      </w:r>
      <w:r>
        <w:rPr>
          <w:rStyle w:val="FunctionTok"/>
        </w:rPr>
        <w:t xml:space="preserve">sudo</w:t>
      </w:r>
      <w:r>
        <w:rPr>
          <w:rStyle w:val="NormalTok"/>
        </w:rPr>
        <w:t xml:space="preserve"> systemctl status tetsensor</w:t>
      </w:r>
      <w:r>
        <w:br/>
      </w:r>
      <w:r>
        <w:rPr>
          <w:rStyle w:val="FunctionTok"/>
        </w:rPr>
        <w:t xml:space="preserve">sudo</w:t>
      </w:r>
      <w:r>
        <w:rPr>
          <w:rStyle w:val="NormalTok"/>
        </w:rPr>
        <w:t xml:space="preserve"> tetsensor </w:t>
      </w:r>
      <w:r>
        <w:rPr>
          <w:rStyle w:val="AttributeTok"/>
        </w:rPr>
        <w:t xml:space="preserve">--status</w:t>
      </w:r>
      <w:r>
        <w:rPr>
          <w:rStyle w:val="NormalTok"/>
        </w:rPr>
        <w:t xml:space="preserve">               </w:t>
      </w:r>
      <w:r>
        <w:rPr>
          <w:rStyle w:val="CommentTok"/>
        </w:rPr>
        <w:t xml:space="preserve"># confirms cluster registration</w:t>
      </w:r>
    </w:p>
    <w:p>
      <w:pPr>
        <w:pStyle w:val="SourceCode"/>
      </w:pPr>
      <w:r>
        <w:rPr>
          <w:rStyle w:val="CommentTok"/>
        </w:rPr>
        <w:t xml:space="preserve"># Windows Server</w:t>
      </w:r>
      <w:r>
        <w:br/>
      </w:r>
      <w:r>
        <w:rPr>
          <w:rStyle w:val="NormalTok"/>
        </w:rPr>
        <w:t xml:space="preserve">msiexec </w:t>
      </w:r>
      <w:r>
        <w:rPr>
          <w:rStyle w:val="OperatorTok"/>
        </w:rPr>
        <w:t xml:space="preserve">/</w:t>
      </w:r>
      <w:r>
        <w:rPr>
          <w:rStyle w:val="NormalTok"/>
        </w:rPr>
        <w:t xml:space="preserve">i tetration-sensor</w:t>
      </w:r>
      <w:r>
        <w:rPr>
          <w:rStyle w:val="OperatorTok"/>
        </w:rPr>
        <w:t xml:space="preserve">.</w:t>
      </w:r>
      <w:r>
        <w:rPr>
          <w:rStyle w:val="FunctionTok"/>
        </w:rPr>
        <w:t xml:space="preserve">msi</w:t>
      </w:r>
      <w:r>
        <w:rPr>
          <w:rStyle w:val="NormalTok"/>
        </w:rPr>
        <w:t xml:space="preserve"> </w:t>
      </w:r>
      <w:r>
        <w:rPr>
          <w:rStyle w:val="OperatorTok"/>
        </w:rPr>
        <w:t xml:space="preserve">/</w:t>
      </w:r>
      <w:r>
        <w:rPr>
          <w:rStyle w:val="NormalTok"/>
        </w:rPr>
        <w:t xml:space="preserve">qn</w:t>
      </w:r>
      <w:r>
        <w:br/>
      </w:r>
      <w:r>
        <w:rPr>
          <w:rStyle w:val="FunctionTok"/>
        </w:rPr>
        <w:t xml:space="preserve">Get-Service</w:t>
      </w:r>
      <w:r>
        <w:rPr>
          <w:rStyle w:val="NormalTok"/>
        </w:rPr>
        <w:t xml:space="preserve"> tetsensor</w:t>
      </w:r>
    </w:p>
    <w:p>
      <w:pPr>
        <w:pStyle w:val="FirstParagraph"/>
      </w:pPr>
      <w:r>
        <w:t xml:space="preserve">Deploy in this order:</w:t>
      </w:r>
    </w:p>
    <w:p>
      <w:pPr>
        <w:pStyle w:val="Compact"/>
        <w:numPr>
          <w:ilvl w:val="0"/>
          <w:numId w:val="1027"/>
        </w:numPr>
      </w:pPr>
      <w:r>
        <w:rPr>
          <w:b/>
          <w:bCs/>
        </w:rPr>
        <w:t xml:space="preserve">IT/OT DMZ workloads</w:t>
      </w:r>
      <w:r>
        <w:t xml:space="preserve"> </w:t>
      </w:r>
      <w:r>
        <w:t xml:space="preserve">(highest CAF B5 evidence value)</w:t>
      </w:r>
    </w:p>
    <w:p>
      <w:pPr>
        <w:pStyle w:val="Compact"/>
        <w:numPr>
          <w:ilvl w:val="0"/>
          <w:numId w:val="1027"/>
        </w:numPr>
      </w:pPr>
      <w:r>
        <w:rPr>
          <w:b/>
          <w:bCs/>
        </w:rPr>
        <w:t xml:space="preserve">Jump hosts, historians, engineering workstations</w:t>
      </w:r>
      <w:r>
        <w:t xml:space="preserve"> </w:t>
      </w:r>
      <w:r>
        <w:t xml:space="preserve">supporting essential functions</w:t>
      </w:r>
    </w:p>
    <w:p>
      <w:pPr>
        <w:pStyle w:val="Compact"/>
        <w:numPr>
          <w:ilvl w:val="0"/>
          <w:numId w:val="1027"/>
        </w:numPr>
      </w:pPr>
      <w:r>
        <w:rPr>
          <w:b/>
          <w:bCs/>
        </w:rPr>
        <w:t xml:space="preserve">Identity / PKI / DNS / patch / AV / monitoring servers</w:t>
      </w:r>
      <w:r>
        <w:t xml:space="preserve"> </w:t>
      </w:r>
      <w:r>
        <w:t xml:space="preserve">whose compromise would cascade</w:t>
      </w:r>
    </w:p>
    <w:p>
      <w:pPr>
        <w:pStyle w:val="Compact"/>
        <w:numPr>
          <w:ilvl w:val="0"/>
          <w:numId w:val="1027"/>
        </w:numPr>
      </w:pPr>
      <w:r>
        <w:rPr>
          <w:b/>
          <w:bCs/>
        </w:rPr>
        <w:t xml:space="preserve">Corporate IT workloads with reach into any of the above</w:t>
      </w:r>
    </w:p>
    <w:bookmarkEnd w:id="25"/>
    <w:bookmarkStart w:id="26" w:name="Xd5ed919829a46ed669a5176fd57e995d425a13f"/>
    <w:p>
      <w:pPr>
        <w:pStyle w:val="Heading3"/>
      </w:pPr>
      <w:r>
        <w:t xml:space="preserve">3.2 Cloud &amp; hybrid data paths</w:t>
      </w:r>
    </w:p>
    <w:p>
      <w:pPr>
        <w:pStyle w:val="FirstParagraph"/>
      </w:pPr>
      <w:r>
        <w:t xml:space="preserve">Add cloud connectors for essential-function workloads outside the agent footprint:</w:t>
      </w:r>
    </w:p>
    <w:p>
      <w:pPr>
        <w:pStyle w:val="Compact"/>
        <w:numPr>
          <w:ilvl w:val="0"/>
          <w:numId w:val="1028"/>
        </w:numPr>
      </w:pPr>
      <w:r>
        <w:rPr>
          <w:b/>
          <w:bCs/>
        </w:rPr>
        <w:t xml:space="preserve">AWS</w:t>
      </w:r>
      <w:r>
        <w:t xml:space="preserve">: connector reads VPC flow logs + EC2/EKS/ECS inventory</w:t>
      </w:r>
    </w:p>
    <w:p>
      <w:pPr>
        <w:pStyle w:val="Compact"/>
        <w:numPr>
          <w:ilvl w:val="0"/>
          <w:numId w:val="1028"/>
        </w:numPr>
      </w:pPr>
      <w:r>
        <w:rPr>
          <w:b/>
          <w:bCs/>
        </w:rPr>
        <w:t xml:space="preserve">Azure</w:t>
      </w:r>
      <w:r>
        <w:t xml:space="preserve">: NSG flow logs + VM/VMSS/AKS/App Service inventory</w:t>
      </w:r>
    </w:p>
    <w:p>
      <w:pPr>
        <w:pStyle w:val="Compact"/>
        <w:numPr>
          <w:ilvl w:val="0"/>
          <w:numId w:val="1028"/>
        </w:numPr>
      </w:pPr>
      <w:r>
        <w:rPr>
          <w:b/>
          <w:bCs/>
        </w:rPr>
        <w:t xml:space="preserve">GCP</w:t>
      </w:r>
      <w:r>
        <w:t xml:space="preserve">: VPC flow logs + Compute Engine / GKE / Cloud Run inventory</w:t>
      </w:r>
    </w:p>
    <w:p>
      <w:pPr>
        <w:pStyle w:val="Compact"/>
        <w:numPr>
          <w:ilvl w:val="0"/>
          <w:numId w:val="1028"/>
        </w:numPr>
      </w:pPr>
      <w:r>
        <w:rPr>
          <w:b/>
          <w:bCs/>
        </w:rPr>
        <w:t xml:space="preserve">Kubernetes</w:t>
      </w:r>
      <w:r>
        <w:t xml:space="preserve">: DaemonSet install for on-prem clusters; API-based inventory for managed control planes</w:t>
      </w:r>
    </w:p>
    <w:bookmarkEnd w:id="26"/>
    <w:bookmarkStart w:id="27" w:name="X0741187bb85135972034e4c18a14cb393faf67a"/>
    <w:p>
      <w:pPr>
        <w:pStyle w:val="Heading3"/>
      </w:pPr>
      <w:r>
        <w:t xml:space="preserve">3.3 Sensor validation</w:t>
      </w:r>
    </w:p>
    <w:p>
      <w:pPr>
        <w:pStyle w:val="Compact"/>
        <w:numPr>
          <w:ilvl w:val="0"/>
          <w:numId w:val="1029"/>
        </w:numPr>
      </w:pPr>
      <w:r>
        <w:t xml:space="preserve">Every in-scope host visible in CSW Inventory</w:t>
      </w:r>
    </w:p>
    <w:p>
      <w:pPr>
        <w:pStyle w:val="Compact"/>
        <w:numPr>
          <w:ilvl w:val="0"/>
          <w:numId w:val="1030"/>
        </w:numPr>
      </w:pPr>
      <w:r>
        <w:t xml:space="preserve">Flow observations arriving (Investigate → Flows, filter by scope)</w:t>
      </w:r>
    </w:p>
    <w:p>
      <w:pPr>
        <w:pStyle w:val="Compact"/>
        <w:numPr>
          <w:ilvl w:val="0"/>
          <w:numId w:val="1031"/>
        </w:numPr>
      </w:pPr>
      <w:r>
        <w:t xml:space="preserve">Process telemetry arriving (Investigate → Processes)</w:t>
      </w:r>
    </w:p>
    <w:p>
      <w:pPr>
        <w:pStyle w:val="Compact"/>
        <w:numPr>
          <w:ilvl w:val="0"/>
          <w:numId w:val="1032"/>
        </w:numPr>
      </w:pPr>
      <w:r>
        <w:t xml:space="preserve">Time deltas across hosts &lt;1 s (NTP-derived), verified in flow timestamps</w:t>
      </w:r>
    </w:p>
    <w:p>
      <w:r>
        <w:pict>
          <v:rect style="width:0;height:1.5pt" o:hralign="center" o:hrstd="t" o:hr="t"/>
        </w:pict>
      </w:r>
    </w:p>
    <w:bookmarkEnd w:id="27"/>
    <w:bookmarkEnd w:id="28"/>
    <w:bookmarkStart w:id="32" w:name="Xac0e807177ff31e2f8511e8f1322ddc82cd90d2"/>
    <w:p>
      <w:pPr>
        <w:pStyle w:val="Heading2"/>
      </w:pPr>
      <w:r>
        <w:t xml:space="preserve">4. Phase 2 — Scope Architecture for Essential Functions (Days 6–12)</w:t>
      </w:r>
    </w:p>
    <w:p>
      <w:pPr>
        <w:pStyle w:val="FirstParagraph"/>
      </w:pPr>
      <w:r>
        <w:t xml:space="preserve">CAF's "essential function" concept maps directly to CSW's</w:t>
      </w:r>
      <w:r>
        <w:t xml:space="preserve"> </w:t>
      </w:r>
      <w:r>
        <w:rPr>
          <w:b/>
          <w:bCs/>
        </w:rPr>
        <w:t xml:space="preserve">scope</w:t>
      </w:r>
      <w:r>
        <w:t xml:space="preserve"> </w:t>
      </w:r>
      <w:r>
        <w:t xml:space="preserve">hierarchy.</w:t>
      </w:r>
    </w:p>
    <w:bookmarkStart w:id="29" w:name="X1693e8ed8d7ba28276ba2fd8028526127c9c2fd"/>
    <w:p>
      <w:pPr>
        <w:pStyle w:val="Heading3"/>
      </w:pPr>
      <w:r>
        <w:t xml:space="preserve">4.1 Suggested scope architecture</w:t>
      </w:r>
    </w:p>
    <w:p>
      <w:pPr>
        <w:pStyle w:val="SourceCode"/>
      </w:pPr>
      <w:r>
        <w:rPr>
          <w:rStyle w:val="VerbatimChar"/>
        </w:rPr>
        <w:t xml:space="preserve">Root</w:t>
      </w:r>
      <w:r>
        <w:br/>
      </w:r>
      <w:r>
        <w:rPr>
          <w:rStyle w:val="VerbatimChar"/>
        </w:rPr>
        <w:t xml:space="preserve">├── EssentialFn-&lt;Name-1&gt;              # e.g. "Grid-Control", "Water-Treatment-Site-A"</w:t>
      </w:r>
      <w:r>
        <w:br/>
      </w:r>
      <w:r>
        <w:rPr>
          <w:rStyle w:val="VerbatimChar"/>
        </w:rPr>
        <w:t xml:space="preserve">│   ├── OT-Support-Tier               # historians, EWS, jump hosts</w:t>
      </w:r>
      <w:r>
        <w:br/>
      </w:r>
      <w:r>
        <w:rPr>
          <w:rStyle w:val="VerbatimChar"/>
        </w:rPr>
        <w:t xml:space="preserve">│   ├── IT-OT-DMZ                     # brokers, proxies, DMZ workloads</w:t>
      </w:r>
      <w:r>
        <w:br/>
      </w:r>
      <w:r>
        <w:rPr>
          <w:rStyle w:val="VerbatimChar"/>
        </w:rPr>
        <w:t xml:space="preserve">│   └── EssFn-Cloud-Tier              # SaaS / IaaS backing services</w:t>
      </w:r>
      <w:r>
        <w:br/>
      </w:r>
      <w:r>
        <w:rPr>
          <w:rStyle w:val="VerbatimChar"/>
        </w:rPr>
        <w:t xml:space="preserve">├── EssentialFn-&lt;Name-2&gt;</w:t>
      </w:r>
      <w:r>
        <w:br/>
      </w:r>
      <w:r>
        <w:rPr>
          <w:rStyle w:val="VerbatimChar"/>
        </w:rPr>
        <w:t xml:space="preserve">│   └── ...</w:t>
      </w:r>
      <w:r>
        <w:br/>
      </w:r>
      <w:r>
        <w:rPr>
          <w:rStyle w:val="VerbatimChar"/>
        </w:rPr>
        <w:t xml:space="preserve">├── Shared-Services                   # identity, PKI, DNS, patch, monitoring</w:t>
      </w:r>
      <w:r>
        <w:br/>
      </w:r>
      <w:r>
        <w:rPr>
          <w:rStyle w:val="VerbatimChar"/>
        </w:rPr>
        <w:t xml:space="preserve">└── Corporate-IT                      # everything else (default-least-privilege into essential fns)</w:t>
      </w:r>
    </w:p>
    <w:bookmarkEnd w:id="29"/>
    <w:bookmarkStart w:id="30" w:name="X7993ff0f68ebef8f3b4e37b2c4db152c7fe96a7"/>
    <w:p>
      <w:pPr>
        <w:pStyle w:val="Heading3"/>
      </w:pPr>
      <w:r>
        <w:t xml:space="preserve">4.2 Label strategy</w:t>
      </w:r>
    </w:p>
    <w:p>
      <w:pPr>
        <w:pStyle w:val="FirstParagraph"/>
      </w:pPr>
      <w:r>
        <w:t xml:space="preserve">Apply consistent labels — they drive scope membership, policy authorship, and evidence export: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Label</w:t>
            </w:r>
          </w:p>
        </w:tc>
        <w:tc>
          <w:tcPr/>
          <w:p>
            <w:pPr>
              <w:pStyle w:val="Compact"/>
            </w:pPr>
            <w:r>
              <w:t xml:space="preserve">Values</w:t>
            </w:r>
          </w:p>
        </w:tc>
        <w:tc>
          <w:tcPr/>
          <w:p>
            <w:pPr>
              <w:pStyle w:val="Compact"/>
            </w:pPr>
            <w:r>
              <w:t xml:space="preserve">Used for</w:t>
            </w:r>
          </w:p>
        </w:tc>
      </w:tr>
      <w:tr>
        <w:tc>
          <w:tcPr/>
          <w:p>
            <w:pPr>
              <w:pStyle w:val="Compact"/>
            </w:pPr>
            <w:r>
              <w:rPr>
                <w:rStyle w:val="VerbatimChar"/>
              </w:rPr>
              <w:t xml:space="preserve">caf:essential_function</w:t>
            </w:r>
          </w:p>
        </w:tc>
        <w:tc>
          <w:tcPr/>
          <w:p>
            <w:pPr>
              <w:pStyle w:val="Compact"/>
            </w:pPr>
            <w:r>
              <w:rPr>
                <w:rStyle w:val="VerbatimChar"/>
              </w:rPr>
              <w:t xml:space="preserve">&lt;Name&gt;</w:t>
            </w:r>
            <w:r>
              <w:t xml:space="preserve"> </w:t>
            </w:r>
            <w:r>
              <w:t xml:space="preserve">per NCSC definition</w:t>
            </w:r>
          </w:p>
        </w:tc>
        <w:tc>
          <w:tcPr/>
          <w:p>
            <w:pPr>
              <w:pStyle w:val="Compact"/>
            </w:pPr>
            <w:r>
              <w:t xml:space="preserve">Scope binding; per-function evidence packs</w:t>
            </w:r>
          </w:p>
        </w:tc>
      </w:tr>
      <w:tr>
        <w:tc>
          <w:tcPr/>
          <w:p>
            <w:pPr>
              <w:pStyle w:val="Compact"/>
            </w:pPr>
            <w:r>
              <w:rPr>
                <w:rStyle w:val="VerbatimChar"/>
              </w:rPr>
              <w:t xml:space="preserve">caf:objective</w:t>
            </w:r>
          </w:p>
        </w:tc>
        <w:tc>
          <w:tcPr/>
          <w:p>
            <w:pPr>
              <w:pStyle w:val="Compact"/>
            </w:pPr>
            <w:r>
              <w:rPr>
                <w:rStyle w:val="VerbatimChar"/>
              </w:rPr>
              <w:t xml:space="preserve">A</w:t>
            </w:r>
            <w:r>
              <w:t xml:space="preserve">,</w:t>
            </w:r>
            <w:r>
              <w:t xml:space="preserve"> </w:t>
            </w:r>
            <w:r>
              <w:rPr>
                <w:rStyle w:val="VerbatimChar"/>
              </w:rPr>
              <w:t xml:space="preserve">B</w:t>
            </w:r>
            <w:r>
              <w:t xml:space="preserve">,</w:t>
            </w:r>
            <w:r>
              <w:t xml:space="preserve"> </w:t>
            </w:r>
            <w:r>
              <w:rPr>
                <w:rStyle w:val="VerbatimChar"/>
              </w:rPr>
              <w:t xml:space="preserve">C</w:t>
            </w:r>
            <w:r>
              <w:t xml:space="preserve">,</w:t>
            </w:r>
            <w:r>
              <w:t xml:space="preserve"> </w:t>
            </w:r>
            <w:r>
              <w:rPr>
                <w:rStyle w:val="VerbatimChar"/>
              </w:rPr>
              <w:t xml:space="preserve">D</w:t>
            </w:r>
            <w:r>
              <w:t xml:space="preserve">,</w:t>
            </w:r>
            <w:r>
              <w:t xml:space="preserve"> </w:t>
            </w:r>
            <w:r>
              <w:rPr>
                <w:rStyle w:val="VerbatimChar"/>
              </w:rPr>
              <w:t xml:space="preserve">Shared</w:t>
            </w:r>
          </w:p>
        </w:tc>
        <w:tc>
          <w:tcPr/>
          <w:p>
            <w:pPr>
              <w:pStyle w:val="Compact"/>
            </w:pPr>
            <w:r>
              <w:t xml:space="preserve">Reports grouped by CAF objective</w:t>
            </w:r>
          </w:p>
        </w:tc>
      </w:tr>
      <w:tr>
        <w:tc>
          <w:tcPr/>
          <w:p>
            <w:pPr>
              <w:pStyle w:val="Compact"/>
            </w:pPr>
            <w:r>
              <w:rPr>
                <w:rStyle w:val="VerbatimChar"/>
              </w:rPr>
              <w:t xml:space="preserve">caf:tier</w:t>
            </w:r>
          </w:p>
        </w:tc>
        <w:tc>
          <w:tcPr/>
          <w:p>
            <w:pPr>
              <w:pStyle w:val="Compact"/>
            </w:pPr>
            <w:r>
              <w:rPr>
                <w:rStyle w:val="VerbatimChar"/>
              </w:rPr>
              <w:t xml:space="preserve">OT-Support</w:t>
            </w:r>
            <w:r>
              <w:t xml:space="preserve">,</w:t>
            </w:r>
            <w:r>
              <w:t xml:space="preserve"> </w:t>
            </w:r>
            <w:r>
              <w:rPr>
                <w:rStyle w:val="VerbatimChar"/>
              </w:rPr>
              <w:t xml:space="preserve">IT-OT-DMZ</w:t>
            </w:r>
            <w:r>
              <w:t xml:space="preserve">,</w:t>
            </w:r>
            <w:r>
              <w:t xml:space="preserve"> </w:t>
            </w:r>
            <w:r>
              <w:rPr>
                <w:rStyle w:val="VerbatimChar"/>
              </w:rPr>
              <w:t xml:space="preserve">Cloud</w:t>
            </w:r>
            <w:r>
              <w:t xml:space="preserve">,</w:t>
            </w:r>
            <w:r>
              <w:t xml:space="preserve"> </w:t>
            </w:r>
            <w:r>
              <w:rPr>
                <w:rStyle w:val="VerbatimChar"/>
              </w:rPr>
              <w:t xml:space="preserve">Shared-Service</w:t>
            </w:r>
            <w:r>
              <w:t xml:space="preserve">,</w:t>
            </w:r>
            <w:r>
              <w:t xml:space="preserve"> </w:t>
            </w:r>
            <w:r>
              <w:rPr>
                <w:rStyle w:val="VerbatimChar"/>
              </w:rPr>
              <w:t xml:space="preserve">Corporate</w:t>
            </w:r>
          </w:p>
        </w:tc>
        <w:tc>
          <w:tcPr/>
          <w:p>
            <w:pPr>
              <w:pStyle w:val="Compact"/>
            </w:pPr>
            <w:r>
              <w:t xml:space="preserve">Tier-specific policy</w:t>
            </w:r>
          </w:p>
        </w:tc>
      </w:tr>
      <w:tr>
        <w:tc>
          <w:tcPr/>
          <w:p>
            <w:pPr>
              <w:pStyle w:val="Compact"/>
            </w:pPr>
            <w:r>
              <w:rPr>
                <w:rStyle w:val="VerbatimChar"/>
              </w:rPr>
              <w:t xml:space="preserve">env</w:t>
            </w:r>
          </w:p>
        </w:tc>
        <w:tc>
          <w:tcPr/>
          <w:p>
            <w:pPr>
              <w:pStyle w:val="Compact"/>
            </w:pPr>
            <w:r>
              <w:rPr>
                <w:rStyle w:val="VerbatimChar"/>
              </w:rPr>
              <w:t xml:space="preserve">prod</w:t>
            </w:r>
            <w:r>
              <w:t xml:space="preserve">,</w:t>
            </w:r>
            <w:r>
              <w:t xml:space="preserve"> </w:t>
            </w:r>
            <w:r>
              <w:rPr>
                <w:rStyle w:val="VerbatimChar"/>
              </w:rPr>
              <w:t xml:space="preserve">preprod</w:t>
            </w:r>
            <w:r>
              <w:t xml:space="preserve">,</w:t>
            </w:r>
            <w:r>
              <w:t xml:space="preserve"> </w:t>
            </w:r>
            <w:r>
              <w:rPr>
                <w:rStyle w:val="VerbatimChar"/>
              </w:rPr>
              <w:t xml:space="preserve">dev</w:t>
            </w:r>
          </w:p>
        </w:tc>
        <w:tc>
          <w:tcPr/>
          <w:p>
            <w:pPr>
              <w:pStyle w:val="Compact"/>
            </w:pPr>
            <w:r>
              <w:t xml:space="preserve">Environmental separation</w:t>
            </w:r>
          </w:p>
        </w:tc>
      </w:tr>
      <w:tr>
        <w:tc>
          <w:tcPr/>
          <w:p>
            <w:pPr>
              <w:pStyle w:val="Compact"/>
            </w:pPr>
            <w:r>
              <w:rPr>
                <w:rStyle w:val="VerbatimChar"/>
              </w:rPr>
              <w:t xml:space="preserve">data</w:t>
            </w:r>
          </w:p>
        </w:tc>
        <w:tc>
          <w:tcPr/>
          <w:p>
            <w:pPr>
              <w:pStyle w:val="Compact"/>
            </w:pPr>
            <w:r>
              <w:rPr>
                <w:rStyle w:val="VerbatimChar"/>
              </w:rPr>
              <w:t xml:space="preserve">official</w:t>
            </w:r>
            <w:r>
              <w:t xml:space="preserve">,</w:t>
            </w:r>
            <w:r>
              <w:t xml:space="preserve"> </w:t>
            </w:r>
            <w:r>
              <w:rPr>
                <w:rStyle w:val="VerbatimChar"/>
              </w:rPr>
              <w:t xml:space="preserve">official-sensitive</w:t>
            </w:r>
            <w:r>
              <w:t xml:space="preserve">,</w:t>
            </w:r>
            <w:r>
              <w:t xml:space="preserve"> </w:t>
            </w:r>
            <w:r>
              <w:rPr>
                <w:rStyle w:val="VerbatimChar"/>
              </w:rPr>
              <w:t xml:space="preserve">secret</w:t>
            </w:r>
            <w:r>
              <w:t xml:space="preserve"> </w:t>
            </w:r>
            <w:r>
              <w:t xml:space="preserve">(per HMG classifications)</w:t>
            </w:r>
          </w:p>
        </w:tc>
        <w:tc>
          <w:tcPr/>
          <w:p>
            <w:pPr>
              <w:pStyle w:val="Compact"/>
            </w:pPr>
            <w:r>
              <w:t xml:space="preserve">Government-context data labelling</w:t>
            </w:r>
          </w:p>
        </w:tc>
      </w:tr>
      <w:tr>
        <w:tc>
          <w:tcPr/>
          <w:p>
            <w:pPr>
              <w:pStyle w:val="Compact"/>
            </w:pPr>
            <w:r>
              <w:rPr>
                <w:rStyle w:val="VerbatimChar"/>
              </w:rPr>
              <w:t xml:space="preserve">owner</w:t>
            </w:r>
          </w:p>
        </w:tc>
        <w:tc>
          <w:tcPr/>
          <w:p>
            <w:pPr>
              <w:pStyle w:val="Compact"/>
            </w:pPr>
            <w:r>
              <w:t xml:space="preserve">Essential-function owner e-mail / team</w:t>
            </w:r>
          </w:p>
        </w:tc>
        <w:tc>
          <w:tcPr/>
          <w:p>
            <w:pPr>
              <w:pStyle w:val="Compact"/>
            </w:pPr>
            <w:r>
              <w:t xml:space="preserve">Evidence-pack routing</w:t>
            </w:r>
          </w:p>
        </w:tc>
      </w:tr>
    </w:tbl>
    <w:bookmarkEnd w:id="30"/>
    <w:bookmarkStart w:id="31" w:name="X59a0490dfa9c66a06e67bfeeb98bacc9f8f35b4"/>
    <w:p>
      <w:pPr>
        <w:pStyle w:val="Heading3"/>
      </w:pPr>
      <w:r>
        <w:t xml:space="preserve">4.3 Discovery filters for essential-function candidates</w:t>
      </w:r>
    </w:p>
    <w:p>
      <w:pPr>
        <w:pStyle w:val="FirstParagraph"/>
      </w:pPr>
      <w:r>
        <w:t xml:space="preserve">Use CSW's search / annotation import to pull candidates from your CMDB:</w:t>
      </w:r>
    </w:p>
    <w:p>
      <w:pPr>
        <w:pStyle w:val="Compact"/>
        <w:numPr>
          <w:ilvl w:val="0"/>
          <w:numId w:val="1033"/>
        </w:numPr>
      </w:pPr>
      <w:r>
        <w:t xml:space="preserve">Workloads tagged with essential-function name in ServiceNow / equivalent</w:t>
      </w:r>
    </w:p>
    <w:p>
      <w:pPr>
        <w:pStyle w:val="Compact"/>
        <w:numPr>
          <w:ilvl w:val="0"/>
          <w:numId w:val="1033"/>
        </w:numPr>
      </w:pPr>
      <w:r>
        <w:t xml:space="preserve">Workloads with observed flow to your OT DMZ subnet range</w:t>
      </w:r>
    </w:p>
    <w:p>
      <w:pPr>
        <w:pStyle w:val="Compact"/>
        <w:numPr>
          <w:ilvl w:val="0"/>
          <w:numId w:val="1033"/>
        </w:numPr>
      </w:pPr>
      <w:r>
        <w:t xml:space="preserve">Workloads hosting historian / SCADA-broker / OPC / Modbus-related services (process names, listening ports)</w:t>
      </w:r>
    </w:p>
    <w:p>
      <w:pPr>
        <w:pStyle w:val="Compact"/>
        <w:numPr>
          <w:ilvl w:val="0"/>
          <w:numId w:val="1033"/>
        </w:numPr>
      </w:pPr>
      <w:r>
        <w:t xml:space="preserve">Cloud workloads with security-group / NSG rules referencing your OT / operational subnets</w:t>
      </w:r>
    </w:p>
    <w:p>
      <w:r>
        <w:pict>
          <v:rect style="width:0;height:1.5pt" o:hralign="center" o:hrstd="t" o:hr="t"/>
        </w:pict>
      </w:r>
    </w:p>
    <w:bookmarkEnd w:id="31"/>
    <w:bookmarkEnd w:id="32"/>
    <w:bookmarkStart w:id="36" w:name="X29c1d19347295d61c51b82722600292541dab05"/>
    <w:p>
      <w:pPr>
        <w:pStyle w:val="Heading2"/>
      </w:pPr>
      <w:r>
        <w:t xml:space="preserve">5. Phase 3 — Application Dependency Mapping &amp; Baseline (Days 13–28)</w:t>
      </w:r>
    </w:p>
    <w:bookmarkStart w:id="33" w:name="X1b8b580a689cdf9876fcc0f5d2e37e5fc739e96"/>
    <w:p>
      <w:pPr>
        <w:pStyle w:val="Heading3"/>
      </w:pPr>
      <w:r>
        <w:t xml:space="preserve">5.1 ADM workspace</w:t>
      </w:r>
    </w:p>
    <w:p>
      <w:pPr>
        <w:pStyle w:val="Compact"/>
        <w:numPr>
          <w:ilvl w:val="0"/>
          <w:numId w:val="1034"/>
        </w:numPr>
      </w:pPr>
      <w:r>
        <w:t xml:space="preserve">Enable ADM per essential-function scope</w:t>
      </w:r>
    </w:p>
    <w:p>
      <w:pPr>
        <w:pStyle w:val="Compact"/>
        <w:numPr>
          <w:ilvl w:val="0"/>
          <w:numId w:val="1034"/>
        </w:numPr>
      </w:pPr>
      <w:r>
        <w:t xml:space="preserve">Run for ≥2 weeks covering full business/operational cycle (peak, off-peak, batch, backup)</w:t>
      </w:r>
    </w:p>
    <w:p>
      <w:pPr>
        <w:pStyle w:val="Compact"/>
        <w:numPr>
          <w:ilvl w:val="0"/>
          <w:numId w:val="1034"/>
        </w:numPr>
      </w:pPr>
      <w:r>
        <w:t xml:space="preserve">Export cluster-to-service mapping; walk through with the essential-function owner</w:t>
      </w:r>
    </w:p>
    <w:bookmarkEnd w:id="33"/>
    <w:bookmarkStart w:id="34" w:name="X06ebf1d5cecc11b8df4022c49e3cfd46ed03fb2"/>
    <w:p>
      <w:pPr>
        <w:pStyle w:val="Heading3"/>
      </w:pPr>
      <w:r>
        <w:t xml:space="preserve">5.2 ADM review checklist (CAF-oriented)</w:t>
      </w:r>
    </w:p>
    <w:p>
      <w:pPr>
        <w:pStyle w:val="Compact"/>
        <w:numPr>
          <w:ilvl w:val="0"/>
          <w:numId w:val="1035"/>
        </w:numPr>
      </w:pPr>
      <w:r>
        <w:t xml:space="preserve">Every observed inbound / outbound flow classified:</w:t>
      </w:r>
      <w:r>
        <w:t xml:space="preserve"> </w:t>
      </w:r>
      <w:r>
        <w:rPr>
          <w:b/>
          <w:bCs/>
        </w:rPr>
        <w:t xml:space="preserve">expected</w:t>
      </w:r>
      <w:r>
        <w:t xml:space="preserve">,</w:t>
      </w:r>
      <w:r>
        <w:t xml:space="preserve"> </w:t>
      </w:r>
      <w:r>
        <w:rPr>
          <w:b/>
          <w:bCs/>
        </w:rPr>
        <w:t xml:space="preserve">unexpected but justified</w:t>
      </w:r>
      <w:r>
        <w:t xml:space="preserve">,</w:t>
      </w:r>
      <w:r>
        <w:t xml:space="preserve"> </w:t>
      </w:r>
      <w:r>
        <w:rPr>
          <w:b/>
          <w:bCs/>
        </w:rPr>
        <w:t xml:space="preserve">unexpected — remediate</w:t>
      </w:r>
    </w:p>
    <w:p>
      <w:pPr>
        <w:pStyle w:val="Compact"/>
        <w:numPr>
          <w:ilvl w:val="0"/>
          <w:numId w:val="1036"/>
        </w:numPr>
      </w:pPr>
      <w:r>
        <w:t xml:space="preserve">Cross-essential-function flows explicitly documented (many CAF findings arise from unintended cross-function reach)</w:t>
      </w:r>
    </w:p>
    <w:p>
      <w:pPr>
        <w:pStyle w:val="Compact"/>
        <w:numPr>
          <w:ilvl w:val="0"/>
          <w:numId w:val="1037"/>
        </w:numPr>
      </w:pPr>
      <w:r>
        <w:t xml:space="preserve">Vendor / third-party egress paths tagged for A4 (supply chain) reconciliation</w:t>
      </w:r>
    </w:p>
    <w:p>
      <w:pPr>
        <w:pStyle w:val="Compact"/>
        <w:numPr>
          <w:ilvl w:val="0"/>
          <w:numId w:val="1038"/>
        </w:numPr>
      </w:pPr>
      <w:r>
        <w:t xml:space="preserve">Shadow IT paths surfaced for A3 completeness</w:t>
      </w:r>
    </w:p>
    <w:bookmarkEnd w:id="34"/>
    <w:bookmarkStart w:id="35" w:name="Xa1ad77e4c14cd1e520d61ba78471ba8ee65031e"/>
    <w:p>
      <w:pPr>
        <w:pStyle w:val="Heading3"/>
      </w:pPr>
      <w:r>
        <w:t xml:space="preserve">5.3 Baselining for integrity (B4 evidence)</w:t>
      </w:r>
    </w:p>
    <w:p>
      <w:pPr>
        <w:pStyle w:val="Compact"/>
        <w:numPr>
          <w:ilvl w:val="0"/>
          <w:numId w:val="1039"/>
        </w:numPr>
      </w:pPr>
      <w:r>
        <w:rPr>
          <w:b/>
          <w:bCs/>
        </w:rPr>
        <w:t xml:space="preserve">Process inventory</w:t>
      </w:r>
      <w:r>
        <w:t xml:space="preserve"> </w:t>
      </w:r>
      <w:r>
        <w:t xml:space="preserve">snapshot per host (name, path, hash where available, listening ports)</w:t>
      </w:r>
    </w:p>
    <w:p>
      <w:pPr>
        <w:pStyle w:val="Compact"/>
        <w:numPr>
          <w:ilvl w:val="0"/>
          <w:numId w:val="1039"/>
        </w:numPr>
      </w:pPr>
      <w:r>
        <w:rPr>
          <w:b/>
          <w:bCs/>
        </w:rPr>
        <w:t xml:space="preserve">Binary + package inventory</w:t>
      </w:r>
      <w:r>
        <w:t xml:space="preserve"> </w:t>
      </w:r>
      <w:r>
        <w:t xml:space="preserve">snapshot per host</w:t>
      </w:r>
    </w:p>
    <w:p>
      <w:pPr>
        <w:pStyle w:val="Compact"/>
        <w:numPr>
          <w:ilvl w:val="0"/>
          <w:numId w:val="1039"/>
        </w:numPr>
      </w:pPr>
      <w:r>
        <w:rPr>
          <w:b/>
          <w:bCs/>
        </w:rPr>
        <w:t xml:space="preserve">Listening service</w:t>
      </w:r>
      <w:r>
        <w:t xml:space="preserve"> </w:t>
      </w:r>
      <w:r>
        <w:t xml:space="preserve">inventory per host</w:t>
      </w:r>
    </w:p>
    <w:p>
      <w:pPr>
        <w:pStyle w:val="Compact"/>
        <w:numPr>
          <w:ilvl w:val="0"/>
          <w:numId w:val="1039"/>
        </w:numPr>
      </w:pPr>
      <w:r>
        <w:t xml:space="preserve">Store these as the reference baseline for future drift alerts</w:t>
      </w:r>
    </w:p>
    <w:p>
      <w:r>
        <w:pict>
          <v:rect style="width:0;height:1.5pt" o:hralign="center" o:hrstd="t" o:hr="t"/>
        </w:pict>
      </w:r>
    </w:p>
    <w:bookmarkEnd w:id="35"/>
    <w:bookmarkEnd w:id="36"/>
    <w:bookmarkStart w:id="40" w:name="X732bfa2f6c8145e40ce1774232acc1d8525fd6e"/>
    <w:p>
      <w:pPr>
        <w:pStyle w:val="Heading2"/>
      </w:pPr>
      <w:r>
        <w:t xml:space="preserve">6. Phase 4 — Policy Design &amp; Enforcement (Days 29–45)</w:t>
      </w:r>
    </w:p>
    <w:bookmarkStart w:id="37" w:name="X739d4bf3d44c2ba2ad09a247bca08159dd84ffe"/>
    <w:p>
      <w:pPr>
        <w:pStyle w:val="Heading3"/>
      </w:pPr>
      <w:r>
        <w:t xml:space="preserve">6.1 CAF-aligned policy framework</w:t>
      </w:r>
    </w:p>
    <w:p>
      <w:pPr>
        <w:pStyle w:val="FirstParagraph"/>
      </w:pPr>
      <w:r>
        <w:t xml:space="preserve">Design segmentation to satisfy B5 IGPs: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Policy tier</w:t>
            </w:r>
          </w:p>
        </w:tc>
        <w:tc>
          <w:tcPr/>
          <w:p>
            <w:pPr>
              <w:pStyle w:val="Compact"/>
            </w:pPr>
            <w:r>
              <w:t xml:space="preserve">Intent</w:t>
            </w:r>
          </w:p>
        </w:tc>
        <w:tc>
          <w:tcPr/>
          <w:p>
            <w:pPr>
              <w:pStyle w:val="Compact"/>
            </w:pPr>
            <w:r>
              <w:t xml:space="preserve">CAF principle</w:t>
            </w:r>
          </w:p>
        </w:tc>
      </w:tr>
      <w:tr>
        <w:tc>
          <w:tcPr/>
          <w:p>
            <w:pPr>
              <w:pStyle w:val="Compact"/>
            </w:pPr>
            <w:r>
              <w:rPr>
                <w:b/>
                <w:bCs/>
              </w:rPr>
              <w:t xml:space="preserve">Corporate IT → OT-Support</w:t>
            </w:r>
          </w:p>
        </w:tc>
        <w:tc>
          <w:tcPr/>
          <w:p>
            <w:pPr>
              <w:pStyle w:val="Compact"/>
            </w:pPr>
            <w:r>
              <w:t xml:space="preserve">Deny by default; allow only jump-host path</w:t>
            </w:r>
          </w:p>
        </w:tc>
        <w:tc>
          <w:tcPr/>
          <w:p>
            <w:pPr>
              <w:pStyle w:val="Compact"/>
            </w:pPr>
            <w:r>
              <w:t xml:space="preserve">B5 (segmentation), B2 (least priv)</w:t>
            </w:r>
          </w:p>
        </w:tc>
      </w:tr>
      <w:tr>
        <w:tc>
          <w:tcPr/>
          <w:p>
            <w:pPr>
              <w:pStyle w:val="Compact"/>
            </w:pPr>
            <w:r>
              <w:rPr>
                <w:b/>
                <w:bCs/>
              </w:rPr>
              <w:t xml:space="preserve">OT-Support → IT/OT DMZ</w:t>
            </w:r>
          </w:p>
        </w:tc>
        <w:tc>
          <w:tcPr/>
          <w:p>
            <w:pPr>
              <w:pStyle w:val="Compact"/>
            </w:pPr>
            <w:r>
              <w:t xml:space="preserve">Allow only documented conduits (historian pull, patch push)</w:t>
            </w:r>
          </w:p>
        </w:tc>
        <w:tc>
          <w:tcPr/>
          <w:p>
            <w:pPr>
              <w:pStyle w:val="Compact"/>
            </w:pPr>
            <w:r>
              <w:t xml:space="preserve">B5 (conduit control)</w:t>
            </w:r>
          </w:p>
        </w:tc>
      </w:tr>
      <w:tr>
        <w:tc>
          <w:tcPr/>
          <w:p>
            <w:pPr>
              <w:pStyle w:val="Compact"/>
            </w:pPr>
            <w:r>
              <w:rPr>
                <w:b/>
                <w:bCs/>
              </w:rPr>
              <w:t xml:space="preserve">IT/OT DMZ → OT devices</w:t>
            </w:r>
          </w:p>
        </w:tc>
        <w:tc>
          <w:tcPr/>
          <w:p>
            <w:pPr>
              <w:pStyle w:val="Compact"/>
            </w:pPr>
            <w:r>
              <w:t xml:space="preserve">Allow only defined protocol paths (Modbus, OPC UA, DNP3) — enforced at CSW's IT boundary and by OT-native tools deeper in</w:t>
            </w:r>
          </w:p>
        </w:tc>
        <w:tc>
          <w:tcPr/>
          <w:p>
            <w:pPr>
              <w:pStyle w:val="Compact"/>
            </w:pPr>
            <w:r>
              <w:t xml:space="preserve">B5 (structural segmentation)</w:t>
            </w:r>
          </w:p>
        </w:tc>
      </w:tr>
      <w:tr>
        <w:tc>
          <w:tcPr/>
          <w:p>
            <w:pPr>
              <w:pStyle w:val="Compact"/>
            </w:pPr>
            <w:r>
              <w:rPr>
                <w:b/>
                <w:bCs/>
              </w:rPr>
              <w:t xml:space="preserve">Shared Services → Any tier</w:t>
            </w:r>
          </w:p>
        </w:tc>
        <w:tc>
          <w:tcPr/>
          <w:p>
            <w:pPr>
              <w:pStyle w:val="Compact"/>
            </w:pPr>
            <w:r>
              <w:t xml:space="preserve">Allow only listed services (DNS, NTP, AD, patch, monitoring)</w:t>
            </w:r>
          </w:p>
        </w:tc>
        <w:tc>
          <w:tcPr/>
          <w:p>
            <w:pPr>
              <w:pStyle w:val="Compact"/>
            </w:pPr>
            <w:r>
              <w:t xml:space="preserve">B2, B4</w:t>
            </w:r>
          </w:p>
        </w:tc>
      </w:tr>
      <w:tr>
        <w:tc>
          <w:tcPr/>
          <w:p>
            <w:pPr>
              <w:pStyle w:val="Compact"/>
            </w:pPr>
            <w:r>
              <w:rPr>
                <w:b/>
                <w:bCs/>
              </w:rPr>
              <w:t xml:space="preserve">Any tier → Internet</w:t>
            </w:r>
          </w:p>
        </w:tc>
        <w:tc>
          <w:tcPr/>
          <w:p>
            <w:pPr>
              <w:pStyle w:val="Compact"/>
            </w:pPr>
            <w:r>
              <w:t xml:space="preserve">Deny by default; explicit allowlist for updates, threat feeds, licence servers</w:t>
            </w:r>
          </w:p>
        </w:tc>
        <w:tc>
          <w:tcPr/>
          <w:p>
            <w:pPr>
              <w:pStyle w:val="Compact"/>
            </w:pPr>
            <w:r>
              <w:t xml:space="preserve">B3 (exfil prevention), B5</w:t>
            </w:r>
          </w:p>
        </w:tc>
      </w:tr>
      <w:tr>
        <w:tc>
          <w:tcPr/>
          <w:p>
            <w:pPr>
              <w:pStyle w:val="Compact"/>
            </w:pPr>
            <w:r>
              <w:rPr>
                <w:b/>
                <w:bCs/>
              </w:rPr>
              <w:t xml:space="preserve">Vendor / remote-access → Any tier</w:t>
            </w:r>
          </w:p>
        </w:tc>
        <w:tc>
          <w:tcPr/>
          <w:p>
            <w:pPr>
              <w:pStyle w:val="Compact"/>
            </w:pPr>
            <w:r>
              <w:t xml:space="preserve">Only via broker + jump; log all sessions</w:t>
            </w:r>
          </w:p>
        </w:tc>
        <w:tc>
          <w:tcPr/>
          <w:p>
            <w:pPr>
              <w:pStyle w:val="Compact"/>
            </w:pPr>
            <w:r>
              <w:t xml:space="preserve">A4, B2, D1</w:t>
            </w:r>
          </w:p>
        </w:tc>
      </w:tr>
    </w:tbl>
    <w:bookmarkEnd w:id="37"/>
    <w:bookmarkStart w:id="38" w:name="Xf27d7a2f56963a431bd62f7d42b2f99dfc74bc3"/>
    <w:p>
      <w:pPr>
        <w:pStyle w:val="Heading3"/>
      </w:pPr>
      <w:r>
        <w:t xml:space="preserve">6.2 Policy workspace lifecycle</w:t>
      </w:r>
    </w:p>
    <w:p>
      <w:pPr>
        <w:pStyle w:val="Compact"/>
        <w:numPr>
          <w:ilvl w:val="0"/>
          <w:numId w:val="1040"/>
        </w:numPr>
      </w:pPr>
      <w:r>
        <w:t xml:space="preserve">Build workspace per essential function</w:t>
      </w:r>
    </w:p>
    <w:p>
      <w:pPr>
        <w:pStyle w:val="Compact"/>
        <w:numPr>
          <w:ilvl w:val="0"/>
          <w:numId w:val="1040"/>
        </w:numPr>
      </w:pPr>
      <w:r>
        <w:t xml:space="preserve">Import ADM cluster proposals as draft policy</w:t>
      </w:r>
    </w:p>
    <w:p>
      <w:pPr>
        <w:pStyle w:val="Compact"/>
        <w:numPr>
          <w:ilvl w:val="0"/>
          <w:numId w:val="1040"/>
        </w:numPr>
      </w:pPr>
      <w:r>
        <w:t xml:space="preserve">Run</w:t>
      </w:r>
      <w:r>
        <w:t xml:space="preserve"> </w:t>
      </w:r>
      <w:r>
        <w:rPr>
          <w:b/>
          <w:bCs/>
        </w:rPr>
        <w:t xml:space="preserve">Simulation</w:t>
      </w:r>
      <w:r>
        <w:t xml:space="preserve"> </w:t>
      </w:r>
      <w:r>
        <w:t xml:space="preserve">mode ≥1 week; review daily for false positives</w:t>
      </w:r>
    </w:p>
    <w:p>
      <w:pPr>
        <w:pStyle w:val="Compact"/>
        <w:numPr>
          <w:ilvl w:val="0"/>
          <w:numId w:val="1040"/>
        </w:numPr>
      </w:pPr>
      <w:r>
        <w:t xml:space="preserve">Move to</w:t>
      </w:r>
      <w:r>
        <w:t xml:space="preserve"> </w:t>
      </w:r>
      <w:r>
        <w:rPr>
          <w:b/>
          <w:bCs/>
        </w:rPr>
        <w:t xml:space="preserve">Enforce</w:t>
      </w:r>
      <w:r>
        <w:t xml:space="preserve"> </w:t>
      </w:r>
      <w:r>
        <w:t xml:space="preserve">after change-board sign-off; record a</w:t>
      </w:r>
      <w:r>
        <w:t xml:space="preserve"> </w:t>
      </w:r>
      <w:r>
        <w:rPr>
          <w:b/>
          <w:bCs/>
        </w:rPr>
        <w:t xml:space="preserve">negative test</w:t>
      </w:r>
      <w:r>
        <w:t xml:space="preserve"> </w:t>
      </w:r>
      <w:r>
        <w:t xml:space="preserve">(deliberately denied flow) as evidence enforcement operates</w:t>
      </w:r>
    </w:p>
    <w:bookmarkEnd w:id="38"/>
    <w:bookmarkStart w:id="39" w:name="X295c622ec54df533762c63c905a253a05c46b5b"/>
    <w:p>
      <w:pPr>
        <w:pStyle w:val="Heading3"/>
      </w:pPr>
      <w:r>
        <w:t xml:space="preserve">6.3 Enforcement progression</w:t>
      </w:r>
    </w:p>
    <w:p>
      <w:pPr>
        <w:pStyle w:val="Compact"/>
        <w:numPr>
          <w:ilvl w:val="0"/>
          <w:numId w:val="1041"/>
        </w:numPr>
      </w:pPr>
      <w:r>
        <w:t xml:space="preserve">Simulation on essential-function scope</w:t>
      </w:r>
    </w:p>
    <w:p>
      <w:pPr>
        <w:pStyle w:val="Compact"/>
        <w:numPr>
          <w:ilvl w:val="0"/>
          <w:numId w:val="1041"/>
        </w:numPr>
      </w:pPr>
      <w:r>
        <w:t xml:space="preserve">Enforce on lowest-risk tier (e.g. monitoring readers)</w:t>
      </w:r>
    </w:p>
    <w:p>
      <w:pPr>
        <w:pStyle w:val="Compact"/>
        <w:numPr>
          <w:ilvl w:val="0"/>
          <w:numId w:val="1041"/>
        </w:numPr>
      </w:pPr>
      <w:r>
        <w:t xml:space="preserve">Enforce on OT-Support tier during agreed change window</w:t>
      </w:r>
    </w:p>
    <w:p>
      <w:pPr>
        <w:pStyle w:val="Compact"/>
        <w:numPr>
          <w:ilvl w:val="0"/>
          <w:numId w:val="1041"/>
        </w:numPr>
      </w:pPr>
      <w:r>
        <w:t xml:space="preserve">Enforce on IT/OT DMZ after ≥30 days of Simulation with zero unexpected denies</w:t>
      </w:r>
    </w:p>
    <w:p>
      <w:pPr>
        <w:pStyle w:val="Compact"/>
        <w:numPr>
          <w:ilvl w:val="0"/>
          <w:numId w:val="1041"/>
        </w:numPr>
      </w:pPr>
      <w:r>
        <w:t xml:space="preserve">Retain historical policy versions — they are the "policy diff" evidence for D1 and D2</w:t>
      </w:r>
    </w:p>
    <w:p>
      <w:r>
        <w:pict>
          <v:rect style="width:0;height:1.5pt" o:hralign="center" o:hrstd="t" o:hr="t"/>
        </w:pict>
      </w:r>
    </w:p>
    <w:bookmarkEnd w:id="39"/>
    <w:bookmarkEnd w:id="40"/>
    <w:bookmarkStart w:id="45" w:name="Xa0e6419b2ce105511403ac55384931597f45236"/>
    <w:p>
      <w:pPr>
        <w:pStyle w:val="Heading2"/>
      </w:pPr>
      <w:r>
        <w:t xml:space="preserve">7. Phase 5 — Principle-by-Principle IGP Mapping</w:t>
      </w:r>
    </w:p>
    <w:p>
      <w:pPr>
        <w:pStyle w:val="FirstParagraph"/>
      </w:pPr>
      <w:r>
        <w:t xml:space="preserve">Bring this section to the Competent Authority walk-through. Each row identifies the CAF principle, the IGP theme CSW addresses, the CSW capability that produces the evidence, and the exact artefact you can export.</w:t>
      </w:r>
    </w:p>
    <w:bookmarkStart w:id="41" w:name="Xac1aae9c92419a5c5d6c44231f9582d237d1056"/>
    <w:p>
      <w:pPr>
        <w:pStyle w:val="Heading3"/>
      </w:pPr>
      <w:r>
        <w:t xml:space="preserve">7.1 Objective A — Managing Security Risk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CAF principle</w:t>
            </w:r>
          </w:p>
        </w:tc>
        <w:tc>
          <w:tcPr/>
          <w:p>
            <w:pPr>
              <w:pStyle w:val="Compact"/>
            </w:pPr>
            <w:r>
              <w:t xml:space="preserve">IGP theme (CSW-addressable)</w:t>
            </w:r>
          </w:p>
        </w:tc>
        <w:tc>
          <w:tcPr/>
          <w:p>
            <w:pPr>
              <w:pStyle w:val="Compact"/>
            </w:pPr>
            <w:r>
              <w:t xml:space="preserve">CSW capability</w:t>
            </w:r>
          </w:p>
        </w:tc>
        <w:tc>
          <w:tcPr/>
          <w:p>
            <w:pPr>
              <w:pStyle w:val="Compact"/>
            </w:pPr>
            <w:r>
              <w:t xml:space="preserve">Evidence artefact</w:t>
            </w:r>
          </w:p>
        </w:tc>
      </w:tr>
      <w:tr>
        <w:tc>
          <w:tcPr/>
          <w:p>
            <w:pPr>
              <w:pStyle w:val="Compact"/>
            </w:pPr>
            <w:r>
              <w:rPr>
                <w:b/>
                <w:bCs/>
              </w:rPr>
              <w:t xml:space="preserve">A1 Governance</w:t>
            </w:r>
          </w:p>
        </w:tc>
        <w:tc>
          <w:tcPr/>
          <w:p>
            <w:pPr>
              <w:pStyle w:val="Compact"/>
            </w:pPr>
            <w:r>
              <w:t xml:space="preserve">Board / SMT receives current cyber-risk information</w:t>
            </w:r>
          </w:p>
        </w:tc>
        <w:tc>
          <w:tcPr/>
          <w:p>
            <w:pPr>
              <w:pStyle w:val="Compact"/>
            </w:pPr>
            <w:r>
              <w:t xml:space="preserve">Coverage %, denies count, unresolved exceptions dashboard</w:t>
            </w:r>
          </w:p>
        </w:tc>
        <w:tc>
          <w:tcPr/>
          <w:p>
            <w:pPr>
              <w:pStyle w:val="Compact"/>
            </w:pPr>
            <w:r>
              <w:t xml:space="preserve">Quarterly board pack extract (PDF)</w:t>
            </w:r>
          </w:p>
        </w:tc>
      </w:tr>
      <w:tr>
        <w:tc>
          <w:tcPr/>
          <w:p>
            <w:pPr>
              <w:pStyle w:val="Compact"/>
            </w:pPr>
            <w:r>
              <w:rPr>
                <w:b/>
                <w:bCs/>
              </w:rPr>
              <w:t xml:space="preserve">A2 Risk management</w:t>
            </w:r>
          </w:p>
        </w:tc>
        <w:tc>
          <w:tcPr/>
          <w:p>
            <w:pPr>
              <w:pStyle w:val="Compact"/>
            </w:pPr>
            <w:r>
              <w:t xml:space="preserve">Threats to essential functions are dynamically identified</w:t>
            </w:r>
          </w:p>
        </w:tc>
        <w:tc>
          <w:tcPr/>
          <w:p>
            <w:pPr>
              <w:pStyle w:val="Compact"/>
            </w:pPr>
            <w:r>
              <w:t xml:space="preserve">Reachability + attack-surface snapshots per essential-function scope</w:t>
            </w:r>
          </w:p>
        </w:tc>
        <w:tc>
          <w:tcPr/>
          <w:p>
            <w:pPr>
              <w:pStyle w:val="Compact"/>
            </w:pPr>
            <w:r>
              <w:t xml:space="preserve">Reachability report + change delta between snapshots</w:t>
            </w:r>
          </w:p>
        </w:tc>
      </w:tr>
      <w:tr>
        <w:tc>
          <w:tcPr/>
          <w:p>
            <w:pPr>
              <w:pStyle w:val="Compact"/>
            </w:pPr>
            <w:r>
              <w:rPr>
                <w:b/>
                <w:bCs/>
              </w:rPr>
              <w:t xml:space="preserve">A3 Asset management</w:t>
            </w:r>
          </w:p>
        </w:tc>
        <w:tc>
          <w:tcPr/>
          <w:p>
            <w:pPr>
              <w:pStyle w:val="Compact"/>
            </w:pPr>
            <w:r>
              <w:t xml:space="preserve">Continuous, comprehensive inventory of assets supporting essential functions</w:t>
            </w:r>
          </w:p>
        </w:tc>
        <w:tc>
          <w:tcPr/>
          <w:p>
            <w:pPr>
              <w:pStyle w:val="Compact"/>
            </w:pPr>
            <w:r>
              <w:t xml:space="preserve">Workload / service inventory across on-prem + cloud; label discipline; CMDB reconciliation</w:t>
            </w:r>
          </w:p>
        </w:tc>
        <w:tc>
          <w:tcPr/>
          <w:p>
            <w:pPr>
              <w:pStyle w:val="Compact"/>
            </w:pPr>
            <w:r>
              <w:t xml:space="preserve">Inventory CSV + reconciliation report; agent-status report</w:t>
            </w:r>
          </w:p>
        </w:tc>
      </w:tr>
      <w:tr>
        <w:tc>
          <w:tcPr/>
          <w:p>
            <w:pPr>
              <w:pStyle w:val="Compact"/>
            </w:pPr>
            <w:r>
              <w:rPr>
                <w:b/>
                <w:bCs/>
              </w:rPr>
              <w:t xml:space="preserve">A4 Supply chain</w:t>
            </w:r>
          </w:p>
        </w:tc>
        <w:tc>
          <w:tcPr/>
          <w:p>
            <w:pPr>
              <w:pStyle w:val="Compact"/>
            </w:pPr>
            <w:r>
              <w:t xml:space="preserve">Third-party access to essential-function systems is inventoried and monitored</w:t>
            </w:r>
          </w:p>
        </w:tc>
        <w:tc>
          <w:tcPr/>
          <w:p>
            <w:pPr>
              <w:pStyle w:val="Compact"/>
            </w:pPr>
            <w:r>
              <w:t xml:space="preserve">Vendor-egress observations vs. supplier register; jump-host session evidence</w:t>
            </w:r>
          </w:p>
        </w:tc>
        <w:tc>
          <w:tcPr/>
          <w:p>
            <w:pPr>
              <w:pStyle w:val="Compact"/>
            </w:pPr>
            <w:r>
              <w:t xml:space="preserve">Vendor-egress reconciliation report</w:t>
            </w:r>
          </w:p>
        </w:tc>
      </w:tr>
    </w:tbl>
    <w:bookmarkEnd w:id="41"/>
    <w:bookmarkStart w:id="42" w:name="Xf1d37330b851b3e9390077a2478a2bbad814516"/>
    <w:p>
      <w:pPr>
        <w:pStyle w:val="Heading3"/>
      </w:pPr>
      <w:r>
        <w:t xml:space="preserve">7.2 Objective B — Protecting Against Cyber Attack</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CAF principle</w:t>
            </w:r>
          </w:p>
        </w:tc>
        <w:tc>
          <w:tcPr/>
          <w:p>
            <w:pPr>
              <w:pStyle w:val="Compact"/>
            </w:pPr>
            <w:r>
              <w:t xml:space="preserve">IGP theme (CSW-addressable)</w:t>
            </w:r>
          </w:p>
        </w:tc>
        <w:tc>
          <w:tcPr/>
          <w:p>
            <w:pPr>
              <w:pStyle w:val="Compact"/>
            </w:pPr>
            <w:r>
              <w:t xml:space="preserve">CSW capability</w:t>
            </w:r>
          </w:p>
        </w:tc>
        <w:tc>
          <w:tcPr/>
          <w:p>
            <w:pPr>
              <w:pStyle w:val="Compact"/>
            </w:pPr>
            <w:r>
              <w:t xml:space="preserve">Evidence artefact</w:t>
            </w:r>
          </w:p>
        </w:tc>
      </w:tr>
      <w:tr>
        <w:tc>
          <w:tcPr/>
          <w:p>
            <w:pPr>
              <w:pStyle w:val="Compact"/>
            </w:pPr>
            <w:r>
              <w:rPr>
                <w:b/>
                <w:bCs/>
              </w:rPr>
              <w:t xml:space="preserve">B1 Service protection policies &amp; processes</w:t>
            </w:r>
          </w:p>
        </w:tc>
        <w:tc>
          <w:tcPr/>
          <w:p>
            <w:pPr>
              <w:pStyle w:val="Compact"/>
            </w:pPr>
            <w:r>
              <w:t xml:space="preserve">Policies are enforced and their operation is tested</w:t>
            </w:r>
          </w:p>
        </w:tc>
        <w:tc>
          <w:tcPr/>
          <w:p>
            <w:pPr>
              <w:pStyle w:val="Compact"/>
            </w:pPr>
            <w:r>
              <w:t xml:space="preserve">Policy enforcement + Denied-Connections telemetry proves policy is not aspirational</w:t>
            </w:r>
          </w:p>
        </w:tc>
        <w:tc>
          <w:tcPr/>
          <w:p>
            <w:pPr>
              <w:pStyle w:val="Compact"/>
            </w:pPr>
            <w:r>
              <w:t xml:space="preserve">Policy JSON export + denies report per essential function</w:t>
            </w:r>
          </w:p>
        </w:tc>
      </w:tr>
      <w:tr>
        <w:tc>
          <w:tcPr/>
          <w:p>
            <w:pPr>
              <w:pStyle w:val="Compact"/>
            </w:pPr>
            <w:r>
              <w:rPr>
                <w:b/>
                <w:bCs/>
              </w:rPr>
              <w:t xml:space="preserve">B2 Identity &amp; access control</w:t>
            </w:r>
          </w:p>
        </w:tc>
        <w:tc>
          <w:tcPr/>
          <w:p>
            <w:pPr>
              <w:pStyle w:val="Compact"/>
            </w:pPr>
            <w:r>
              <w:t xml:space="preserve">Least-privilege access to systems supporting essential functions</w:t>
            </w:r>
          </w:p>
        </w:tc>
        <w:tc>
          <w:tcPr/>
          <w:p>
            <w:pPr>
              <w:pStyle w:val="Compact"/>
            </w:pPr>
            <w:r>
              <w:t xml:space="preserve">Workload-to-workload allowlist; deny lateral reach; identity-labelled flows when integrated with IAM</w:t>
            </w:r>
          </w:p>
        </w:tc>
        <w:tc>
          <w:tcPr/>
          <w:p>
            <w:pPr>
              <w:pStyle w:val="Compact"/>
            </w:pPr>
            <w:r>
              <w:t xml:space="preserve">Allowlist policy + flow log with user/process context</w:t>
            </w:r>
          </w:p>
        </w:tc>
      </w:tr>
      <w:tr>
        <w:tc>
          <w:tcPr/>
          <w:p>
            <w:pPr>
              <w:pStyle w:val="Compact"/>
            </w:pPr>
            <w:r>
              <w:rPr>
                <w:b/>
                <w:bCs/>
              </w:rPr>
              <w:t xml:space="preserve">B3 Data security</w:t>
            </w:r>
          </w:p>
        </w:tc>
        <w:tc>
          <w:tcPr/>
          <w:p>
            <w:pPr>
              <w:pStyle w:val="Compact"/>
            </w:pPr>
            <w:r>
              <w:t xml:space="preserve">Data-in-transit protection &amp; prevention of unauthorised exfiltration</w:t>
            </w:r>
          </w:p>
        </w:tc>
        <w:tc>
          <w:tcPr/>
          <w:p>
            <w:pPr>
              <w:pStyle w:val="Compact"/>
            </w:pPr>
            <w:r>
              <w:t xml:space="preserve">Enforce plaintext-protocol deny; egress-to-Internet allowlist; anomaly on data-volume egress</w:t>
            </w:r>
          </w:p>
        </w:tc>
        <w:tc>
          <w:tcPr/>
          <w:p>
            <w:pPr>
              <w:pStyle w:val="Compact"/>
            </w:pPr>
            <w:r>
              <w:t xml:space="preserve">Policy showing deny for cleartext + egress-anomaly report</w:t>
            </w:r>
          </w:p>
        </w:tc>
      </w:tr>
      <w:tr>
        <w:tc>
          <w:tcPr/>
          <w:p>
            <w:pPr>
              <w:pStyle w:val="Compact"/>
            </w:pPr>
            <w:r>
              <w:rPr>
                <w:b/>
                <w:bCs/>
              </w:rPr>
              <w:t xml:space="preserve">B4 System security</w:t>
            </w:r>
          </w:p>
        </w:tc>
        <w:tc>
          <w:tcPr/>
          <w:p>
            <w:pPr>
              <w:pStyle w:val="Compact"/>
            </w:pPr>
            <w:r>
              <w:t xml:space="preserve">Hardened configuration; timely patching; unauthorised code prevented</w:t>
            </w:r>
          </w:p>
        </w:tc>
        <w:tc>
          <w:tcPr/>
          <w:p>
            <w:pPr>
              <w:pStyle w:val="Compact"/>
            </w:pPr>
            <w:r>
              <w:t xml:space="preserve">Process / binary / listening-service inventory; drift alerts; VA connector for reachability-weighted CVE reports</w:t>
            </w:r>
          </w:p>
        </w:tc>
        <w:tc>
          <w:tcPr/>
          <w:p>
            <w:pPr>
              <w:pStyle w:val="Compact"/>
            </w:pPr>
            <w:r>
              <w:t xml:space="preserve">Baseline vs. current diff; VA reachability report</w:t>
            </w:r>
          </w:p>
        </w:tc>
      </w:tr>
      <w:tr>
        <w:tc>
          <w:tcPr/>
          <w:p>
            <w:pPr>
              <w:pStyle w:val="Compact"/>
            </w:pPr>
            <w:r>
              <w:rPr>
                <w:b/>
                <w:bCs/>
              </w:rPr>
              <w:t xml:space="preserve">B5 Resilient networks &amp; systems</w:t>
            </w:r>
          </w:p>
        </w:tc>
        <w:tc>
          <w:tcPr/>
          <w:p>
            <w:pPr>
              <w:pStyle w:val="Compact"/>
            </w:pPr>
            <w:r>
              <w:t xml:space="preserve">Segmentation between IT / OT / corporate networks; microsegmentation within tiers</w:t>
            </w:r>
          </w:p>
        </w:tc>
        <w:tc>
          <w:tcPr/>
          <w:p>
            <w:pPr>
              <w:pStyle w:val="Compact"/>
            </w:pPr>
            <w:r>
              <w:t xml:space="preserve">ADM-derived allowlists; scope hierarchy mirroring essential-function tiers; conduit-level rules</w:t>
            </w:r>
          </w:p>
        </w:tc>
        <w:tc>
          <w:tcPr/>
          <w:p>
            <w:pPr>
              <w:pStyle w:val="Compact"/>
            </w:pPr>
            <w:r>
              <w:t xml:space="preserve">ADM diagram + policy export + Simulation report</w:t>
            </w:r>
          </w:p>
        </w:tc>
      </w:tr>
      <w:tr>
        <w:tc>
          <w:tcPr/>
          <w:p>
            <w:pPr>
              <w:pStyle w:val="Compact"/>
            </w:pPr>
            <w:r>
              <w:rPr>
                <w:b/>
                <w:bCs/>
              </w:rPr>
              <w:t xml:space="preserve">B6 Staff awareness &amp; training</w:t>
            </w:r>
          </w:p>
        </w:tc>
        <w:tc>
          <w:tcPr/>
          <w:p>
            <w:pPr>
              <w:pStyle w:val="Compact"/>
            </w:pPr>
            <w:r>
              <w:t xml:space="preserve">Out of scope — organisational</w:t>
            </w:r>
          </w:p>
        </w:tc>
        <w:tc>
          <w:tcPr/>
          <w:p>
            <w:pPr>
              <w:pStyle w:val="Compact"/>
            </w:pPr>
            <w:r>
              <w:t xml:space="preserve">—</w:t>
            </w:r>
          </w:p>
        </w:tc>
        <w:tc>
          <w:tcPr/>
          <w:p>
            <w:pPr>
              <w:pStyle w:val="Compact"/>
            </w:pPr>
            <w:r>
              <w:t xml:space="preserve">—</w:t>
            </w:r>
          </w:p>
        </w:tc>
      </w:tr>
    </w:tbl>
    <w:bookmarkEnd w:id="42"/>
    <w:bookmarkStart w:id="43" w:name="Xd44c97de8200f1a511630b30603b8aa8cdc927a"/>
    <w:p>
      <w:pPr>
        <w:pStyle w:val="Heading3"/>
      </w:pPr>
      <w:r>
        <w:t xml:space="preserve">7.3 Objective C — Detecting Cyber Security Events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CAF principle</w:t>
            </w:r>
          </w:p>
        </w:tc>
        <w:tc>
          <w:tcPr/>
          <w:p>
            <w:pPr>
              <w:pStyle w:val="Compact"/>
            </w:pPr>
            <w:r>
              <w:t xml:space="preserve">IGP theme (CSW-addressable)</w:t>
            </w:r>
          </w:p>
        </w:tc>
        <w:tc>
          <w:tcPr/>
          <w:p>
            <w:pPr>
              <w:pStyle w:val="Compact"/>
            </w:pPr>
            <w:r>
              <w:t xml:space="preserve">CSW capability</w:t>
            </w:r>
          </w:p>
        </w:tc>
        <w:tc>
          <w:tcPr/>
          <w:p>
            <w:pPr>
              <w:pStyle w:val="Compact"/>
            </w:pPr>
            <w:r>
              <w:t xml:space="preserve">Evidence artefact</w:t>
            </w:r>
          </w:p>
        </w:tc>
      </w:tr>
      <w:tr>
        <w:tc>
          <w:tcPr/>
          <w:p>
            <w:pPr>
              <w:pStyle w:val="Compact"/>
            </w:pPr>
            <w:r>
              <w:rPr>
                <w:b/>
                <w:bCs/>
              </w:rPr>
              <w:t xml:space="preserve">C1 Security monitoring</w:t>
            </w:r>
          </w:p>
        </w:tc>
        <w:tc>
          <w:tcPr/>
          <w:p>
            <w:pPr>
              <w:pStyle w:val="Compact"/>
            </w:pPr>
            <w:r>
              <w:t xml:space="preserve">Continuous logging with synchronised time; SIEM/SOAR integration</w:t>
            </w:r>
          </w:p>
        </w:tc>
        <w:tc>
          <w:tcPr/>
          <w:p>
            <w:pPr>
              <w:pStyle w:val="Compact"/>
            </w:pPr>
            <w:r>
              <w:t xml:space="preserve">Flow + process telemetry retention; syslog / Kafka / cloud connector to SIEM; NTP-verified timestamps</w:t>
            </w:r>
          </w:p>
        </w:tc>
        <w:tc>
          <w:tcPr/>
          <w:p>
            <w:pPr>
              <w:pStyle w:val="Compact"/>
            </w:pPr>
            <w:r>
              <w:t xml:space="preserve">Retention policy screenshot; SIEM ingest sample; NTP drift report</w:t>
            </w:r>
          </w:p>
        </w:tc>
      </w:tr>
      <w:tr>
        <w:tc>
          <w:tcPr/>
          <w:p>
            <w:pPr>
              <w:pStyle w:val="Compact"/>
            </w:pPr>
            <w:r>
              <w:rPr>
                <w:b/>
                <w:bCs/>
              </w:rPr>
              <w:t xml:space="preserve">C2 Proactive event discovery</w:t>
            </w:r>
          </w:p>
        </w:tc>
        <w:tc>
          <w:tcPr/>
          <w:p>
            <w:pPr>
              <w:pStyle w:val="Compact"/>
            </w:pPr>
            <w:r>
              <w:t xml:space="preserve">Anomaly detection; threat hunting; vulnerability scanning</w:t>
            </w:r>
          </w:p>
        </w:tc>
        <w:tc>
          <w:tcPr/>
          <w:p>
            <w:pPr>
              <w:pStyle w:val="Compact"/>
            </w:pPr>
            <w:r>
              <w:t xml:space="preserve">Behavioural anomaly alerts (new listener, new peer, unusual volume); reachability-weighted CVE alerts; threat-intel-fed workspace rules</w:t>
            </w:r>
          </w:p>
        </w:tc>
        <w:tc>
          <w:tcPr/>
          <w:p>
            <w:pPr>
              <w:pStyle w:val="Compact"/>
            </w:pPr>
            <w:r>
              <w:t xml:space="preserve">Anomaly alert catalog; CVE-reachability report; workspace change history</w:t>
            </w:r>
          </w:p>
        </w:tc>
      </w:tr>
    </w:tbl>
    <w:bookmarkEnd w:id="43"/>
    <w:bookmarkStart w:id="44" w:name="Xd78d9a12f038174dd8498e2b24ac83e259f8337"/>
    <w:p>
      <w:pPr>
        <w:pStyle w:val="Heading3"/>
      </w:pPr>
      <w:r>
        <w:t xml:space="preserve">7.4 Objective D — Minimising the Impact of Incidents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CAF principle</w:t>
            </w:r>
          </w:p>
        </w:tc>
        <w:tc>
          <w:tcPr/>
          <w:p>
            <w:pPr>
              <w:pStyle w:val="Compact"/>
            </w:pPr>
            <w:r>
              <w:t xml:space="preserve">IGP theme (CSW-addressable)</w:t>
            </w:r>
          </w:p>
        </w:tc>
        <w:tc>
          <w:tcPr/>
          <w:p>
            <w:pPr>
              <w:pStyle w:val="Compact"/>
            </w:pPr>
            <w:r>
              <w:t xml:space="preserve">CSW capability</w:t>
            </w:r>
          </w:p>
        </w:tc>
        <w:tc>
          <w:tcPr/>
          <w:p>
            <w:pPr>
              <w:pStyle w:val="Compact"/>
            </w:pPr>
            <w:r>
              <w:t xml:space="preserve">Evidence artefact</w:t>
            </w:r>
          </w:p>
        </w:tc>
      </w:tr>
      <w:tr>
        <w:tc>
          <w:tcPr/>
          <w:p>
            <w:pPr>
              <w:pStyle w:val="Compact"/>
            </w:pPr>
            <w:r>
              <w:rPr>
                <w:b/>
                <w:bCs/>
              </w:rPr>
              <w:t xml:space="preserve">D1 Response &amp; recovery planning</w:t>
            </w:r>
          </w:p>
        </w:tc>
        <w:tc>
          <w:tcPr/>
          <w:p>
            <w:pPr>
              <w:pStyle w:val="Compact"/>
            </w:pPr>
            <w:r>
              <w:t xml:space="preserve">Incident response is exercised and evidenced; forensic reconstruction is possible</w:t>
            </w:r>
          </w:p>
        </w:tc>
        <w:tc>
          <w:tcPr/>
          <w:p>
            <w:pPr>
              <w:pStyle w:val="Compact"/>
            </w:pPr>
            <w:r>
              <w:t xml:space="preserve">Historical flow + process telemetry; policy diff timeline; per-workload change history</w:t>
            </w:r>
          </w:p>
        </w:tc>
        <w:tc>
          <w:tcPr/>
          <w:p>
            <w:pPr>
              <w:pStyle w:val="Compact"/>
            </w:pPr>
            <w:r>
              <w:t xml:space="preserve">Forensic timeline export; policy-diff report for the incident window</w:t>
            </w:r>
          </w:p>
        </w:tc>
      </w:tr>
      <w:tr>
        <w:tc>
          <w:tcPr/>
          <w:p>
            <w:pPr>
              <w:pStyle w:val="Compact"/>
            </w:pPr>
            <w:r>
              <w:rPr>
                <w:b/>
                <w:bCs/>
              </w:rPr>
              <w:t xml:space="preserve">D2 Improvements</w:t>
            </w:r>
          </w:p>
        </w:tc>
        <w:tc>
          <w:tcPr/>
          <w:p>
            <w:pPr>
              <w:pStyle w:val="Compact"/>
            </w:pPr>
            <w:r>
              <w:t xml:space="preserve">Lessons learned drive control changes</w:t>
            </w:r>
          </w:p>
        </w:tc>
        <w:tc>
          <w:tcPr/>
          <w:p>
            <w:pPr>
              <w:pStyle w:val="Compact"/>
            </w:pPr>
            <w:r>
              <w:t xml:space="preserve">Policy + inventory diff history feeds RCA; workspace change log traces control evolution</w:t>
            </w:r>
          </w:p>
        </w:tc>
        <w:tc>
          <w:tcPr/>
          <w:p>
            <w:pPr>
              <w:pStyle w:val="Compact"/>
            </w:pPr>
            <w:r>
              <w:t xml:space="preserve">Workspace change log; policy-diff summary per incident</w:t>
            </w:r>
          </w:p>
        </w:tc>
      </w:tr>
    </w:tbl>
    <w:p>
      <w:r>
        <w:pict>
          <v:rect style="width:0;height:1.5pt" o:hralign="center" o:hrstd="t" o:hr="t"/>
        </w:pict>
      </w:r>
    </w:p>
    <w:bookmarkEnd w:id="44"/>
    <w:bookmarkEnd w:id="45"/>
    <w:bookmarkStart w:id="46" w:name="X4bdbb622406e576526356ddceec496ed475a165"/>
    <w:p>
      <w:pPr>
        <w:pStyle w:val="Heading2"/>
      </w:pPr>
      <w:r>
        <w:t xml:space="preserve">8. Auditor / Competent-Authority Response Guide</w:t>
      </w:r>
    </w:p>
    <w:p>
      <w:pPr>
        <w:pStyle w:val="FirstParagraph"/>
      </w:pPr>
      <w:r>
        <w:t xml:space="preserve">When the Competent Authority (Ofgem, DWI, CAA, ORR, MCA, DfT, DHSC/NHS England, Ofcom, ICO) or GovAssure assessor asks for evidence: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Authority asks</w:t>
            </w:r>
          </w:p>
        </w:tc>
        <w:tc>
          <w:tcPr/>
          <w:p>
            <w:pPr>
              <w:pStyle w:val="Compact"/>
            </w:pPr>
            <w:r>
              <w:t xml:space="preserve">You provide</w:t>
            </w:r>
          </w:p>
        </w:tc>
      </w:tr>
      <w:tr>
        <w:tc>
          <w:tcPr/>
          <w:p>
            <w:pPr>
              <w:pStyle w:val="Compact"/>
            </w:pPr>
            <w:r>
              <w:t xml:space="preserve">"Show your inventory of assets supporting essential function</w:t>
            </w:r>
            <w:r>
              <w:t xml:space="preserve"> </w:t>
            </w:r>
            <w:r>
              <w:rPr>
                <w:i/>
                <w:iCs/>
              </w:rPr>
              <w:t xml:space="preserve">X</w:t>
            </w:r>
            <w:r>
              <w:t xml:space="preserve"> </w:t>
            </w:r>
            <w:r>
              <w:t xml:space="preserve">as of [date]"</w:t>
            </w:r>
          </w:p>
        </w:tc>
        <w:tc>
          <w:tcPr/>
          <w:p>
            <w:pPr>
              <w:pStyle w:val="Compact"/>
            </w:pPr>
            <w:r>
              <w:t xml:space="preserve">CSW Inventory snapshot filtered by</w:t>
            </w:r>
            <w:r>
              <w:t xml:space="preserve"> </w:t>
            </w:r>
            <w:r>
              <w:rPr>
                <w:rStyle w:val="VerbatimChar"/>
              </w:rPr>
              <w:t xml:space="preserve">caf:essential_function=X</w:t>
            </w:r>
            <w:r>
              <w:t xml:space="preserve">, dated</w:t>
            </w:r>
          </w:p>
        </w:tc>
      </w:tr>
      <w:tr>
        <w:tc>
          <w:tcPr/>
          <w:p>
            <w:pPr>
              <w:pStyle w:val="Compact"/>
            </w:pPr>
            <w:r>
              <w:t xml:space="preserve">"Demonstrate structural segmentation between corporate IT and OT"</w:t>
            </w:r>
          </w:p>
        </w:tc>
        <w:tc>
          <w:tcPr/>
          <w:p>
            <w:pPr>
              <w:pStyle w:val="Compact"/>
            </w:pPr>
            <w:r>
              <w:t xml:space="preserve">Workspace export + ADM diagram + Simulation showing zero allowed cross-boundary flows outside documented conduits</w:t>
            </w:r>
          </w:p>
        </w:tc>
      </w:tr>
      <w:tr>
        <w:tc>
          <w:tcPr/>
          <w:p>
            <w:pPr>
              <w:pStyle w:val="Compact"/>
            </w:pPr>
            <w:r>
              <w:t xml:space="preserve">"Provide flow-level evidence for incident [ID] between [t0] and [t1]"</w:t>
            </w:r>
          </w:p>
        </w:tc>
        <w:tc>
          <w:tcPr/>
          <w:p>
            <w:pPr>
              <w:pStyle w:val="Compact"/>
            </w:pPr>
            <w:r>
              <w:t xml:space="preserve">CSW flow + process timeline export scoped to the affected workloads for that window</w:t>
            </w:r>
          </w:p>
        </w:tc>
      </w:tr>
      <w:tr>
        <w:tc>
          <w:tcPr/>
          <w:p>
            <w:pPr>
              <w:pStyle w:val="Compact"/>
            </w:pPr>
            <w:r>
              <w:t xml:space="preserve">"Show how B4 patch prioritisation reflects essential-function exposure"</w:t>
            </w:r>
          </w:p>
        </w:tc>
        <w:tc>
          <w:tcPr/>
          <w:p>
            <w:pPr>
              <w:pStyle w:val="Compact"/>
            </w:pPr>
            <w:r>
              <w:t xml:space="preserve">Reachability-weighted CVE report; workspace rules referencing CVE feed</w:t>
            </w:r>
          </w:p>
        </w:tc>
      </w:tr>
      <w:tr>
        <w:tc>
          <w:tcPr/>
          <w:p>
            <w:pPr>
              <w:pStyle w:val="Compact"/>
            </w:pPr>
            <w:r>
              <w:t xml:space="preserve">"Show C1 continuous monitoring is operating for essential function</w:t>
            </w:r>
            <w:r>
              <w:t xml:space="preserve"> </w:t>
            </w:r>
            <w:r>
              <w:rPr>
                <w:i/>
                <w:iCs/>
              </w:rPr>
              <w:t xml:space="preserve">X</w:t>
            </w:r>
            <w:r>
              <w:t xml:space="preserve">"</w:t>
            </w:r>
          </w:p>
        </w:tc>
        <w:tc>
          <w:tcPr/>
          <w:p>
            <w:pPr>
              <w:pStyle w:val="Compact"/>
            </w:pPr>
            <w:r>
              <w:t xml:space="preserve">Retention screenshot; SIEM ingest proof; NTP-drift report; alerting rule catalog</w:t>
            </w:r>
          </w:p>
        </w:tc>
      </w:tr>
      <w:tr>
        <w:tc>
          <w:tcPr/>
          <w:p>
            <w:pPr>
              <w:pStyle w:val="Compact"/>
            </w:pPr>
            <w:r>
              <w:t xml:space="preserve">"Show how policy exceptions are managed and reviewed under B1"</w:t>
            </w:r>
          </w:p>
        </w:tc>
        <w:tc>
          <w:tcPr/>
          <w:p>
            <w:pPr>
              <w:pStyle w:val="Compact"/>
            </w:pPr>
            <w:r>
              <w:t xml:space="preserve">Exception register + policy workspace change history + management review minutes (paired with CSW policy diffs)</w:t>
            </w:r>
          </w:p>
        </w:tc>
      </w:tr>
      <w:tr>
        <w:tc>
          <w:tcPr/>
          <w:p>
            <w:pPr>
              <w:pStyle w:val="Compact"/>
            </w:pPr>
            <w:r>
              <w:t xml:space="preserve">"Show that segmentation policy is</w:t>
            </w:r>
            <w:r>
              <w:t xml:space="preserve"> </w:t>
            </w:r>
            <w:r>
              <w:rPr>
                <w:i/>
                <w:iCs/>
              </w:rPr>
              <w:t xml:space="preserve">tested</w:t>
            </w:r>
            <w:r>
              <w:t xml:space="preserve">, not just written (Achieved-tier IGP)"</w:t>
            </w:r>
          </w:p>
        </w:tc>
        <w:tc>
          <w:tcPr/>
          <w:p>
            <w:pPr>
              <w:pStyle w:val="Compact"/>
            </w:pPr>
            <w:r>
              <w:t xml:space="preserve">Simulation report + Denied-Connections evidence + a documented negative-test outcome</w:t>
            </w:r>
          </w:p>
        </w:tc>
      </w:tr>
    </w:tbl>
    <w:p>
      <w:r>
        <w:pict>
          <v:rect style="width:0;height:1.5pt" o:hralign="center" o:hrstd="t" o:hr="t"/>
        </w:pict>
      </w:r>
    </w:p>
    <w:bookmarkEnd w:id="46"/>
    <w:bookmarkStart w:id="47" w:name="X97d6b84ebc651b0971e702db4bc49446c162c21"/>
    <w:p>
      <w:pPr>
        <w:pStyle w:val="Heading2"/>
      </w:pPr>
      <w:r>
        <w:t xml:space="preserve">9. Boundaries — what CSW does</w:t>
      </w:r>
      <w:r>
        <w:t xml:space="preserve"> </w:t>
      </w:r>
      <w:r>
        <w:rPr>
          <w:b/>
          <w:bCs/>
        </w:rPr>
        <w:t xml:space="preserve">not</w:t>
      </w:r>
      <w:r>
        <w:t xml:space="preserve"> </w:t>
      </w:r>
      <w:r>
        <w:t xml:space="preserve">cover</w:t>
      </w:r>
    </w:p>
    <w:p>
      <w:pPr>
        <w:pStyle w:val="Compact"/>
        <w:numPr>
          <w:ilvl w:val="0"/>
          <w:numId w:val="1042"/>
        </w:numPr>
      </w:pPr>
      <w:r>
        <w:rPr>
          <w:b/>
          <w:bCs/>
        </w:rPr>
        <w:t xml:space="preserve">Level 0–2 OT devices</w:t>
      </w:r>
      <w:r>
        <w:t xml:space="preserve"> </w:t>
      </w:r>
      <w:r>
        <w:t xml:space="preserve">(PLCs, RTUs, IEDs, drives, field instruments) — no CSW agent; pair with Cisco Cyber Vision / Claroty / Nozomi for asset discovery, ICS protocol analytics, and device-level integrity.</w:t>
      </w:r>
    </w:p>
    <w:p>
      <w:pPr>
        <w:pStyle w:val="Compact"/>
        <w:numPr>
          <w:ilvl w:val="0"/>
          <w:numId w:val="1042"/>
        </w:numPr>
      </w:pPr>
      <w:r>
        <w:rPr>
          <w:b/>
          <w:bCs/>
        </w:rPr>
        <w:t xml:space="preserve">OT protocols</w:t>
      </w:r>
      <w:r>
        <w:t xml:space="preserve"> </w:t>
      </w:r>
      <w:r>
        <w:t xml:space="preserve">(Modbus, DNP3, S7, OPC UA, BACnet, IEC 60870-5) at wire speed — outside CSW's inspection scope.</w:t>
      </w:r>
    </w:p>
    <w:p>
      <w:pPr>
        <w:pStyle w:val="Compact"/>
        <w:numPr>
          <w:ilvl w:val="0"/>
          <w:numId w:val="1042"/>
        </w:numPr>
      </w:pPr>
      <w:r>
        <w:rPr>
          <w:b/>
          <w:bCs/>
        </w:rPr>
        <w:t xml:space="preserve">Cryptographic primitives and key management</w:t>
      </w:r>
      <w:r>
        <w:t xml:space="preserve"> </w:t>
      </w:r>
      <w:r>
        <w:t xml:space="preserve">(B3) — CSW may enforce</w:t>
      </w:r>
      <w:r>
        <w:t xml:space="preserve"> </w:t>
      </w:r>
      <w:r>
        <w:rPr>
          <w:b/>
          <w:bCs/>
        </w:rPr>
        <w:t xml:space="preserve">paths</w:t>
      </w:r>
      <w:r>
        <w:t xml:space="preserve"> </w:t>
      </w:r>
      <w:r>
        <w:t xml:space="preserve">(TLS-only) but does not replace PKI / HSM governance.</w:t>
      </w:r>
    </w:p>
    <w:p>
      <w:pPr>
        <w:pStyle w:val="Compact"/>
        <w:numPr>
          <w:ilvl w:val="0"/>
          <w:numId w:val="1042"/>
        </w:numPr>
      </w:pPr>
      <w:r>
        <w:rPr>
          <w:b/>
          <w:bCs/>
        </w:rPr>
        <w:t xml:space="preserve">IAM / MFA / PAM</w:t>
      </w:r>
      <w:r>
        <w:t xml:space="preserve"> </w:t>
      </w:r>
      <w:r>
        <w:t xml:space="preserve">(B2) — CSW consumes identity context if integrated; it does not authenticate humans, mint tokens, or manage privileged sessions.</w:t>
      </w:r>
    </w:p>
    <w:p>
      <w:pPr>
        <w:pStyle w:val="Compact"/>
        <w:numPr>
          <w:ilvl w:val="0"/>
          <w:numId w:val="1042"/>
        </w:numPr>
      </w:pPr>
      <w:r>
        <w:rPr>
          <w:b/>
          <w:bCs/>
        </w:rPr>
        <w:t xml:space="preserve">Backups, immutability, RTO/RPO testing</w:t>
      </w:r>
      <w:r>
        <w:t xml:space="preserve"> </w:t>
      </w:r>
      <w:r>
        <w:t xml:space="preserve">(D1 recovery pillar) — CSW contributes forensic evidence, not restoration.</w:t>
      </w:r>
    </w:p>
    <w:p>
      <w:pPr>
        <w:pStyle w:val="Compact"/>
        <w:numPr>
          <w:ilvl w:val="0"/>
          <w:numId w:val="1042"/>
        </w:numPr>
      </w:pPr>
      <w:r>
        <w:rPr>
          <w:b/>
          <w:bCs/>
        </w:rPr>
        <w:t xml:space="preserve">Board governance, policy authoring, supplier contracting, training records</w:t>
      </w:r>
      <w:r>
        <w:t xml:space="preserve"> </w:t>
      </w:r>
      <w:r>
        <w:t xml:space="preserve">(A1, A2 methodology, A4 procurement, B1 authoring, B6) — organisational; CSW provides inputs, not the process.</w:t>
      </w:r>
    </w:p>
    <w:p>
      <w:pPr>
        <w:pStyle w:val="Compact"/>
        <w:numPr>
          <w:ilvl w:val="0"/>
          <w:numId w:val="1042"/>
        </w:numPr>
      </w:pPr>
      <w:r>
        <w:rPr>
          <w:b/>
          <w:bCs/>
        </w:rPr>
        <w:t xml:space="preserve">CAF Achieved-status certification</w:t>
      </w:r>
      <w:r>
        <w:t xml:space="preserve"> </w:t>
      </w:r>
      <w:r>
        <w:t xml:space="preserve">— CAF is not a certification scheme; the Competent Authority awards the IGP status. CSW evidence</w:t>
      </w:r>
      <w:r>
        <w:t xml:space="preserve"> </w:t>
      </w:r>
      <w:r>
        <w:rPr>
          <w:i/>
          <w:iCs/>
        </w:rPr>
        <w:t xml:space="preserve">supports</w:t>
      </w:r>
      <w:r>
        <w:t xml:space="preserve"> </w:t>
      </w:r>
      <w:r>
        <w:t xml:space="preserve">an Achieved award for the outcomes it covers; it does not confer it.</w:t>
      </w:r>
    </w:p>
    <w:p>
      <w:r>
        <w:pict>
          <v:rect style="width:0;height:1.5pt" o:hralign="center" o:hrstd="t" o:hr="t"/>
        </w:pict>
      </w:r>
    </w:p>
    <w:bookmarkEnd w:id="47"/>
    <w:bookmarkStart w:id="48" w:name="Xfd7ff628108308dfd9a50ffd2b4ac7b1caefa2e"/>
    <w:p>
      <w:pPr>
        <w:pStyle w:val="Heading2"/>
      </w:pPr>
      <w:r>
        <w:t xml:space="preserve">10. Common pitfalls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Pitfall</w:t>
            </w:r>
          </w:p>
        </w:tc>
        <w:tc>
          <w:tcPr/>
          <w:p>
            <w:pPr>
              <w:pStyle w:val="Compact"/>
            </w:pPr>
            <w:r>
              <w:t xml:space="preserve">Mitigation</w:t>
            </w:r>
          </w:p>
        </w:tc>
      </w:tr>
      <w:tr>
        <w:tc>
          <w:tcPr/>
          <w:p>
            <w:pPr>
              <w:pStyle w:val="Compact"/>
            </w:pPr>
            <w:r>
              <w:t xml:space="preserve">Labelling scopes by team or business unit instead of</w:t>
            </w:r>
            <w:r>
              <w:t xml:space="preserve"> </w:t>
            </w:r>
            <w:r>
              <w:rPr>
                <w:b/>
                <w:bCs/>
              </w:rPr>
              <w:t xml:space="preserve">essential function</w:t>
            </w:r>
          </w:p>
        </w:tc>
        <w:tc>
          <w:tcPr/>
          <w:p>
            <w:pPr>
              <w:pStyle w:val="Compact"/>
            </w:pPr>
            <w:r>
              <w:t xml:space="preserve">Anchor labels to the NCSC essential-function names your Competent Authority has agreed</w:t>
            </w:r>
          </w:p>
        </w:tc>
      </w:tr>
      <w:tr>
        <w:tc>
          <w:tcPr/>
          <w:p>
            <w:pPr>
              <w:pStyle w:val="Compact"/>
            </w:pPr>
            <w:r>
              <w:t xml:space="preserve">Presenting a static architecture diagram as B5 evidence</w:t>
            </w:r>
          </w:p>
        </w:tc>
        <w:tc>
          <w:tcPr/>
          <w:p>
            <w:pPr>
              <w:pStyle w:val="Compact"/>
            </w:pPr>
            <w:r>
              <w:t xml:space="preserve">Add ADM diagram (behaviour-derived) alongside; regulator asks for both</w:t>
            </w:r>
          </w:p>
        </w:tc>
      </w:tr>
      <w:tr>
        <w:tc>
          <w:tcPr/>
          <w:p>
            <w:pPr>
              <w:pStyle w:val="Compact"/>
            </w:pPr>
            <w:r>
              <w:t xml:space="preserve">Treating a scan report as B4 evidence for "prioritised patching"</w:t>
            </w:r>
          </w:p>
        </w:tc>
        <w:tc>
          <w:tcPr/>
          <w:p>
            <w:pPr>
              <w:pStyle w:val="Compact"/>
            </w:pPr>
            <w:r>
              <w:t xml:space="preserve">Pair scan output with reachability-weighted CVE report so priority is defensible</w:t>
            </w:r>
          </w:p>
        </w:tc>
      </w:tr>
      <w:tr>
        <w:tc>
          <w:tcPr/>
          <w:p>
            <w:pPr>
              <w:pStyle w:val="Compact"/>
            </w:pPr>
            <w:r>
              <w:t xml:space="preserve">Enforcing before Simulation on OT-adjacent systems</w:t>
            </w:r>
          </w:p>
        </w:tc>
        <w:tc>
          <w:tcPr/>
          <w:p>
            <w:pPr>
              <w:pStyle w:val="Compact"/>
            </w:pPr>
            <w:r>
              <w:t xml:space="preserve">Simulation ≥30 days on OT-adjacent tier before Enforce; document negative test after Enforce</w:t>
            </w:r>
          </w:p>
        </w:tc>
      </w:tr>
      <w:tr>
        <w:tc>
          <w:tcPr/>
          <w:p>
            <w:pPr>
              <w:pStyle w:val="Compact"/>
            </w:pPr>
            <w:r>
              <w:t xml:space="preserve">Missing NTP evidence for C1</w:t>
            </w:r>
          </w:p>
        </w:tc>
        <w:tc>
          <w:tcPr/>
          <w:p>
            <w:pPr>
              <w:pStyle w:val="Compact"/>
            </w:pPr>
            <w:r>
              <w:t xml:space="preserve">Include NTP source, drift report, and a flow timestamp comparison across ≥2 hosts in every C1 pack</w:t>
            </w:r>
          </w:p>
        </w:tc>
      </w:tr>
      <w:tr>
        <w:tc>
          <w:tcPr/>
          <w:p>
            <w:pPr>
              <w:pStyle w:val="Compact"/>
            </w:pPr>
            <w:r>
              <w:t xml:space="preserve">Conflating "policy exists" with "policy operates" for IGP Achieved</w:t>
            </w:r>
          </w:p>
        </w:tc>
        <w:tc>
          <w:tcPr/>
          <w:p>
            <w:pPr>
              <w:pStyle w:val="Compact"/>
            </w:pPr>
            <w:r>
              <w:t xml:space="preserve">Ship Denied-Connections evidence + a documented negative-test outcome in every quarterly pack</w:t>
            </w:r>
          </w:p>
        </w:tc>
      </w:tr>
      <w:tr>
        <w:tc>
          <w:tcPr/>
          <w:p>
            <w:pPr>
              <w:pStyle w:val="Compact"/>
            </w:pPr>
            <w:r>
              <w:t xml:space="preserve">Ignoring cross-essential-function reach</w:t>
            </w:r>
          </w:p>
        </w:tc>
        <w:tc>
          <w:tcPr/>
          <w:p>
            <w:pPr>
              <w:pStyle w:val="Compact"/>
            </w:pPr>
            <w:r>
              <w:t xml:space="preserve">Explicit deny rules between essential-function scopes; ADM must show zero cross-reach outside documented conduits</w:t>
            </w:r>
          </w:p>
        </w:tc>
      </w:tr>
    </w:tbl>
    <w:p>
      <w:r>
        <w:pict>
          <v:rect style="width:0;height:1.5pt" o:hralign="center" o:hrstd="t" o:hr="t"/>
        </w:pict>
      </w:r>
    </w:p>
    <w:bookmarkEnd w:id="48"/>
    <w:bookmarkStart w:id="51" w:name="Xf0536cc86a485b69384ce8171263df7b07a7040"/>
    <w:p>
      <w:pPr>
        <w:pStyle w:val="Heading2"/>
      </w:pPr>
      <w:r>
        <w:t xml:space="preserve">11. Audit preparation &amp; evidence export</w:t>
      </w:r>
    </w:p>
    <w:bookmarkStart w:id="49" w:name="X96201c7ff7efadf0ab449fd9051f3298e0fed49"/>
    <w:p>
      <w:pPr>
        <w:pStyle w:val="Heading3"/>
      </w:pPr>
      <w:r>
        <w:t xml:space="preserve">11.1 Quarterly CAF pack (per essential function)</w:t>
      </w:r>
    </w:p>
    <w:p>
      <w:pPr>
        <w:pStyle w:val="Compact"/>
        <w:numPr>
          <w:ilvl w:val="0"/>
          <w:numId w:val="1043"/>
        </w:numPr>
      </w:pPr>
      <w:r>
        <w:t xml:space="preserve">Inventory CSV filtered by</w:t>
      </w:r>
      <w:r>
        <w:t xml:space="preserve"> </w:t>
      </w:r>
      <w:r>
        <w:rPr>
          <w:rStyle w:val="VerbatimChar"/>
        </w:rPr>
        <w:t xml:space="preserve">caf:essential_function=&lt;X&gt;</w:t>
      </w:r>
    </w:p>
    <w:p>
      <w:pPr>
        <w:pStyle w:val="Compact"/>
        <w:numPr>
          <w:ilvl w:val="0"/>
          <w:numId w:val="1044"/>
        </w:numPr>
      </w:pPr>
      <w:r>
        <w:t xml:space="preserve">Scope-membership screenshot (with label filters visible)</w:t>
      </w:r>
    </w:p>
    <w:p>
      <w:pPr>
        <w:pStyle w:val="Compact"/>
        <w:numPr>
          <w:ilvl w:val="0"/>
          <w:numId w:val="1045"/>
        </w:numPr>
      </w:pPr>
      <w:r>
        <w:t xml:space="preserve">ADM diagram export (PDF)</w:t>
      </w:r>
    </w:p>
    <w:p>
      <w:pPr>
        <w:pStyle w:val="Compact"/>
        <w:numPr>
          <w:ilvl w:val="0"/>
          <w:numId w:val="1046"/>
        </w:numPr>
      </w:pPr>
      <w:r>
        <w:t xml:space="preserve">Policy JSON export</w:t>
      </w:r>
    </w:p>
    <w:p>
      <w:pPr>
        <w:pStyle w:val="Compact"/>
        <w:numPr>
          <w:ilvl w:val="0"/>
          <w:numId w:val="1047"/>
        </w:numPr>
      </w:pPr>
      <w:r>
        <w:t xml:space="preserve">Denied-Connections report for the quarter (with negative-test entry highlighted)</w:t>
      </w:r>
    </w:p>
    <w:p>
      <w:pPr>
        <w:pStyle w:val="Compact"/>
        <w:numPr>
          <w:ilvl w:val="0"/>
          <w:numId w:val="1048"/>
        </w:numPr>
      </w:pPr>
      <w:r>
        <w:t xml:space="preserve">Reachability-weighted CVE report</w:t>
      </w:r>
    </w:p>
    <w:p>
      <w:pPr>
        <w:pStyle w:val="Compact"/>
        <w:numPr>
          <w:ilvl w:val="0"/>
          <w:numId w:val="1049"/>
        </w:numPr>
      </w:pPr>
      <w:r>
        <w:t xml:space="preserve">Anomaly / new-listener alert log</w:t>
      </w:r>
    </w:p>
    <w:p>
      <w:pPr>
        <w:pStyle w:val="Compact"/>
        <w:numPr>
          <w:ilvl w:val="0"/>
          <w:numId w:val="1050"/>
        </w:numPr>
      </w:pPr>
      <w:r>
        <w:t xml:space="preserve">Workspace change history (policy diff timeline)</w:t>
      </w:r>
    </w:p>
    <w:p>
      <w:pPr>
        <w:pStyle w:val="Compact"/>
        <w:numPr>
          <w:ilvl w:val="0"/>
          <w:numId w:val="1051"/>
        </w:numPr>
      </w:pPr>
      <w:r>
        <w:t xml:space="preserve">NTP-drift report</w:t>
      </w:r>
    </w:p>
    <w:p>
      <w:pPr>
        <w:pStyle w:val="Compact"/>
        <w:numPr>
          <w:ilvl w:val="0"/>
          <w:numId w:val="1052"/>
        </w:numPr>
      </w:pPr>
      <w:r>
        <w:t xml:space="preserve">SIEM ingest sample proving telemetry flow is live</w:t>
      </w:r>
    </w:p>
    <w:p>
      <w:pPr>
        <w:pStyle w:val="Compact"/>
        <w:numPr>
          <w:ilvl w:val="0"/>
          <w:numId w:val="1053"/>
        </w:numPr>
      </w:pPr>
      <w:r>
        <w:t xml:space="preserve">Cover sheet mapping each artefact to CAF principles and IGP maturity claim</w:t>
      </w:r>
    </w:p>
    <w:bookmarkEnd w:id="49"/>
    <w:bookmarkStart w:id="50" w:name="X6f3b49304579dbbe6fd1e75ac957184daca7365"/>
    <w:p>
      <w:pPr>
        <w:pStyle w:val="Heading3"/>
      </w:pPr>
      <w:r>
        <w:t xml:space="preserve">11.2 Bash helpers (on analysis workstation)</w:t>
      </w:r>
    </w:p>
    <w:p>
      <w:pPr>
        <w:pStyle w:val="SourceCode"/>
      </w:pPr>
      <w:r>
        <w:rPr>
          <w:rStyle w:val="CommentTok"/>
        </w:rPr>
        <w:t xml:space="preserve"># Verify exported policy archive integrity (after UI download)</w:t>
      </w:r>
      <w:r>
        <w:br/>
      </w:r>
      <w:r>
        <w:rPr>
          <w:rStyle w:val="FunctionTok"/>
        </w:rPr>
        <w:t xml:space="preserve">sha256sum</w:t>
      </w:r>
      <w:r>
        <w:rPr>
          <w:rStyle w:val="NormalTok"/>
        </w:rPr>
        <w:t xml:space="preserve"> caf-</w:t>
      </w:r>
      <w:r>
        <w:rPr>
          <w:rStyle w:val="OperatorTok"/>
        </w:rPr>
        <w:t xml:space="preserve">&lt;</w:t>
      </w:r>
      <w:r>
        <w:rPr>
          <w:rStyle w:val="NormalTok"/>
        </w:rPr>
        <w:t xml:space="preserve">essfn</w:t>
      </w:r>
      <w:r>
        <w:rPr>
          <w:rStyle w:val="OperatorTok"/>
        </w:rPr>
        <w:t xml:space="preserve">&gt;</w:t>
      </w:r>
      <w:r>
        <w:rPr>
          <w:rStyle w:val="NormalTok"/>
        </w:rPr>
        <w:t xml:space="preserve">-policy-</w:t>
      </w:r>
      <w:r>
        <w:rPr>
          <w:rStyle w:val="PreprocessorTok"/>
        </w:rPr>
        <w:t xml:space="preserve">*</w:t>
      </w:r>
      <w:r>
        <w:rPr>
          <w:rStyle w:val="NormalTok"/>
        </w:rPr>
        <w:t xml:space="preserve">.json.gz</w:t>
      </w:r>
      <w:r>
        <w:br/>
      </w:r>
      <w:r>
        <w:br/>
      </w:r>
      <w:r>
        <w:rPr>
          <w:rStyle w:val="CommentTok"/>
        </w:rPr>
        <w:t xml:space="preserve"># Redact non-production subnets before sharing with an assessor</w:t>
      </w:r>
      <w:r>
        <w:br/>
      </w:r>
      <w:r>
        <w:rPr>
          <w:rStyle w:val="FunctionTok"/>
        </w:rPr>
        <w:t xml:space="preserve">sed</w:t>
      </w:r>
      <w:r>
        <w:rPr>
          <w:rStyle w:val="NormalTok"/>
        </w:rPr>
        <w:t xml:space="preserve"> </w:t>
      </w:r>
      <w:r>
        <w:rPr>
          <w:rStyle w:val="AttributeTok"/>
        </w:rPr>
        <w:t xml:space="preserve">-E</w:t>
      </w:r>
      <w:r>
        <w:rPr>
          <w:rStyle w:val="NormalTok"/>
        </w:rPr>
        <w:t xml:space="preserve"> </w:t>
      </w:r>
      <w:r>
        <w:rPr>
          <w:rStyle w:val="StringTok"/>
        </w:rPr>
        <w:t xml:space="preserve">'s/10\.99\.[0-9]+\.[0-9]+/10.99.x.x/g'</w:t>
      </w:r>
      <w:r>
        <w:rPr>
          <w:rStyle w:val="NormalTok"/>
        </w:rPr>
        <w:t xml:space="preserve"> adm-</w:t>
      </w:r>
      <w:r>
        <w:rPr>
          <w:rStyle w:val="OperatorTok"/>
        </w:rPr>
        <w:t xml:space="preserve">&lt;</w:t>
      </w:r>
      <w:r>
        <w:rPr>
          <w:rStyle w:val="NormalTok"/>
        </w:rPr>
        <w:t xml:space="preserve">essfn</w:t>
      </w:r>
      <w:r>
        <w:rPr>
          <w:rStyle w:val="OperatorTok"/>
        </w:rPr>
        <w:t xml:space="preserve">&gt;</w:t>
      </w:r>
      <w:r>
        <w:rPr>
          <w:rStyle w:val="NormalTok"/>
        </w:rPr>
        <w:t xml:space="preserve">.txt </w:t>
      </w:r>
      <w:r>
        <w:rPr>
          <w:rStyle w:val="OperatorTok"/>
        </w:rPr>
        <w:t xml:space="preserve">&gt;</w:t>
      </w:r>
      <w:r>
        <w:rPr>
          <w:rStyle w:val="NormalTok"/>
        </w:rPr>
        <w:t xml:space="preserve"> adm-</w:t>
      </w:r>
      <w:r>
        <w:rPr>
          <w:rStyle w:val="OperatorTok"/>
        </w:rPr>
        <w:t xml:space="preserve">&lt;</w:t>
      </w:r>
      <w:r>
        <w:rPr>
          <w:rStyle w:val="NormalTok"/>
        </w:rPr>
        <w:t xml:space="preserve">essfn</w:t>
      </w:r>
      <w:r>
        <w:rPr>
          <w:rStyle w:val="OperatorTok"/>
        </w:rPr>
        <w:t xml:space="preserve">&gt;</w:t>
      </w:r>
      <w:r>
        <w:rPr>
          <w:rStyle w:val="NormalTok"/>
        </w:rPr>
        <w:t xml:space="preserve">.redacted.txt</w:t>
      </w:r>
      <w:r>
        <w:br/>
      </w:r>
      <w:r>
        <w:br/>
      </w:r>
      <w:r>
        <w:rPr>
          <w:rStyle w:val="CommentTok"/>
        </w:rPr>
        <w:t xml:space="preserve"># Generate a per-principle evidence-index CSV from a manifest</w:t>
      </w:r>
      <w:r>
        <w:br/>
      </w:r>
      <w:r>
        <w:rPr>
          <w:rStyle w:val="FunctionTok"/>
        </w:rPr>
        <w:t xml:space="preserve">awk</w:t>
      </w:r>
      <w:r>
        <w:rPr>
          <w:rStyle w:val="NormalTok"/>
        </w:rPr>
        <w:t xml:space="preserve"> </w:t>
      </w:r>
      <w:r>
        <w:rPr>
          <w:rStyle w:val="AttributeTok"/>
        </w:rPr>
        <w:t xml:space="preserve">-F,</w:t>
      </w:r>
      <w:r>
        <w:rPr>
          <w:rStyle w:val="NormalTok"/>
        </w:rPr>
        <w:t xml:space="preserve"> </w:t>
      </w:r>
      <w:r>
        <w:rPr>
          <w:rStyle w:val="StringTok"/>
        </w:rPr>
        <w:t xml:space="preserve">'NR&gt;1 {print $1","$2","$3}'</w:t>
      </w:r>
      <w:r>
        <w:rPr>
          <w:rStyle w:val="NormalTok"/>
        </w:rPr>
        <w:t xml:space="preserve"> evidence-manifest.csv </w:t>
      </w:r>
      <w:r>
        <w:rPr>
          <w:rStyle w:val="OperatorTok"/>
        </w:rPr>
        <w:t xml:space="preserve">&gt;</w:t>
      </w:r>
      <w:r>
        <w:rPr>
          <w:rStyle w:val="NormalTok"/>
        </w:rPr>
        <w:t xml:space="preserve"> caf-evidence-index.csv</w:t>
      </w:r>
    </w:p>
    <w:p>
      <w:r>
        <w:pict>
          <v:rect style="width:0;height:1.5pt" o:hralign="center" o:hrstd="t" o:hr="t"/>
        </w:pict>
      </w:r>
    </w:p>
    <w:bookmarkEnd w:id="50"/>
    <w:bookmarkEnd w:id="51"/>
    <w:bookmarkStart w:id="62" w:name="related-frameworks"/>
    <w:p>
      <w:pPr>
        <w:pStyle w:val="Heading2"/>
      </w:pPr>
      <w:r>
        <w:t xml:space="preserve">Related Frameworks</w:t>
      </w:r>
    </w:p>
    <w:p>
      <w:pPr>
        <w:pStyle w:val="Compact"/>
        <w:numPr>
          <w:ilvl w:val="0"/>
          <w:numId w:val="1054"/>
        </w:numPr>
      </w:pPr>
      <w:hyperlink r:id="rId52">
        <w:r>
          <w:rPr>
            <w:rStyle w:val="Hyperlink"/>
          </w:rPr>
          <w:t xml:space="preserve">NIS2 (EU 2022/2555)</w:t>
        </w:r>
      </w:hyperlink>
      <w:r>
        <w:t xml:space="preserve"> </w:t>
      </w:r>
      <w:r>
        <w:t xml:space="preserve">— EU parallel to the UK NIS regime; Article 21(2) measures overlap heavily with CAF Objectives A–D.</w:t>
      </w:r>
    </w:p>
    <w:p>
      <w:pPr>
        <w:pStyle w:val="Compact"/>
        <w:numPr>
          <w:ilvl w:val="0"/>
          <w:numId w:val="1054"/>
        </w:numPr>
      </w:pPr>
      <w:hyperlink r:id="rId53">
        <w:r>
          <w:rPr>
            <w:rStyle w:val="Hyperlink"/>
          </w:rPr>
          <w:t xml:space="preserve">NIST SP 800-82 Rev. 3</w:t>
        </w:r>
      </w:hyperlink>
      <w:r>
        <w:t xml:space="preserve"> </w:t>
      </w:r>
      <w:r>
        <w:t xml:space="preserve">— OT security guidance underpinning the IT/OT boundary approach in CAF B5.</w:t>
      </w:r>
    </w:p>
    <w:p>
      <w:pPr>
        <w:pStyle w:val="Compact"/>
        <w:numPr>
          <w:ilvl w:val="0"/>
          <w:numId w:val="1054"/>
        </w:numPr>
      </w:pPr>
      <w:hyperlink r:id="rId54">
        <w:r>
          <w:rPr>
            <w:rStyle w:val="Hyperlink"/>
          </w:rPr>
          <w:t xml:space="preserve">IEC 62443</w:t>
        </w:r>
      </w:hyperlink>
      <w:r>
        <w:t xml:space="preserve"> </w:t>
      </w:r>
      <w:r>
        <w:t xml:space="preserve">— IACS zones-and-conduits reference used by many CAF operators for OT segmentation.</w:t>
      </w:r>
    </w:p>
    <w:p>
      <w:pPr>
        <w:pStyle w:val="Compact"/>
        <w:numPr>
          <w:ilvl w:val="0"/>
          <w:numId w:val="1054"/>
        </w:numPr>
      </w:pPr>
      <w:hyperlink r:id="rId55">
        <w:r>
          <w:rPr>
            <w:rStyle w:val="Hyperlink"/>
          </w:rPr>
          <w:t xml:space="preserve">NERC CIP</w:t>
        </w:r>
      </w:hyperlink>
      <w:r>
        <w:t xml:space="preserve"> </w:t>
      </w:r>
      <w:r>
        <w:t xml:space="preserve">— US analogue for BES entities; useful cross-walk if you operate on both sides of the Atlantic.</w:t>
      </w:r>
    </w:p>
    <w:p>
      <w:pPr>
        <w:pStyle w:val="Compact"/>
        <w:numPr>
          <w:ilvl w:val="0"/>
          <w:numId w:val="1054"/>
        </w:numPr>
      </w:pPr>
      <w:hyperlink r:id="rId56">
        <w:r>
          <w:rPr>
            <w:rStyle w:val="Hyperlink"/>
          </w:rPr>
          <w:t xml:space="preserve">NIST CSF 2.0</w:t>
        </w:r>
      </w:hyperlink>
      <w:r>
        <w:t xml:space="preserve"> </w:t>
      </w:r>
      <w:r>
        <w:t xml:space="preserve">— outcome-based framework with a similar Govern / Identify / Protect / Detect / Respond / Recover structure.</w:t>
      </w:r>
    </w:p>
    <w:p>
      <w:pPr>
        <w:pStyle w:val="Compact"/>
        <w:numPr>
          <w:ilvl w:val="0"/>
          <w:numId w:val="1054"/>
        </w:numPr>
      </w:pPr>
      <w:hyperlink r:id="rId57">
        <w:r>
          <w:rPr>
            <w:rStyle w:val="Hyperlink"/>
          </w:rPr>
          <w:t xml:space="preserve">ISO/IEC 27001:2022</w:t>
        </w:r>
      </w:hyperlink>
      <w:r>
        <w:t xml:space="preserve"> </w:t>
      </w:r>
      <w:r>
        <w:t xml:space="preserve">— ISMS backbone many UK operators already run alongside CAF.</w:t>
      </w:r>
    </w:p>
    <w:p>
      <w:pPr>
        <w:pStyle w:val="Compact"/>
        <w:numPr>
          <w:ilvl w:val="0"/>
          <w:numId w:val="1054"/>
        </w:numPr>
      </w:pPr>
      <w:hyperlink r:id="rId58">
        <w:r>
          <w:rPr>
            <w:rStyle w:val="Hyperlink"/>
          </w:rPr>
          <w:t xml:space="preserve">CISA Zero Trust Maturity Model</w:t>
        </w:r>
      </w:hyperlink>
      <w:r>
        <w:t xml:space="preserve"> </w:t>
      </w:r>
      <w:r>
        <w:t xml:space="preserve">— pillar-based reference used to characterise CAF B2 / B5 maturity.</w:t>
      </w:r>
    </w:p>
    <w:p>
      <w:pPr>
        <w:pStyle w:val="Compact"/>
        <w:numPr>
          <w:ilvl w:val="0"/>
          <w:numId w:val="1054"/>
        </w:numPr>
      </w:pPr>
      <w:hyperlink r:id="rId59">
        <w:r>
          <w:rPr>
            <w:rStyle w:val="Hyperlink"/>
          </w:rPr>
          <w:t xml:space="preserve">UK Cyber Essentials</w:t>
        </w:r>
      </w:hyperlink>
      <w:r>
        <w:t xml:space="preserve"> </w:t>
      </w:r>
      <w:r>
        <w:t xml:space="preserve">— UK baseline control set often paired with CAF for supply-chain assurance under A4.</w:t>
      </w:r>
    </w:p>
    <w:p>
      <w:r>
        <w:pict>
          <v:rect style="width:0;height:1.5pt" o:hralign="center" o:hrstd="t" o:hr="t"/>
        </w:pict>
      </w:r>
    </w:p>
    <w:bookmarkStart w:id="60" w:name="X5432ca648a2bf8146145afb434d63dce6dfb6a8"/>
    <w:p>
      <w:pPr>
        <w:pStyle w:val="Heading3"/>
      </w:pPr>
      <w:r>
        <w:t xml:space="preserve">Appendix A — Sample essential-function policy fragment (illustrative)</w:t>
      </w:r>
    </w:p>
    <w:p>
      <w:pPr>
        <w:pStyle w:val="BlockText"/>
      </w:pPr>
      <w:r>
        <w:rPr>
          <w:b/>
          <w:bCs/>
        </w:rPr>
        <w:t xml:space="preserve">Do not paste verbatim into production.</w:t>
      </w:r>
      <w:r>
        <w:t xml:space="preserve"> </w:t>
      </w:r>
      <w:r>
        <w:t xml:space="preserve">Replace scope names, addresses, and services with values from your architecture. Syntax is conceptual; exact API/UI format follows the CSW product version.</w:t>
      </w:r>
    </w:p>
    <w:p>
      <w:pPr>
        <w:pStyle w:val="SourceCode"/>
      </w:pPr>
      <w:r>
        <w:rPr>
          <w:rStyle w:val="FunctionTok"/>
        </w:rPr>
        <w:t xml:space="preserve">workspace</w:t>
      </w:r>
      <w:r>
        <w:rPr>
          <w:rStyle w:val="KeywordTok"/>
        </w:rPr>
        <w:t xml:space="preserve">:</w:t>
      </w:r>
      <w:r>
        <w:rPr>
          <w:rStyle w:val="AttributeTok"/>
        </w:rPr>
        <w:t xml:space="preserve"> CAF-EssFn-Water-Treatment-Site-A</w:t>
      </w:r>
      <w:r>
        <w:br/>
      </w:r>
      <w:r>
        <w:rPr>
          <w:rStyle w:val="FunctionTok"/>
        </w:rPr>
        <w:t xml:space="preserve">mode</w:t>
      </w:r>
      <w:r>
        <w:rPr>
          <w:rStyle w:val="KeywordTok"/>
        </w:rPr>
        <w:t xml:space="preserve">:</w:t>
      </w:r>
      <w:r>
        <w:rPr>
          <w:rStyle w:val="AttributeTok"/>
        </w:rPr>
        <w:t xml:space="preserve"> simulation</w:t>
      </w:r>
      <w:r>
        <w:rPr>
          <w:rStyle w:val="CommentTok"/>
        </w:rPr>
        <w:t xml:space="preserve">           # move to enforcement after change-board sign-off + 1 week clean simulation</w:t>
      </w:r>
      <w:r>
        <w:br/>
      </w:r>
      <w:r>
        <w:rPr>
          <w:rStyle w:val="FunctionTok"/>
        </w:rPr>
        <w:t xml:space="preserve">default_action</w:t>
      </w:r>
      <w:r>
        <w:rPr>
          <w:rStyle w:val="KeywordTok"/>
        </w:rPr>
        <w:t xml:space="preserve">:</w:t>
      </w:r>
      <w:r>
        <w:rPr>
          <w:rStyle w:val="AttributeTok"/>
        </w:rPr>
        <w:t xml:space="preserve"> deny</w:t>
      </w:r>
      <w:r>
        <w:br/>
      </w:r>
      <w:r>
        <w:rPr>
          <w:rStyle w:val="FunctionTok"/>
        </w:rPr>
        <w:t xml:space="preserve">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historian-pull-from-scada</w:t>
      </w:r>
      <w:r>
        <w:br/>
      </w:r>
      <w:r>
        <w:rPr>
          <w:rStyle w:val="AttributeTok"/>
        </w:rPr>
        <w:t xml:space="preserve">    </w:t>
      </w:r>
      <w:r>
        <w:rPr>
          <w:rStyle w:val="FunctionTok"/>
        </w:rPr>
        <w:t xml:space="preserve">action</w:t>
      </w:r>
      <w:r>
        <w:rPr>
          <w:rStyle w:val="KeywordTok"/>
        </w:rPr>
        <w:t xml:space="preserve">:</w:t>
      </w:r>
      <w:r>
        <w:rPr>
          <w:rStyle w:val="AttributeTok"/>
        </w:rPr>
        <w:t xml:space="preserve"> allow</w:t>
      </w:r>
      <w:r>
        <w:br/>
      </w:r>
      <w:r>
        <w:rPr>
          <w:rStyle w:val="AttributeTok"/>
        </w:rPr>
        <w:t xml:space="preserve">    </w:t>
      </w:r>
      <w:r>
        <w:rPr>
          <w:rStyle w:val="FunctionTok"/>
        </w:rPr>
        <w:t xml:space="preserve">src_scope</w:t>
      </w:r>
      <w:r>
        <w:rPr>
          <w:rStyle w:val="KeywordTok"/>
        </w:rPr>
        <w:t xml:space="preserve">:</w:t>
      </w:r>
      <w:r>
        <w:rPr>
          <w:rStyle w:val="AttributeTok"/>
        </w:rPr>
        <w:t xml:space="preserve"> EssFn-Water-Treatment-Site-A/OT-Support-Tier/Historian</w:t>
      </w:r>
      <w:r>
        <w:br/>
      </w:r>
      <w:r>
        <w:rPr>
          <w:rStyle w:val="AttributeTok"/>
        </w:rPr>
        <w:t xml:space="preserve">    </w:t>
      </w:r>
      <w:r>
        <w:rPr>
          <w:rStyle w:val="FunctionTok"/>
        </w:rPr>
        <w:t xml:space="preserve">dst_scope</w:t>
      </w:r>
      <w:r>
        <w:rPr>
          <w:rStyle w:val="KeywordTok"/>
        </w:rPr>
        <w:t xml:space="preserve">:</w:t>
      </w:r>
      <w:r>
        <w:rPr>
          <w:rStyle w:val="AttributeTok"/>
        </w:rPr>
        <w:t xml:space="preserve"> EssFn-Water-Treatment-Site-A/IT-OT-DMZ/SCADA-Broker</w:t>
      </w:r>
      <w:r>
        <w:br/>
      </w:r>
      <w:r>
        <w:rPr>
          <w:rStyle w:val="AttributeTok"/>
        </w:rPr>
        <w:t xml:space="preserve">    </w:t>
      </w:r>
      <w:r>
        <w:rPr>
          <w:rStyle w:val="FunctionTok"/>
        </w:rPr>
        <w:t xml:space="preserve">services</w:t>
      </w:r>
      <w:r>
        <w:rPr>
          <w:rStyle w:val="KeywordTok"/>
        </w:rPr>
        <w:t xml:space="preserve">:</w:t>
      </w:r>
      <w:r>
        <w:br/>
      </w:r>
      <w:r>
        <w:rPr>
          <w:rStyle w:val="AttributeTok"/>
        </w:rPr>
        <w:t xml:space="preserve">      </w:t>
      </w:r>
      <w:r>
        <w:rPr>
          <w:rStyle w:val="KeywordTok"/>
        </w:rPr>
        <w:t xml:space="preserve">-</w:t>
      </w:r>
      <w:r>
        <w:rPr>
          <w:rStyle w:val="AttributeTok"/>
        </w:rPr>
        <w:t xml:space="preserve"> tcp/4840</w:t>
      </w:r>
      <w:r>
        <w:rPr>
          <w:rStyle w:val="CommentTok"/>
        </w:rPr>
        <w:t xml:space="preserve">        # OPC UA</w:t>
      </w:r>
      <w:r>
        <w:br/>
      </w:r>
      <w:r>
        <w:rPr>
          <w:rStyle w:val="AttributeTok"/>
        </w:rPr>
        <w:t xml:space="preserve">      </w:t>
      </w:r>
      <w:r>
        <w:rPr>
          <w:rStyle w:val="KeywordTok"/>
        </w:rPr>
        <w:t xml:space="preserve">-</w:t>
      </w:r>
      <w:r>
        <w:rPr>
          <w:rStyle w:val="AttributeTok"/>
        </w:rPr>
        <w:t xml:space="preserve"> tcp/1883</w:t>
      </w:r>
      <w:r>
        <w:rPr>
          <w:rStyle w:val="CommentTok"/>
        </w:rPr>
        <w:t xml:space="preserve">        # MQTT (documented conduit only)</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patch-push-from-shared</w:t>
      </w:r>
      <w:r>
        <w:br/>
      </w:r>
      <w:r>
        <w:rPr>
          <w:rStyle w:val="AttributeTok"/>
        </w:rPr>
        <w:t xml:space="preserve">    </w:t>
      </w:r>
      <w:r>
        <w:rPr>
          <w:rStyle w:val="FunctionTok"/>
        </w:rPr>
        <w:t xml:space="preserve">action</w:t>
      </w:r>
      <w:r>
        <w:rPr>
          <w:rStyle w:val="KeywordTok"/>
        </w:rPr>
        <w:t xml:space="preserve">:</w:t>
      </w:r>
      <w:r>
        <w:rPr>
          <w:rStyle w:val="AttributeTok"/>
        </w:rPr>
        <w:t xml:space="preserve"> allow</w:t>
      </w:r>
      <w:r>
        <w:br/>
      </w:r>
      <w:r>
        <w:rPr>
          <w:rStyle w:val="AttributeTok"/>
        </w:rPr>
        <w:t xml:space="preserve">    </w:t>
      </w:r>
      <w:r>
        <w:rPr>
          <w:rStyle w:val="FunctionTok"/>
        </w:rPr>
        <w:t xml:space="preserve">src_scope</w:t>
      </w:r>
      <w:r>
        <w:rPr>
          <w:rStyle w:val="KeywordTok"/>
        </w:rPr>
        <w:t xml:space="preserve">:</w:t>
      </w:r>
      <w:r>
        <w:rPr>
          <w:rStyle w:val="AttributeTok"/>
        </w:rPr>
        <w:t xml:space="preserve"> Shared-Services/Patch</w:t>
      </w:r>
      <w:r>
        <w:br/>
      </w:r>
      <w:r>
        <w:rPr>
          <w:rStyle w:val="AttributeTok"/>
        </w:rPr>
        <w:t xml:space="preserve">    </w:t>
      </w:r>
      <w:r>
        <w:rPr>
          <w:rStyle w:val="FunctionTok"/>
        </w:rPr>
        <w:t xml:space="preserve">dst_scope</w:t>
      </w:r>
      <w:r>
        <w:rPr>
          <w:rStyle w:val="KeywordTok"/>
        </w:rPr>
        <w:t xml:space="preserve">:</w:t>
      </w:r>
      <w:r>
        <w:rPr>
          <w:rStyle w:val="AttributeTok"/>
        </w:rPr>
        <w:t xml:space="preserve"> EssFn-Water-Treatment-Site-A/OT-Support-Tier</w:t>
      </w:r>
      <w:r>
        <w:br/>
      </w:r>
      <w:r>
        <w:rPr>
          <w:rStyle w:val="AttributeTok"/>
        </w:rPr>
        <w:t xml:space="preserve">    </w:t>
      </w:r>
      <w:r>
        <w:rPr>
          <w:rStyle w:val="FunctionTok"/>
        </w:rPr>
        <w:t xml:space="preserve">services</w:t>
      </w:r>
      <w:r>
        <w:rPr>
          <w:rStyle w:val="KeywordTok"/>
        </w:rPr>
        <w:t xml:space="preserve">:</w:t>
      </w:r>
      <w:r>
        <w:br/>
      </w:r>
      <w:r>
        <w:rPr>
          <w:rStyle w:val="AttributeTok"/>
        </w:rPr>
        <w:t xml:space="preserve">      </w:t>
      </w:r>
      <w:r>
        <w:rPr>
          <w:rStyle w:val="KeywordTok"/>
        </w:rPr>
        <w:t xml:space="preserve">-</w:t>
      </w:r>
      <w:r>
        <w:rPr>
          <w:rStyle w:val="AttributeTok"/>
        </w:rPr>
        <w:t xml:space="preserve"> tcp/443</w:t>
      </w:r>
      <w:r>
        <w:br/>
      </w:r>
      <w:r>
        <w:rPr>
          <w:rStyle w:val="AttributeTok"/>
        </w:rPr>
        <w:t xml:space="preserve">    </w:t>
      </w:r>
      <w:r>
        <w:rPr>
          <w:rStyle w:val="FunctionTok"/>
        </w:rPr>
        <w:t xml:space="preserve">schedule</w:t>
      </w:r>
      <w:r>
        <w:rPr>
          <w:rStyle w:val="KeywordTok"/>
        </w:rPr>
        <w:t xml:space="preserve">:</w:t>
      </w:r>
      <w:r>
        <w:rPr>
          <w:rStyle w:val="AttributeTok"/>
        </w:rPr>
        <w:t xml:space="preserve"> change-window-only</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jump-host-admin</w:t>
      </w:r>
      <w:r>
        <w:br/>
      </w:r>
      <w:r>
        <w:rPr>
          <w:rStyle w:val="AttributeTok"/>
        </w:rPr>
        <w:t xml:space="preserve">    </w:t>
      </w:r>
      <w:r>
        <w:rPr>
          <w:rStyle w:val="FunctionTok"/>
        </w:rPr>
        <w:t xml:space="preserve">action</w:t>
      </w:r>
      <w:r>
        <w:rPr>
          <w:rStyle w:val="KeywordTok"/>
        </w:rPr>
        <w:t xml:space="preserve">:</w:t>
      </w:r>
      <w:r>
        <w:rPr>
          <w:rStyle w:val="AttributeTok"/>
        </w:rPr>
        <w:t xml:space="preserve"> allow</w:t>
      </w:r>
      <w:r>
        <w:br/>
      </w:r>
      <w:r>
        <w:rPr>
          <w:rStyle w:val="AttributeTok"/>
        </w:rPr>
        <w:t xml:space="preserve">    </w:t>
      </w:r>
      <w:r>
        <w:rPr>
          <w:rStyle w:val="FunctionTok"/>
        </w:rPr>
        <w:t xml:space="preserve">src_scope</w:t>
      </w:r>
      <w:r>
        <w:rPr>
          <w:rStyle w:val="KeywordTok"/>
        </w:rPr>
        <w:t xml:space="preserve">:</w:t>
      </w:r>
      <w:r>
        <w:rPr>
          <w:rStyle w:val="AttributeTok"/>
        </w:rPr>
        <w:t xml:space="preserve"> Shared-Services/Jump-Hosts</w:t>
      </w:r>
      <w:r>
        <w:br/>
      </w:r>
      <w:r>
        <w:rPr>
          <w:rStyle w:val="AttributeTok"/>
        </w:rPr>
        <w:t xml:space="preserve">    </w:t>
      </w:r>
      <w:r>
        <w:rPr>
          <w:rStyle w:val="FunctionTok"/>
        </w:rPr>
        <w:t xml:space="preserve">dst_scope</w:t>
      </w:r>
      <w:r>
        <w:rPr>
          <w:rStyle w:val="KeywordTok"/>
        </w:rPr>
        <w:t xml:space="preserve">:</w:t>
      </w:r>
      <w:r>
        <w:rPr>
          <w:rStyle w:val="AttributeTok"/>
        </w:rPr>
        <w:t xml:space="preserve"> EssFn-Water-Treatment-Site-A/OT-Support-Tier</w:t>
      </w:r>
      <w:r>
        <w:br/>
      </w:r>
      <w:r>
        <w:rPr>
          <w:rStyle w:val="AttributeTok"/>
        </w:rPr>
        <w:t xml:space="preserve">    </w:t>
      </w:r>
      <w:r>
        <w:rPr>
          <w:rStyle w:val="FunctionTok"/>
        </w:rPr>
        <w:t xml:space="preserve">services</w:t>
      </w:r>
      <w:r>
        <w:rPr>
          <w:rStyle w:val="KeywordTok"/>
        </w:rPr>
        <w:t xml:space="preserve">:</w:t>
      </w:r>
      <w:r>
        <w:br/>
      </w:r>
      <w:r>
        <w:rPr>
          <w:rStyle w:val="AttributeTok"/>
        </w:rPr>
        <w:t xml:space="preserve">      </w:t>
      </w:r>
      <w:r>
        <w:rPr>
          <w:rStyle w:val="KeywordTok"/>
        </w:rPr>
        <w:t xml:space="preserve">-</w:t>
      </w:r>
      <w:r>
        <w:rPr>
          <w:rStyle w:val="AttributeTok"/>
        </w:rPr>
        <w:t xml:space="preserve"> tcp/22</w:t>
      </w:r>
      <w:r>
        <w:br/>
      </w:r>
      <w:r>
        <w:rPr>
          <w:rStyle w:val="AttributeTok"/>
        </w:rPr>
        <w:t xml:space="preserve">      </w:t>
      </w:r>
      <w:r>
        <w:rPr>
          <w:rStyle w:val="KeywordTok"/>
        </w:rPr>
        <w:t xml:space="preserve">-</w:t>
      </w:r>
      <w:r>
        <w:rPr>
          <w:rStyle w:val="AttributeTok"/>
        </w:rPr>
        <w:t xml:space="preserve"> tcp/3389</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deny-corp-to-essfn</w:t>
      </w:r>
      <w:r>
        <w:br/>
      </w:r>
      <w:r>
        <w:rPr>
          <w:rStyle w:val="AttributeTok"/>
        </w:rPr>
        <w:t xml:space="preserve">    </w:t>
      </w:r>
      <w:r>
        <w:rPr>
          <w:rStyle w:val="FunctionTok"/>
        </w:rPr>
        <w:t xml:space="preserve">action</w:t>
      </w:r>
      <w:r>
        <w:rPr>
          <w:rStyle w:val="KeywordTok"/>
        </w:rPr>
        <w:t xml:space="preserve">:</w:t>
      </w:r>
      <w:r>
        <w:rPr>
          <w:rStyle w:val="AttributeTok"/>
        </w:rPr>
        <w:t xml:space="preserve"> deny</w:t>
      </w:r>
      <w:r>
        <w:br/>
      </w:r>
      <w:r>
        <w:rPr>
          <w:rStyle w:val="AttributeTok"/>
        </w:rPr>
        <w:t xml:space="preserve">    </w:t>
      </w:r>
      <w:r>
        <w:rPr>
          <w:rStyle w:val="FunctionTok"/>
        </w:rPr>
        <w:t xml:space="preserve">src_scope</w:t>
      </w:r>
      <w:r>
        <w:rPr>
          <w:rStyle w:val="KeywordTok"/>
        </w:rPr>
        <w:t xml:space="preserve">:</w:t>
      </w:r>
      <w:r>
        <w:rPr>
          <w:rStyle w:val="AttributeTok"/>
        </w:rPr>
        <w:t xml:space="preserve"> Corporate-IT</w:t>
      </w:r>
      <w:r>
        <w:br/>
      </w:r>
      <w:r>
        <w:rPr>
          <w:rStyle w:val="AttributeTok"/>
        </w:rPr>
        <w:t xml:space="preserve">    </w:t>
      </w:r>
      <w:r>
        <w:rPr>
          <w:rStyle w:val="FunctionTok"/>
        </w:rPr>
        <w:t xml:space="preserve">dst_scope</w:t>
      </w:r>
      <w:r>
        <w:rPr>
          <w:rStyle w:val="KeywordTok"/>
        </w:rPr>
        <w:t xml:space="preserve">:</w:t>
      </w:r>
      <w:r>
        <w:rPr>
          <w:rStyle w:val="AttributeTok"/>
        </w:rPr>
        <w:t xml:space="preserve"> EssFn-Water-Treatment-Site-A</w:t>
      </w:r>
      <w:r>
        <w:br/>
      </w:r>
      <w:r>
        <w:rPr>
          <w:rStyle w:val="AttributeTok"/>
        </w:rPr>
        <w:t xml:space="preserve">    </w:t>
      </w:r>
      <w:r>
        <w:rPr>
          <w:rStyle w:val="FunctionTok"/>
        </w:rPr>
        <w:t xml:space="preserve">log</w:t>
      </w:r>
      <w:r>
        <w:rPr>
          <w:rStyle w:val="KeywordTok"/>
        </w:rPr>
        <w:t xml:space="preserve">:</w:t>
      </w:r>
      <w:r>
        <w:rPr>
          <w:rStyle w:val="AttributeTok"/>
        </w:rPr>
        <w:t xml:space="preserve"> </w:t>
      </w:r>
      <w:r>
        <w:rPr>
          <w:rStyle w:val="CharTok"/>
        </w:rPr>
        <w:t xml:space="preserve">true</w:t>
      </w:r>
      <w:r>
        <w:rPr>
          <w:rStyle w:val="CommentTok"/>
        </w:rPr>
        <w:t xml:space="preserve">             # supports C1 evidence and D1 forensic timeline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alert-unknown-east-west</w:t>
      </w:r>
      <w:r>
        <w:br/>
      </w:r>
      <w:r>
        <w:rPr>
          <w:rStyle w:val="AttributeTok"/>
        </w:rPr>
        <w:t xml:space="preserve">    </w:t>
      </w:r>
      <w:r>
        <w:rPr>
          <w:rStyle w:val="FunctionTok"/>
        </w:rPr>
        <w:t xml:space="preserve">action</w:t>
      </w:r>
      <w:r>
        <w:rPr>
          <w:rStyle w:val="KeywordTok"/>
        </w:rPr>
        <w:t xml:space="preserve">:</w:t>
      </w:r>
      <w:r>
        <w:rPr>
          <w:rStyle w:val="AttributeTok"/>
        </w:rPr>
        <w:t xml:space="preserve"> alert</w:t>
      </w:r>
      <w:r>
        <w:br/>
      </w:r>
      <w:r>
        <w:rPr>
          <w:rStyle w:val="AttributeTok"/>
        </w:rPr>
        <w:t xml:space="preserve">    </w:t>
      </w:r>
      <w:r>
        <w:rPr>
          <w:rStyle w:val="FunctionTok"/>
        </w:rPr>
        <w:t xml:space="preserve">src_scope</w:t>
      </w:r>
      <w:r>
        <w:rPr>
          <w:rStyle w:val="KeywordTok"/>
        </w:rPr>
        <w:t xml:space="preserve">:</w:t>
      </w:r>
      <w:r>
        <w:rPr>
          <w:rStyle w:val="AttributeTok"/>
        </w:rPr>
        <w:t xml:space="preserve"> EssFn-Water-Treatment-Site-A</w:t>
      </w:r>
      <w:r>
        <w:br/>
      </w:r>
      <w:r>
        <w:rPr>
          <w:rStyle w:val="AttributeTok"/>
        </w:rPr>
        <w:t xml:space="preserve">    </w:t>
      </w:r>
      <w:r>
        <w:rPr>
          <w:rStyle w:val="FunctionTok"/>
        </w:rPr>
        <w:t xml:space="preserve">dst_scope</w:t>
      </w:r>
      <w:r>
        <w:rPr>
          <w:rStyle w:val="KeywordTok"/>
        </w:rPr>
        <w:t xml:space="preserve">:</w:t>
      </w:r>
      <w:r>
        <w:rPr>
          <w:rStyle w:val="AttributeTok"/>
        </w:rPr>
        <w:t xml:space="preserve"> EssFn-Water-Treatment-Site-A</w:t>
      </w:r>
      <w:r>
        <w:br/>
      </w:r>
      <w:r>
        <w:rPr>
          <w:rStyle w:val="AttributeTok"/>
        </w:rPr>
        <w:t xml:space="preserve">    </w:t>
      </w:r>
      <w:r>
        <w:rPr>
          <w:rStyle w:val="FunctionTok"/>
        </w:rPr>
        <w:t xml:space="preserve">match</w:t>
      </w:r>
      <w:r>
        <w:rPr>
          <w:rStyle w:val="KeywordTok"/>
        </w:rPr>
        <w:t xml:space="preserve">:</w:t>
      </w:r>
      <w:r>
        <w:rPr>
          <w:rStyle w:val="AttributeTok"/>
        </w:rPr>
        <w:t xml:space="preserve"> not_in_conduit_allowlist</w:t>
      </w:r>
    </w:p>
    <w:bookmarkEnd w:id="60"/>
    <w:bookmarkStart w:id="61" w:name="X15727ede1057f1316a84cc9eef390cb84ea998e"/>
    <w:p>
      <w:pPr>
        <w:pStyle w:val="Heading3"/>
      </w:pPr>
      <w:r>
        <w:t xml:space="preserve">Appendix B — CAF IGP maturity cheatsheet (CSW's contribution)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Move</w:t>
            </w:r>
          </w:p>
        </w:tc>
        <w:tc>
          <w:tcPr/>
          <w:p>
            <w:pPr>
              <w:pStyle w:val="Compact"/>
            </w:pPr>
            <w:r>
              <w:t xml:space="preserve">CSW contribution</w:t>
            </w:r>
          </w:p>
        </w:tc>
      </w:tr>
      <w:tr>
        <w:tc>
          <w:tcPr/>
          <w:p>
            <w:pPr>
              <w:pStyle w:val="Compact"/>
            </w:pPr>
            <w:r>
              <w:rPr>
                <w:b/>
                <w:bCs/>
              </w:rPr>
              <w:t xml:space="preserve">A3 Partially → Achieved</w:t>
            </w:r>
          </w:p>
        </w:tc>
        <w:tc>
          <w:tcPr/>
          <w:p>
            <w:pPr>
              <w:pStyle w:val="Compact"/>
            </w:pPr>
            <w:r>
              <w:t xml:space="preserve">Continuous inventory + CMDB reconciliation + agent-coverage report</w:t>
            </w:r>
          </w:p>
        </w:tc>
      </w:tr>
      <w:tr>
        <w:tc>
          <w:tcPr/>
          <w:p>
            <w:pPr>
              <w:pStyle w:val="Compact"/>
            </w:pPr>
            <w:r>
              <w:rPr>
                <w:b/>
                <w:bCs/>
              </w:rPr>
              <w:t xml:space="preserve">B5 Partially → Achieved</w:t>
            </w:r>
          </w:p>
        </w:tc>
        <w:tc>
          <w:tcPr/>
          <w:p>
            <w:pPr>
              <w:pStyle w:val="Compact"/>
            </w:pPr>
            <w:r>
              <w:t xml:space="preserve">ADM diagram (behaviour-derived) + workspace enforcement + Simulation clean-run evidence</w:t>
            </w:r>
          </w:p>
        </w:tc>
      </w:tr>
      <w:tr>
        <w:tc>
          <w:tcPr/>
          <w:p>
            <w:pPr>
              <w:pStyle w:val="Compact"/>
            </w:pPr>
            <w:r>
              <w:rPr>
                <w:b/>
                <w:bCs/>
              </w:rPr>
              <w:t xml:space="preserve">C1 Partially → Achieved</w:t>
            </w:r>
          </w:p>
        </w:tc>
        <w:tc>
          <w:tcPr/>
          <w:p>
            <w:pPr>
              <w:pStyle w:val="Compact"/>
            </w:pPr>
            <w:r>
              <w:t xml:space="preserve">Continuous flow/process telemetry + SIEM ingest proof + NTP drift report + retention screenshot</w:t>
            </w:r>
          </w:p>
        </w:tc>
      </w:tr>
      <w:tr>
        <w:tc>
          <w:tcPr/>
          <w:p>
            <w:pPr>
              <w:pStyle w:val="Compact"/>
            </w:pPr>
            <w:r>
              <w:rPr>
                <w:b/>
                <w:bCs/>
              </w:rPr>
              <w:t xml:space="preserve">C2 Partially → Achieved</w:t>
            </w:r>
          </w:p>
        </w:tc>
        <w:tc>
          <w:tcPr/>
          <w:p>
            <w:pPr>
              <w:pStyle w:val="Compact"/>
            </w:pPr>
            <w:r>
              <w:t xml:space="preserve">Anomaly alert catalog + reachability-weighted CVE report + threat-intel-fed workspace rules</w:t>
            </w:r>
          </w:p>
        </w:tc>
      </w:tr>
      <w:tr>
        <w:tc>
          <w:tcPr/>
          <w:p>
            <w:pPr>
              <w:pStyle w:val="Compact"/>
            </w:pPr>
            <w:r>
              <w:rPr>
                <w:b/>
                <w:bCs/>
              </w:rPr>
              <w:t xml:space="preserve">D1 Partially → Achieved (forensic pillar)</w:t>
            </w:r>
          </w:p>
        </w:tc>
        <w:tc>
          <w:tcPr/>
          <w:p>
            <w:pPr>
              <w:pStyle w:val="Compact"/>
            </w:pPr>
            <w:r>
              <w:t xml:space="preserve">Historical flow + process timeline + policy diff timeline as CIRP appendix</w:t>
            </w:r>
          </w:p>
        </w:tc>
      </w:tr>
    </w:tbl>
    <w:p>
      <w:r>
        <w:pict>
          <v:rect style="width:0;height:1.5pt" o:hralign="center" o:hrstd="t" o:hr="t"/>
        </w:pict>
      </w:r>
    </w:p>
    <w:bookmarkEnd w:id="61"/>
    <w:bookmarkEnd w:id="62"/>
    <w:bookmarkStart w:id="63" w:name="disclaimer"/>
    <w:p>
      <w:pPr>
        <w:pStyle w:val="Heading2"/>
      </w:pPr>
      <w:r>
        <w:t xml:space="preserve">Disclaimer</w:t>
      </w:r>
    </w:p>
    <w:p>
      <w:pPr>
        <w:pStyle w:val="FirstParagraph"/>
      </w:pPr>
      <w:r>
        <w:t xml:space="preserve">This runbook maps Cisco Secure Workload capabilities to the outcomes described in the UK NCSC Cyber Assessment Framework (CAF v3.2, November 2024) for the purpose of aiding operator evidence collection. It is</w:t>
      </w:r>
      <w:r>
        <w:t xml:space="preserve"> </w:t>
      </w:r>
      <w:r>
        <w:rPr>
          <w:b/>
          <w:bCs/>
        </w:rPr>
        <w:t xml:space="preserve">not</w:t>
      </w:r>
      <w:r>
        <w:t xml:space="preserve"> </w:t>
      </w:r>
      <w:r>
        <w:t xml:space="preserve">an NCSC-endorsed certification, is</w:t>
      </w:r>
      <w:r>
        <w:t xml:space="preserve"> </w:t>
      </w:r>
      <w:r>
        <w:rPr>
          <w:b/>
          <w:bCs/>
        </w:rPr>
        <w:t xml:space="preserve">not</w:t>
      </w:r>
      <w:r>
        <w:t xml:space="preserve"> </w:t>
      </w:r>
      <w:r>
        <w:t xml:space="preserve">a substitute for an independent CAF assessment or GovAssure engagement, and does</w:t>
      </w:r>
      <w:r>
        <w:t xml:space="preserve"> </w:t>
      </w:r>
      <w:r>
        <w:rPr>
          <w:b/>
          <w:bCs/>
        </w:rPr>
        <w:t xml:space="preserve">not</w:t>
      </w:r>
      <w:r>
        <w:t xml:space="preserve"> </w:t>
      </w:r>
      <w:r>
        <w:t xml:space="preserve">confer any IGP maturity status. Awarding of IGP status is the responsibility of the operator's Competent Authority (Ofgem, DWI, CAA, ORR, MCA, DfT, DHSC/NHS England, Ofcom, ICO) or GovAssure assessor. Cisco Secure Workload is one component of an evidence programme that also depends on organisational governance, procurement, HR, business continuity, and training controls outside CSW's technical scope. Confirm your sector profile and any Competent Authority-specific guidance before finalising evidence.</w:t>
      </w:r>
    </w:p>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1"/>
  </w:num>
  <w:num w:numId="1017">
    <w:abstractNumId w:val="991"/>
  </w:num>
  <w:num w:numId="1018">
    <w:abstractNumId w:val="991"/>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2"/>
  </w:num>
  <w:num w:numId="1030">
    <w:abstractNumId w:val="992"/>
  </w:num>
  <w:num w:numId="1031">
    <w:abstractNumId w:val="992"/>
  </w:num>
  <w:num w:numId="1032">
    <w:abstractNumId w:val="992"/>
  </w:num>
  <w:num w:numId="1033">
    <w:abstractNumId w:val="991"/>
  </w:num>
  <w:num w:numId="1034">
    <w:abstractNumId w:val="991"/>
  </w:num>
  <w:num w:numId="1035">
    <w:abstractNumId w:val="992"/>
  </w:num>
  <w:num w:numId="1036">
    <w:abstractNumId w:val="992"/>
  </w:num>
  <w:num w:numId="1037">
    <w:abstractNumId w:val="992"/>
  </w:num>
  <w:num w:numId="1038">
    <w:abstractNumId w:val="992"/>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8" Target="../CISA-ZeroTrust/CSW-CISA-ZTMM-Technical-Runbook.md" TargetMode="External" /><Relationship Type="http://schemas.openxmlformats.org/officeDocument/2006/relationships/hyperlink" Id="rId54" Target="../IEC-62443/CSW-IEC62443-Technical-Runbook.md" TargetMode="External" /><Relationship Type="http://schemas.openxmlformats.org/officeDocument/2006/relationships/hyperlink" Id="rId57" Target="../ISO-27001-2022/CSW-ISO27001-Technical-Runbook.md" TargetMode="External" /><Relationship Type="http://schemas.openxmlformats.org/officeDocument/2006/relationships/hyperlink" Id="rId55" Target="../NERC-CIP/CSW-NERC-CIP-Technical-Runbook.md" TargetMode="External" /><Relationship Type="http://schemas.openxmlformats.org/officeDocument/2006/relationships/hyperlink" Id="rId52" Target="../NIS2/CSW-NIS2-Technical-Runbook.md" TargetMode="External" /><Relationship Type="http://schemas.openxmlformats.org/officeDocument/2006/relationships/hyperlink" Id="rId53" Target="../NIST-800-82/CSW-NIST-800-82-Technical-Runbook.md" TargetMode="External" /><Relationship Type="http://schemas.openxmlformats.org/officeDocument/2006/relationships/hyperlink" Id="rId56" Target="../NIST-CSF-2/CSW-CSF-Technical-Runbook.md" TargetMode="External" /><Relationship Type="http://schemas.openxmlformats.org/officeDocument/2006/relationships/hyperlink" Id="rId59" Target="../UK-Cyber-Essentials/CSW-Cyber-Essentials-Technical-Runbook.md" TargetMode="External" /><Relationship Type="http://schemas.openxmlformats.org/officeDocument/2006/relationships/hyperlink" Id="rId12" Target="../docs/about-csw.md" TargetMode="External" /><Relationship Type="http://schemas.openxmlformats.org/officeDocument/2006/relationships/hyperlink" Id="rId11" Target="../docs/compliance-evidence-playbook.md" TargetMode="External" /></Relationships>
</file>

<file path=word/_rels/footnotes.xml.rels><?xml version="1.0" encoding="UTF-8"?><Relationships xmlns="http://schemas.openxmlformats.org/package/2006/relationships"><Relationship Type="http://schemas.openxmlformats.org/officeDocument/2006/relationships/hyperlink" Id="rId58" Target="../CISA-ZeroTrust/CSW-CISA-ZTMM-Technical-Runbook.md" TargetMode="External" /><Relationship Type="http://schemas.openxmlformats.org/officeDocument/2006/relationships/hyperlink" Id="rId54" Target="../IEC-62443/CSW-IEC62443-Technical-Runbook.md" TargetMode="External" /><Relationship Type="http://schemas.openxmlformats.org/officeDocument/2006/relationships/hyperlink" Id="rId57" Target="../ISO-27001-2022/CSW-ISO27001-Technical-Runbook.md" TargetMode="External" /><Relationship Type="http://schemas.openxmlformats.org/officeDocument/2006/relationships/hyperlink" Id="rId55" Target="../NERC-CIP/CSW-NERC-CIP-Technical-Runbook.md" TargetMode="External" /><Relationship Type="http://schemas.openxmlformats.org/officeDocument/2006/relationships/hyperlink" Id="rId52" Target="../NIS2/CSW-NIS2-Technical-Runbook.md" TargetMode="External" /><Relationship Type="http://schemas.openxmlformats.org/officeDocument/2006/relationships/hyperlink" Id="rId53" Target="../NIST-800-82/CSW-NIST-800-82-Technical-Runbook.md" TargetMode="External" /><Relationship Type="http://schemas.openxmlformats.org/officeDocument/2006/relationships/hyperlink" Id="rId56" Target="../NIST-CSF-2/CSW-CSF-Technical-Runbook.md" TargetMode="External" /><Relationship Type="http://schemas.openxmlformats.org/officeDocument/2006/relationships/hyperlink" Id="rId59" Target="../UK-Cyber-Essentials/CSW-Cyber-Essentials-Technical-Runbook.md" TargetMode="External" /><Relationship Type="http://schemas.openxmlformats.org/officeDocument/2006/relationships/hyperlink" Id="rId12" Target="../docs/about-csw.md" TargetMode="External" /><Relationship Type="http://schemas.openxmlformats.org/officeDocument/2006/relationships/hyperlink" Id="rId11" Target="../docs/compliance-evidence-playbook.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2026-09-23T18:18:33Z</dcterms:created>
  <dcterms:modified xsi:type="dcterms:W3CDTF">2026-09-23T18:18:33Z</dcterms:modified>
</cp:coreProperties>
</file>

<file path=docProps/custom.xml><?xml version="1.0" encoding="utf-8"?>
<Properties xmlns="http://schemas.openxmlformats.org/officeDocument/2006/custom-properties" xmlns:vt="http://schemas.openxmlformats.org/officeDocument/2006/docPropsVTypes"/>
</file>