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APRA CPS 234 Compliance Report</w:t>
      </w:r>
    </w:p>
    <w:bookmarkStart w:id="17" w:name="Xbc9f5f31b6267a6c792f3944ffcca8fd9a4b73d"/>
    <w:p>
      <w:pPr>
        <w:pStyle w:val="Heading1"/>
      </w:pPr>
      <w:r>
        <w:t xml:space="preserve">Cisco Secure Workload - APRA CPS 234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APRA CPS 234 - Information Security</w:t>
      </w:r>
      <w:r>
        <w:br/>
      </w:r>
      <w:r>
        <w:rPr>
          <w:b/>
          <w:bCs/>
        </w:rPr>
        <w:t xml:space="preserve">Primary audience:</w:t>
      </w:r>
      <w:r>
        <w:t xml:space="preserve"> </w:t>
      </w:r>
      <w:r>
        <w:t xml:space="preserve">Australian banks, insurers, superannuation trustees, and other APRA-regulated entities.</w:t>
      </w:r>
      <w:r>
        <w:br/>
      </w:r>
      <w:r>
        <w:rPr>
          <w:b/>
          <w:bCs/>
        </w:rPr>
        <w:t xml:space="preserve">CSW positioning:</w:t>
      </w:r>
      <w:r>
        <w:t xml:space="preserve"> </w:t>
      </w:r>
      <w:r>
        <w:t xml:space="preserve">Critical information asset visibility, control testing, service-provider dependency review, and incident scoping.</w:t>
      </w:r>
    </w:p>
    <w:p>
      <w:r>
        <w:pict>
          <v:rect style="width:0;height:1.5pt" o:hralign="center" o:hrstd="t" o:hr="t"/>
        </w:pict>
      </w:r>
    </w:p>
    <w:bookmarkEnd w:id="9"/>
    <w:bookmarkStart w:id="10" w:name="executive-summary"/>
    <w:p>
      <w:pPr>
        <w:pStyle w:val="Heading2"/>
      </w:pPr>
      <w:r>
        <w:t xml:space="preserve">Executive Summary</w:t>
      </w:r>
    </w:p>
    <w:p>
      <w:pPr>
        <w:pStyle w:val="FirstParagraph"/>
      </w:pPr>
      <w:r>
        <w:t xml:space="preserve">Cisco Secure Workload (CSW) can support this framework by producing workload-level evidence for inventory, application dependency mapping, segmentation design, policy simulation, vulnerability context, and incident investigation. The strongest customer story is not that CSW</w:t>
      </w:r>
      <w:r>
        <w:t xml:space="preserve"> </w:t>
      </w:r>
      <w:r>
        <w:t xml:space="preserve">“certifies”</w:t>
      </w:r>
      <w:r>
        <w:t xml:space="preserve"> </w:t>
      </w:r>
      <w:r>
        <w:t xml:space="preserve">compliance; it is that CSW turns workload communication into evidence that control owners, assessors, and technical teams can review.</w:t>
      </w:r>
    </w:p>
    <w:bookmarkEnd w:id="10"/>
    <w:bookmarkStart w:id="11" w:name="suggested-csw-scope-pattern"/>
    <w:p>
      <w:pPr>
        <w:pStyle w:val="Heading2"/>
      </w:pPr>
      <w:r>
        <w:t xml:space="preserve">Suggested CSW Scope Pattern</w:t>
      </w:r>
    </w:p>
    <w:p>
      <w:pPr>
        <w:pStyle w:val="FirstParagraph"/>
      </w:pPr>
      <w:r>
        <w:rPr>
          <w:rStyle w:val="VerbatimChar"/>
        </w:rPr>
        <w:t xml:space="preserve">APRA-CPS234</w:t>
      </w:r>
      <w:r>
        <w:t xml:space="preserve"> </w:t>
      </w:r>
      <w:r>
        <w:t xml:space="preserve">&gt;</w:t>
      </w:r>
      <w:r>
        <w:t xml:space="preserve"> </w:t>
      </w:r>
      <w:r>
        <w:rPr>
          <w:rStyle w:val="VerbatimChar"/>
        </w:rPr>
        <w:t xml:space="preserve">Critical-Information-Assets</w:t>
      </w:r>
      <w:r>
        <w:t xml:space="preserve">,</w:t>
      </w:r>
      <w:r>
        <w:t xml:space="preserve"> </w:t>
      </w:r>
      <w:r>
        <w:rPr>
          <w:rStyle w:val="VerbatimChar"/>
        </w:rPr>
        <w:t xml:space="preserve">Material-Operations</w:t>
      </w:r>
      <w:r>
        <w:t xml:space="preserve">,</w:t>
      </w:r>
      <w:r>
        <w:t xml:space="preserve"> </w:t>
      </w:r>
      <w:r>
        <w:rPr>
          <w:rStyle w:val="VerbatimChar"/>
        </w:rPr>
        <w:t xml:space="preserve">Service-Providers</w:t>
      </w:r>
      <w:r>
        <w:t xml:space="preserve">,</w:t>
      </w:r>
      <w:r>
        <w:t xml:space="preserve"> </w:t>
      </w:r>
      <w:r>
        <w:rPr>
          <w:rStyle w:val="VerbatimChar"/>
        </w:rPr>
        <w:t xml:space="preserve">Incident-Evidence</w:t>
      </w:r>
    </w:p>
    <w:p>
      <w:pPr>
        <w:pStyle w:val="BodyText"/>
      </w:pPr>
      <w:r>
        <w:t xml:space="preserve">This scope pattern should be validated with the customer’s architecture, application owners, compliance team, and assessor before it is used for formal evidence.</w:t>
      </w:r>
    </w:p>
    <w:bookmarkEnd w:id="11"/>
    <w:bookmarkStart w:id="12" w:name="outcomes-csw-can-support"/>
    <w:p>
      <w:pPr>
        <w:pStyle w:val="Heading2"/>
      </w:pPr>
      <w:r>
        <w:t xml:space="preserve">Outcomes CSW Can Support</w:t>
      </w:r>
    </w:p>
    <w:p>
      <w:pPr>
        <w:pStyle w:val="Compact"/>
        <w:numPr>
          <w:ilvl w:val="0"/>
          <w:numId w:val="1001"/>
        </w:numPr>
      </w:pPr>
      <w:r>
        <w:t xml:space="preserve">Map workloads to critical information assets and material operations.</w:t>
      </w:r>
    </w:p>
    <w:p>
      <w:pPr>
        <w:pStyle w:val="Compact"/>
        <w:numPr>
          <w:ilvl w:val="0"/>
          <w:numId w:val="1001"/>
        </w:numPr>
      </w:pPr>
      <w:r>
        <w:t xml:space="preserve">Use policy simulation and flow review as technical control-testing evidence.</w:t>
      </w:r>
    </w:p>
    <w:p>
      <w:pPr>
        <w:pStyle w:val="Compact"/>
        <w:numPr>
          <w:ilvl w:val="0"/>
          <w:numId w:val="1001"/>
        </w:numPr>
      </w:pPr>
      <w:r>
        <w:t xml:space="preserve">Identify third-party service-provider communication paths.</w:t>
      </w:r>
    </w:p>
    <w:p>
      <w:pPr>
        <w:pStyle w:val="Compact"/>
        <w:numPr>
          <w:ilvl w:val="0"/>
          <w:numId w:val="1001"/>
        </w:numPr>
      </w:pPr>
      <w:r>
        <w:t xml:space="preserve">Support incident scoping with flow and process telemetry.</w:t>
      </w:r>
    </w:p>
    <w:bookmarkEnd w:id="12"/>
    <w:bookmarkStart w:id="13" w:name="evidence-package"/>
    <w:p>
      <w:pPr>
        <w:pStyle w:val="Heading2"/>
      </w:pPr>
      <w:r>
        <w:t xml:space="preserve">Evidence Package</w:t>
      </w:r>
    </w:p>
    <w:p>
      <w:pPr>
        <w:pStyle w:val="Compact"/>
        <w:numPr>
          <w:ilvl w:val="0"/>
          <w:numId w:val="1002"/>
        </w:numPr>
      </w:pPr>
      <w:r>
        <w:t xml:space="preserve">Critical information asset workload inventory</w:t>
      </w:r>
    </w:p>
    <w:p>
      <w:pPr>
        <w:pStyle w:val="Compact"/>
        <w:numPr>
          <w:ilvl w:val="0"/>
          <w:numId w:val="1002"/>
        </w:numPr>
      </w:pPr>
      <w:r>
        <w:t xml:space="preserve">Control-testing export</w:t>
      </w:r>
    </w:p>
    <w:p>
      <w:pPr>
        <w:pStyle w:val="Compact"/>
        <w:numPr>
          <w:ilvl w:val="0"/>
          <w:numId w:val="1002"/>
        </w:numPr>
      </w:pPr>
      <w:r>
        <w:t xml:space="preserve">Service-provider egress map</w:t>
      </w:r>
    </w:p>
    <w:p>
      <w:pPr>
        <w:pStyle w:val="Compact"/>
        <w:numPr>
          <w:ilvl w:val="0"/>
          <w:numId w:val="1002"/>
        </w:numPr>
      </w:pPr>
      <w:r>
        <w:t xml:space="preserve">Policy candidate and exception register</w:t>
      </w:r>
    </w:p>
    <w:p>
      <w:pPr>
        <w:pStyle w:val="Compact"/>
        <w:numPr>
          <w:ilvl w:val="0"/>
          <w:numId w:val="1002"/>
        </w:numPr>
      </w:pPr>
      <w:r>
        <w:t xml:space="preserve">Incident scoping example</w:t>
      </w:r>
    </w:p>
    <w:bookmarkEnd w:id="13"/>
    <w:bookmarkStart w:id="14" w:name="pov-workshop-approach"/>
    <w:p>
      <w:pPr>
        <w:pStyle w:val="Heading2"/>
      </w:pPr>
      <w:r>
        <w:t xml:space="preserve">POV / Workshop Approach</w:t>
      </w:r>
    </w:p>
    <w:p>
      <w:pPr>
        <w:pStyle w:val="Compact"/>
        <w:numPr>
          <w:ilvl w:val="0"/>
          <w:numId w:val="1003"/>
        </w:numPr>
      </w:pPr>
      <w:r>
        <w:t xml:space="preserve">Select one business service, regulated boundary, or critical workload group.</w:t>
      </w:r>
    </w:p>
    <w:p>
      <w:pPr>
        <w:pStyle w:val="Compact"/>
        <w:numPr>
          <w:ilvl w:val="0"/>
          <w:numId w:val="1003"/>
        </w:numPr>
      </w:pPr>
      <w:r>
        <w:t xml:space="preserve">Validate workload coverage and install sensors or configure supported connectors.</w:t>
      </w:r>
    </w:p>
    <w:p>
      <w:pPr>
        <w:pStyle w:val="Compact"/>
        <w:numPr>
          <w:ilvl w:val="0"/>
          <w:numId w:val="1003"/>
        </w:numPr>
      </w:pPr>
      <w:r>
        <w:t xml:space="preserve">Apply labels for application, environment, owner, data class, criticality, compliance scope, and lifecycle.</w:t>
      </w:r>
    </w:p>
    <w:p>
      <w:pPr>
        <w:pStyle w:val="Compact"/>
        <w:numPr>
          <w:ilvl w:val="0"/>
          <w:numId w:val="1003"/>
        </w:numPr>
      </w:pPr>
      <w:r>
        <w:t xml:space="preserve">Observe flows over a representative business window.</w:t>
      </w:r>
    </w:p>
    <w:p>
      <w:pPr>
        <w:pStyle w:val="Compact"/>
        <w:numPr>
          <w:ilvl w:val="0"/>
          <w:numId w:val="1003"/>
        </w:numPr>
      </w:pPr>
      <w:r>
        <w:t xml:space="preserve">Use ADM to generate a candidate policy and review it with the application owner.</w:t>
      </w:r>
    </w:p>
    <w:p>
      <w:pPr>
        <w:pStyle w:val="Compact"/>
        <w:numPr>
          <w:ilvl w:val="0"/>
          <w:numId w:val="1003"/>
        </w:numPr>
      </w:pPr>
      <w:r>
        <w:t xml:space="preserve">Package inventory, scope, flows, policy, exceptions, and known gaps as the evidence output.</w:t>
      </w:r>
    </w:p>
    <w:bookmarkEnd w:id="14"/>
    <w:bookmarkStart w:id="15" w:name="boundaries-and-complementary-controls"/>
    <w:p>
      <w:pPr>
        <w:pStyle w:val="Heading2"/>
      </w:pPr>
      <w:r>
        <w:t xml:space="preserve">Boundaries and Complementary Controls</w:t>
      </w:r>
    </w:p>
    <w:p>
      <w:pPr>
        <w:pStyle w:val="FirstParagraph"/>
      </w:pPr>
      <w:r>
        <w:t xml:space="preserve">CSW does not replace APRA notification decisions, formal control ownership, supplier assurance, IAM, EDR, or GRC workflows.</w:t>
      </w:r>
    </w:p>
    <w:bookmarkEnd w:id="15"/>
    <w:bookmarkStart w:id="16"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APRA CPS 234 Compliance Report</dc:title>
  <dc:creator/>
  <cp:keywords/>
  <dcterms:created xsi:type="dcterms:W3CDTF">2026-05-13T04:29:25Z</dcterms:created>
  <dcterms:modified xsi:type="dcterms:W3CDTF">2026-05-13T04:29:25Z</dcterms:modified>
</cp:coreProperties>
</file>

<file path=docProps/custom.xml><?xml version="1.0" encoding="utf-8"?>
<Properties xmlns="http://schemas.openxmlformats.org/officeDocument/2006/custom-properties" xmlns:vt="http://schemas.openxmlformats.org/officeDocument/2006/docPropsVTypes"/>
</file>