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NIST SP 800-82 Compliance Report</w:t>
      </w:r>
    </w:p>
    <w:bookmarkStart w:id="17" w:name="Xc5311755b19c182beda03d2259822b4a09abfa3"/>
    <w:p>
      <w:pPr>
        <w:pStyle w:val="Heading1"/>
      </w:pPr>
      <w:r>
        <w:t xml:space="preserve">Cisco Secure Workload - NIST SP 800-82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NIST SP 800-82 - Guide to Operational Technology Security</w:t>
      </w:r>
      <w:r>
        <w:br/>
      </w:r>
      <w:r>
        <w:rPr>
          <w:b/>
          <w:bCs/>
        </w:rPr>
        <w:t xml:space="preserve">Primary audience:</w:t>
      </w:r>
      <w:r>
        <w:t xml:space="preserve"> </w:t>
      </w:r>
      <w:r>
        <w:t xml:space="preserve">Security architects, plant IT/OT teams, industrial asset owners, and SOC teams.</w:t>
      </w:r>
      <w:r>
        <w:br/>
      </w:r>
      <w:r>
        <w:rPr>
          <w:b/>
          <w:bCs/>
        </w:rPr>
        <w:t xml:space="preserve">CSW positioning:</w:t>
      </w:r>
      <w:r>
        <w:t xml:space="preserve"> </w:t>
      </w:r>
      <w:r>
        <w:t xml:space="preserve">OT-adjacent IT segmentation for jump hosts, historians, patch repositories, identity services, and vendor access.</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NIST-800-82</w:t>
      </w:r>
      <w:r>
        <w:t xml:space="preserve"> </w:t>
      </w:r>
      <w:r>
        <w:t xml:space="preserve">&gt;</w:t>
      </w:r>
      <w:r>
        <w:t xml:space="preserve"> </w:t>
      </w:r>
      <w:r>
        <w:rPr>
          <w:rStyle w:val="VerbatimChar"/>
        </w:rPr>
        <w:t xml:space="preserve">OT-Facing-IT</w:t>
      </w:r>
      <w:r>
        <w:t xml:space="preserve">,</w:t>
      </w:r>
      <w:r>
        <w:t xml:space="preserve"> </w:t>
      </w:r>
      <w:r>
        <w:rPr>
          <w:rStyle w:val="VerbatimChar"/>
        </w:rPr>
        <w:t xml:space="preserve">Industrial-DMZ</w:t>
      </w:r>
      <w:r>
        <w:t xml:space="preserve">,</w:t>
      </w:r>
      <w:r>
        <w:t xml:space="preserve"> </w:t>
      </w:r>
      <w:r>
        <w:rPr>
          <w:rStyle w:val="VerbatimChar"/>
        </w:rPr>
        <w:t xml:space="preserve">Jump-Hosts</w:t>
      </w:r>
      <w:r>
        <w:t xml:space="preserve">,</w:t>
      </w:r>
      <w:r>
        <w:t xml:space="preserve"> </w:t>
      </w:r>
      <w:r>
        <w:rPr>
          <w:rStyle w:val="VerbatimChar"/>
        </w:rPr>
        <w:t xml:space="preserve">Historians</w:t>
      </w:r>
      <w:r>
        <w:t xml:space="preserve">,</w:t>
      </w:r>
      <w:r>
        <w:t xml:space="preserve"> </w:t>
      </w:r>
      <w:r>
        <w:rPr>
          <w:rStyle w:val="VerbatimChar"/>
        </w:rPr>
        <w:t xml:space="preserve">Patch-Repositories</w:t>
      </w:r>
      <w:r>
        <w:t xml:space="preserve">,</w:t>
      </w:r>
      <w:r>
        <w:t xml:space="preserve"> </w:t>
      </w:r>
      <w:r>
        <w:rPr>
          <w:rStyle w:val="VerbatimChar"/>
        </w:rPr>
        <w:t xml:space="preserve">Vendor-Access</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Map IT-side workloads that support OT operations.</w:t>
      </w:r>
    </w:p>
    <w:p>
      <w:pPr>
        <w:pStyle w:val="Compact"/>
        <w:numPr>
          <w:ilvl w:val="0"/>
          <w:numId w:val="1001"/>
        </w:numPr>
      </w:pPr>
      <w:r>
        <w:t xml:space="preserve">Constrain jump-host, vendor, historian, and patch-repository paths.</w:t>
      </w:r>
    </w:p>
    <w:p>
      <w:pPr>
        <w:pStyle w:val="Compact"/>
        <w:numPr>
          <w:ilvl w:val="0"/>
          <w:numId w:val="1001"/>
        </w:numPr>
      </w:pPr>
      <w:r>
        <w:t xml:space="preserve">Identify high-risk ports and unexpected IT-to-OT communication.</w:t>
      </w:r>
    </w:p>
    <w:p>
      <w:pPr>
        <w:pStyle w:val="Compact"/>
        <w:numPr>
          <w:ilvl w:val="0"/>
          <w:numId w:val="1001"/>
        </w:numPr>
      </w:pPr>
      <w:r>
        <w:t xml:space="preserve">Separate CSW-covered IT workloads from OT-native visibility requirements.</w:t>
      </w:r>
    </w:p>
    <w:bookmarkEnd w:id="12"/>
    <w:bookmarkStart w:id="13" w:name="evidence-package"/>
    <w:p>
      <w:pPr>
        <w:pStyle w:val="Heading2"/>
      </w:pPr>
      <w:r>
        <w:t xml:space="preserve">Evidence Package</w:t>
      </w:r>
    </w:p>
    <w:p>
      <w:pPr>
        <w:pStyle w:val="Compact"/>
        <w:numPr>
          <w:ilvl w:val="0"/>
          <w:numId w:val="1002"/>
        </w:numPr>
      </w:pPr>
      <w:r>
        <w:t xml:space="preserve">OT-adjacent workload inventory</w:t>
      </w:r>
    </w:p>
    <w:p>
      <w:pPr>
        <w:pStyle w:val="Compact"/>
        <w:numPr>
          <w:ilvl w:val="0"/>
          <w:numId w:val="1002"/>
        </w:numPr>
      </w:pPr>
      <w:r>
        <w:t xml:space="preserve">Vendor and remote-access flow summary</w:t>
      </w:r>
    </w:p>
    <w:p>
      <w:pPr>
        <w:pStyle w:val="Compact"/>
        <w:numPr>
          <w:ilvl w:val="0"/>
          <w:numId w:val="1002"/>
        </w:numPr>
      </w:pPr>
      <w:r>
        <w:t xml:space="preserve">Jump-host / historian dependency maps</w:t>
      </w:r>
    </w:p>
    <w:p>
      <w:pPr>
        <w:pStyle w:val="Compact"/>
        <w:numPr>
          <w:ilvl w:val="0"/>
          <w:numId w:val="1002"/>
        </w:numPr>
      </w:pPr>
      <w:r>
        <w:t xml:space="preserve">Cannot-instrument register</w:t>
      </w:r>
    </w:p>
    <w:p>
      <w:pPr>
        <w:pStyle w:val="Compact"/>
        <w:numPr>
          <w:ilvl w:val="0"/>
          <w:numId w:val="1002"/>
        </w:numPr>
      </w:pPr>
      <w:r>
        <w:t xml:space="preserve">Policy candidate and rollback notes</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inspect PLC/RTU/IED/HMI fieldbus behavior or replace Cyber Vision, Claroty, Nozomi, Dragos, OT firewalls, or plant change control.</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NIST SP 800-82 Compliance Report</dc:title>
  <dc:creator/>
  <cp:keywords/>
  <dcterms:created xsi:type="dcterms:W3CDTF">2026-05-13T04:29:26Z</dcterms:created>
  <dcterms:modified xsi:type="dcterms:W3CDTF">2026-05-13T04:29:26Z</dcterms:modified>
</cp:coreProperties>
</file>

<file path=docProps/custom.xml><?xml version="1.0" encoding="utf-8"?>
<Properties xmlns="http://schemas.openxmlformats.org/officeDocument/2006/custom-properties" xmlns:vt="http://schemas.openxmlformats.org/officeDocument/2006/docPropsVTypes"/>
</file>