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NY DFS Part 500 Compliance Report</w:t>
      </w:r>
    </w:p>
    <w:bookmarkStart w:id="17" w:name="Xd50dc11480d81b5e152cb892ea59f2e3d1542f6"/>
    <w:p>
      <w:pPr>
        <w:pStyle w:val="Heading1"/>
      </w:pPr>
      <w:r>
        <w:t xml:space="preserve">Cisco Secure Workload - NY DFS Part 500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NY DFS 23 NYCRR Part 500</w:t>
      </w:r>
      <w:r>
        <w:br/>
      </w:r>
      <w:r>
        <w:rPr>
          <w:b/>
          <w:bCs/>
        </w:rPr>
        <w:t xml:space="preserve">Primary audience:</w:t>
      </w:r>
      <w:r>
        <w:t xml:space="preserve"> </w:t>
      </w:r>
      <w:r>
        <w:t xml:space="preserve">Covered entities such as banks, insurers, and financial-services organizations regulated by NY DFS.</w:t>
      </w:r>
      <w:r>
        <w:br/>
      </w:r>
      <w:r>
        <w:rPr>
          <w:b/>
          <w:bCs/>
        </w:rPr>
        <w:t xml:space="preserve">CSW positioning:</w:t>
      </w:r>
      <w:r>
        <w:t xml:space="preserve"> </w:t>
      </w:r>
      <w:r>
        <w:t xml:space="preserve">Covered-system visibility, nonpublic-information workload protection, monitoring, vulnerability context, and incident support.</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NYDFS-500</w:t>
      </w:r>
      <w:r>
        <w:t xml:space="preserve"> </w:t>
      </w:r>
      <w:r>
        <w:t xml:space="preserve">&gt;</w:t>
      </w:r>
      <w:r>
        <w:t xml:space="preserve"> </w:t>
      </w:r>
      <w:r>
        <w:rPr>
          <w:rStyle w:val="VerbatimChar"/>
        </w:rPr>
        <w:t xml:space="preserve">Covered-Systems</w:t>
      </w:r>
      <w:r>
        <w:t xml:space="preserve">,</w:t>
      </w:r>
      <w:r>
        <w:t xml:space="preserve"> </w:t>
      </w:r>
      <w:r>
        <w:rPr>
          <w:rStyle w:val="VerbatimChar"/>
        </w:rPr>
        <w:t xml:space="preserve">NPI-Applications</w:t>
      </w:r>
      <w:r>
        <w:t xml:space="preserve">,</w:t>
      </w:r>
      <w:r>
        <w:t xml:space="preserve"> </w:t>
      </w:r>
      <w:r>
        <w:rPr>
          <w:rStyle w:val="VerbatimChar"/>
        </w:rPr>
        <w:t xml:space="preserve">Critical-Operations</w:t>
      </w:r>
      <w:r>
        <w:t xml:space="preserve">,</w:t>
      </w:r>
      <w:r>
        <w:t xml:space="preserve"> </w:t>
      </w:r>
      <w:r>
        <w:rPr>
          <w:rStyle w:val="VerbatimChar"/>
        </w:rPr>
        <w:t xml:space="preserve">Third-Party-Service-Providers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Identify covered workloads and NPI-bearing applications.</w:t>
      </w:r>
    </w:p>
    <w:p>
      <w:pPr>
        <w:pStyle w:val="Compact"/>
        <w:numPr>
          <w:ilvl w:val="0"/>
          <w:numId w:val="1001"/>
        </w:numPr>
      </w:pPr>
      <w:r>
        <w:t xml:space="preserve">Build least-privilege workload communication policies.</w:t>
      </w:r>
    </w:p>
    <w:p>
      <w:pPr>
        <w:pStyle w:val="Compact"/>
        <w:numPr>
          <w:ilvl w:val="0"/>
          <w:numId w:val="1001"/>
        </w:numPr>
      </w:pPr>
      <w:r>
        <w:t xml:space="preserve">Identify third-party service-provider egress.</w:t>
      </w:r>
    </w:p>
    <w:p>
      <w:pPr>
        <w:pStyle w:val="Compact"/>
        <w:numPr>
          <w:ilvl w:val="0"/>
          <w:numId w:val="1001"/>
        </w:numPr>
      </w:pPr>
      <w:r>
        <w:t xml:space="preserve">Package monitoring, vulnerability, and incident evidence.</w:t>
      </w:r>
    </w:p>
    <w:bookmarkEnd w:id="12"/>
    <w:bookmarkStart w:id="13" w:name="evidence-package"/>
    <w:p>
      <w:pPr>
        <w:pStyle w:val="Heading2"/>
      </w:pPr>
      <w:r>
        <w:t xml:space="preserve">Evidence Package</w:t>
      </w:r>
    </w:p>
    <w:p>
      <w:pPr>
        <w:pStyle w:val="Compact"/>
        <w:numPr>
          <w:ilvl w:val="0"/>
          <w:numId w:val="1002"/>
        </w:numPr>
      </w:pPr>
      <w:r>
        <w:t xml:space="preserve">Covered workload inventory</w:t>
      </w:r>
    </w:p>
    <w:p>
      <w:pPr>
        <w:pStyle w:val="Compact"/>
        <w:numPr>
          <w:ilvl w:val="0"/>
          <w:numId w:val="1002"/>
        </w:numPr>
      </w:pPr>
      <w:r>
        <w:t xml:space="preserve">NPI application scope map</w:t>
      </w:r>
    </w:p>
    <w:p>
      <w:pPr>
        <w:pStyle w:val="Compact"/>
        <w:numPr>
          <w:ilvl w:val="0"/>
          <w:numId w:val="1002"/>
        </w:numPr>
      </w:pPr>
      <w:r>
        <w:t xml:space="preserve">Observed communication paths</w:t>
      </w:r>
    </w:p>
    <w:p>
      <w:pPr>
        <w:pStyle w:val="Compact"/>
        <w:numPr>
          <w:ilvl w:val="0"/>
          <w:numId w:val="1002"/>
        </w:numPr>
      </w:pPr>
      <w:r>
        <w:t xml:space="preserve">Third-party provider egress summary</w:t>
      </w:r>
    </w:p>
    <w:p>
      <w:pPr>
        <w:pStyle w:val="Compact"/>
        <w:numPr>
          <w:ilvl w:val="0"/>
          <w:numId w:val="1002"/>
        </w:numPr>
      </w:pPr>
      <w:r>
        <w:t xml:space="preserve">Policy candidate and incident timeline sample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the CISO function, written policies, MFA/IAM, encryption programs, annual certification, or DFS notification decisions.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NY DFS Part 500 Compliance Report</dc:title>
  <dc:creator/>
  <cp:keywords/>
  <dcterms:created xsi:type="dcterms:W3CDTF">2026-05-13T04:29:26Z</dcterms:created>
  <dcterms:modified xsi:type="dcterms:W3CDTF">2026-05-13T04:29:26Z</dcterms:modified>
</cp:coreProperties>
</file>

<file path=docProps/custom.xml><?xml version="1.0" encoding="utf-8"?>
<Properties xmlns="http://schemas.openxmlformats.org/officeDocument/2006/custom-properties" xmlns:vt="http://schemas.openxmlformats.org/officeDocument/2006/docPropsVTypes"/>
</file>