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APRA CPS 234 Compliance Report</w:t>
      </w:r>
    </w:p>
    <w:bookmarkStart w:id="23" w:name="Xbc9f5f31b6267a6c792f3944ffcca8fd9a4b73d"/>
    <w:p>
      <w:pPr>
        <w:pStyle w:val="Heading1"/>
      </w:pPr>
      <w:r>
        <w:t xml:space="preserve">Cisco Secure Workload - APRA CPS 234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APRA Prudential Standard CPS 234 - Information Security</w:t>
      </w:r>
      <w:r>
        <w:br/>
      </w:r>
      <w:r>
        <w:rPr>
          <w:b/>
          <w:bCs/>
        </w:rPr>
        <w:t xml:space="preserve">Primary audience:</w:t>
      </w:r>
      <w:r>
        <w:t xml:space="preserve"> </w:t>
      </w:r>
      <w:r>
        <w:t xml:space="preserve">Australian banks, insurers, superannuation trustees, and other APRA-regulated entities; CISO function, technology risk, internal audit, and information asset owners.</w:t>
      </w:r>
      <w:r>
        <w:br/>
      </w:r>
      <w:r>
        <w:rPr>
          <w:b/>
          <w:bCs/>
        </w:rPr>
        <w:t xml:space="preserve">CSW positioning:</w:t>
      </w:r>
      <w:r>
        <w:t xml:space="preserve"> </w:t>
      </w:r>
      <w:r>
        <w:t xml:space="preserve">Information asset segmentation, control-implementation evidence, control-testing inputs, incident management, and third-party service-provider visibility.</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CPS 234 as published in 2019. Paragraph numbers in this report are well-known and stable for CPS 234; if APRA has issued amendments or related standards in scope (e.g. CPS 230 Operational Risk Management), validate the applicable 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CSW-APRA-CPS234-Technical-Reference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CPS-234</w:t>
      </w:r>
      <w:r>
        <w:br/>
      </w:r>
      <w:r>
        <w:rPr>
          <w:rStyle w:val="VerbatimChar"/>
        </w:rPr>
        <w:t xml:space="preserve">├── Critical-Information-Assets (Customer-Records, Payments-and-Ledger, Trading-Settlement, Policy-and-Claims)</w:t>
      </w:r>
      <w:r>
        <w:br/>
      </w:r>
      <w:r>
        <w:rPr>
          <w:rStyle w:val="VerbatimChar"/>
        </w:rPr>
        <w:t xml:space="preserve">├── Material-Operations (Online-Channels, Operational-Core)</w:t>
      </w:r>
      <w:r>
        <w:br/>
      </w:r>
      <w:r>
        <w:rPr>
          <w:rStyle w:val="VerbatimChar"/>
        </w:rPr>
        <w:t xml:space="preserve">├── Service-Providers (Outsourced-Connectivity)</w:t>
      </w:r>
      <w:r>
        <w:br/>
      </w:r>
      <w:r>
        <w:rPr>
          <w:rStyle w:val="VerbatimChar"/>
        </w:rPr>
        <w:t xml:space="preserve">└── Incident-Evidence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Para. 20 - Information asset identification and classification</w:t>
      </w:r>
    </w:p>
    <w:p>
      <w:pPr>
        <w:pStyle w:val="Compact"/>
        <w:numPr>
          <w:ilvl w:val="0"/>
          <w:numId w:val="1001"/>
        </w:numPr>
      </w:pPr>
      <w:r>
        <w:t xml:space="preserve">Para. 21-23 - Implementation of controls (network access layer)</w:t>
      </w:r>
    </w:p>
    <w:p>
      <w:pPr>
        <w:pStyle w:val="Compact"/>
        <w:numPr>
          <w:ilvl w:val="0"/>
          <w:numId w:val="1001"/>
        </w:numPr>
      </w:pPr>
      <w:r>
        <w:t xml:space="preserve">Para. 24-28 - Incident management (technical scoping)</w:t>
      </w:r>
    </w:p>
    <w:p>
      <w:pPr>
        <w:pStyle w:val="Compact"/>
        <w:numPr>
          <w:ilvl w:val="0"/>
          <w:numId w:val="1001"/>
        </w:numPr>
      </w:pPr>
      <w:r>
        <w:t xml:space="preserve">Para. 29-33 - Testing of control effectiveness (continuous, not point-in-time)</w:t>
      </w:r>
    </w:p>
    <w:p>
      <w:pPr>
        <w:pStyle w:val="Compact"/>
        <w:numPr>
          <w:ilvl w:val="0"/>
          <w:numId w:val="1001"/>
        </w:numPr>
      </w:pPr>
      <w:r>
        <w:t xml:space="preserve">Para. 34-35 - Internal audit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Para. 13-15 - Information security capability (governance)</w:t>
      </w:r>
    </w:p>
    <w:p>
      <w:pPr>
        <w:pStyle w:val="Compact"/>
        <w:numPr>
          <w:ilvl w:val="0"/>
          <w:numId w:val="1002"/>
        </w:numPr>
      </w:pPr>
      <w:r>
        <w:t xml:space="preserve">Para. 16-19 - Policy framework</w:t>
      </w:r>
    </w:p>
    <w:p>
      <w:pPr>
        <w:pStyle w:val="Compact"/>
        <w:numPr>
          <w:ilvl w:val="0"/>
          <w:numId w:val="1002"/>
        </w:numPr>
      </w:pPr>
      <w:r>
        <w:t xml:space="preserve">Para. 36-37 - APRA notification decision (CSW provides scoping inputs only)</w:t>
      </w:r>
    </w:p>
    <w:p>
      <w:pPr>
        <w:pStyle w:val="Compact"/>
        <w:numPr>
          <w:ilvl w:val="0"/>
          <w:numId w:val="1002"/>
        </w:numPr>
      </w:pPr>
      <w:r>
        <w:t xml:space="preserve">IAM/PAM, cryptography assurance, BCP/DR, supplier contractual arrangements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Para. 20 - Asset identification and classification</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and scope membership export reconciled to information asset register</w:t>
            </w:r>
          </w:p>
        </w:tc>
      </w:tr>
      <w:tr>
        <w:tc>
          <w:tcPr>
            <w:shd w:val="clear" w:color="auto" w:fill="F2F2F2"/>
          </w:tcPr>
          <w:p>
            <w:pPr>
              <w:pStyle w:val="Compact"/>
            </w:pPr>
            <w:r>
              <w:t xml:space="preserve">Para. 21-23 - Controls implementation</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ADM-derived allowlist</w:t>
            </w:r>
          </w:p>
        </w:tc>
        <w:tc>
          <w:tcPr>
            <w:shd w:val="clear" w:color="auto" w:fill="F2F2F2"/>
          </w:tcPr>
          <w:p>
            <w:pPr>
              <w:pStyle w:val="Compact"/>
            </w:pPr>
            <w:r>
              <w:t xml:space="preserve">Workspace snapshot and observed-vs-approved flow comparison</w:t>
            </w:r>
          </w:p>
        </w:tc>
      </w:tr>
      <w:tr>
        <w:tc>
          <w:tcPr/>
          <w:p>
            <w:pPr>
              <w:pStyle w:val="Compact"/>
            </w:pPr>
            <w:r>
              <w:t xml:space="preserve">Para. 21-23 - Third-party paths</w:t>
            </w:r>
          </w:p>
        </w:tc>
        <w:tc>
          <w:tcPr>
            <w:shd w:val="clear" w:color="auto" w:fill="107C41"/>
          </w:tcPr>
          <w:p>
            <w:pPr>
              <w:pStyle w:val="Compact"/>
            </w:pPr>
            <w:r>
              <w:rPr>
                <w:b/>
                <w:color w:val="FFFFFF"/>
              </w:rPr>
              <w:t>Direct</w:t>
            </w:r>
          </w:p>
        </w:tc>
        <w:tc>
          <w:tcPr/>
          <w:p>
            <w:pPr>
              <w:pStyle w:val="Compact"/>
            </w:pPr>
            <w:r>
              <w:t xml:space="preserve">Outbound flow summary to service-provider endpoints</w:t>
            </w:r>
          </w:p>
        </w:tc>
        <w:tc>
          <w:tcPr/>
          <w:p>
            <w:pPr>
              <w:pStyle w:val="Compact"/>
            </w:pPr>
            <w:r>
              <w:t xml:space="preserve">Service-provider egress report</w:t>
            </w:r>
          </w:p>
        </w:tc>
      </w:tr>
      <w:tr>
        <w:tc>
          <w:tcPr>
            <w:shd w:val="clear" w:color="auto" w:fill="F2F2F2"/>
          </w:tcPr>
          <w:p>
            <w:pPr>
              <w:pStyle w:val="Compact"/>
            </w:pPr>
            <w:r>
              <w:t xml:space="preserve">Para. 24-28 - Incident management</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telemetry</w:t>
            </w:r>
          </w:p>
        </w:tc>
        <w:tc>
          <w:tcPr>
            <w:shd w:val="clear" w:color="auto" w:fill="F2F2F2"/>
          </w:tcPr>
          <w:p>
            <w:pPr>
              <w:pStyle w:val="Compact"/>
            </w:pPr>
            <w:r>
              <w:t xml:space="preserve">Investigation pack with timeline and impact scope</w:t>
            </w:r>
          </w:p>
        </w:tc>
      </w:tr>
      <w:tr>
        <w:tc>
          <w:tcPr/>
          <w:p>
            <w:pPr>
              <w:pStyle w:val="Compact"/>
            </w:pPr>
            <w:r>
              <w:t xml:space="preserve">Para. 29-33 - Control effectiveness testing</w:t>
            </w:r>
          </w:p>
        </w:tc>
        <w:tc>
          <w:tcPr>
            <w:shd w:val="clear" w:color="auto" w:fill="107C41"/>
          </w:tcPr>
          <w:p>
            <w:pPr>
              <w:pStyle w:val="Compact"/>
            </w:pPr>
            <w:r>
              <w:rPr>
                <w:b/>
                <w:color w:val="FFFFFF"/>
              </w:rPr>
              <w:t>Direct</w:t>
            </w:r>
          </w:p>
        </w:tc>
        <w:tc>
          <w:tcPr/>
          <w:p>
            <w:pPr>
              <w:pStyle w:val="Compact"/>
            </w:pPr>
            <w:r>
              <w:t xml:space="preserve">Continuous flow data; policy-violation log; drift report</w:t>
            </w:r>
          </w:p>
        </w:tc>
        <w:tc>
          <w:tcPr/>
          <w:p>
            <w:pPr>
              <w:pStyle w:val="Compact"/>
            </w:pPr>
            <w:r>
              <w:t xml:space="preserve">Continuous control-testing evidence (replaces point-in-time samples)</w:t>
            </w:r>
          </w:p>
        </w:tc>
      </w:tr>
      <w:tr>
        <w:tc>
          <w:tcPr>
            <w:shd w:val="clear" w:color="auto" w:fill="F2F2F2"/>
          </w:tcPr>
          <w:p>
            <w:pPr>
              <w:pStyle w:val="Compact"/>
            </w:pPr>
            <w:r>
              <w:t xml:space="preserve">Para. 34-35 - Internal audit</w:t>
            </w:r>
          </w:p>
        </w:tc>
        <w:tc>
          <w:tcPr>
            <w:shd w:val="clear" w:color="auto" w:fill="107C41"/>
          </w:tcPr>
          <w:p>
            <w:pPr>
              <w:pStyle w:val="Compact"/>
            </w:pPr>
            <w:r>
              <w:rPr>
                <w:b/>
                <w:color w:val="FFFFFF"/>
              </w:rPr>
              <w:t>Direct</w:t>
            </w:r>
          </w:p>
        </w:tc>
        <w:tc>
          <w:tcPr>
            <w:shd w:val="clear" w:color="auto" w:fill="F2F2F2"/>
          </w:tcPr>
          <w:p>
            <w:pPr>
              <w:pStyle w:val="Compact"/>
            </w:pPr>
            <w:r>
              <w:t xml:space="preserve">Periodic evidence pack</w:t>
            </w:r>
          </w:p>
        </w:tc>
        <w:tc>
          <w:tcPr>
            <w:shd w:val="clear" w:color="auto" w:fill="F2F2F2"/>
          </w:tcPr>
          <w:p>
            <w:pPr>
              <w:pStyle w:val="Compact"/>
            </w:pPr>
            <w:r>
              <w:t xml:space="preserve">Quarterly evidence bundle for audit work-papers</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Information asset register reconciliation</w:t>
            </w:r>
          </w:p>
        </w:tc>
        <w:tc>
          <w:tcPr/>
          <w:p>
            <w:pPr>
              <w:pStyle w:val="Compact"/>
            </w:pPr>
            <w:r>
              <w:t xml:space="preserve">Workloads supporting each critical information asset</w:t>
            </w:r>
          </w:p>
        </w:tc>
        <w:tc>
          <w:tcPr/>
          <w:p>
            <w:pPr>
              <w:pStyle w:val="Compact"/>
            </w:pPr>
            <w:r>
              <w:t xml:space="preserve">Inventory + scope membership</w:t>
            </w:r>
          </w:p>
        </w:tc>
        <w:tc>
          <w:tcPr/>
          <w:p>
            <w:pPr>
              <w:pStyle w:val="Compact"/>
            </w:pPr>
            <w:r>
              <w:t xml:space="preserve">Quarterly</w:t>
            </w:r>
          </w:p>
        </w:tc>
      </w:tr>
      <w:tr>
        <w:tc>
          <w:tcPr>
            <w:shd w:val="clear" w:color="auto" w:fill="F2F2F2"/>
          </w:tcPr>
          <w:p>
            <w:pPr>
              <w:pStyle w:val="Compact"/>
            </w:pPr>
            <w:r>
              <w:t xml:space="preserve">Controls-implementation evidence</w:t>
            </w:r>
          </w:p>
        </w:tc>
        <w:tc>
          <w:tcPr>
            <w:shd w:val="clear" w:color="auto" w:fill="F2F2F2"/>
          </w:tcPr>
          <w:p>
            <w:pPr>
              <w:pStyle w:val="Compact"/>
            </w:pPr>
            <w:r>
              <w:t xml:space="preserve">Workspace snapshot and observed-vs-approved flow comparison</w:t>
            </w:r>
          </w:p>
        </w:tc>
        <w:tc>
          <w:tcPr>
            <w:shd w:val="clear" w:color="auto" w:fill="F2F2F2"/>
          </w:tcPr>
          <w:p>
            <w:pPr>
              <w:pStyle w:val="Compact"/>
            </w:pPr>
            <w:r>
              <w:t xml:space="preserve">Policy workspace export + ADM export</w:t>
            </w:r>
          </w:p>
        </w:tc>
        <w:tc>
          <w:tcPr>
            <w:shd w:val="clear" w:color="auto" w:fill="F2F2F2"/>
          </w:tcPr>
          <w:p>
            <w:pPr>
              <w:pStyle w:val="Compact"/>
            </w:pPr>
            <w:r>
              <w:t xml:space="preserve">Quarterly + after each change</w:t>
            </w:r>
          </w:p>
        </w:tc>
      </w:tr>
      <w:tr>
        <w:tc>
          <w:tcPr/>
          <w:p>
            <w:pPr>
              <w:pStyle w:val="Compact"/>
            </w:pPr>
            <w:r>
              <w:t xml:space="preserve">Control-effectiveness testing</w:t>
            </w:r>
          </w:p>
        </w:tc>
        <w:tc>
          <w:tcPr/>
          <w:p>
            <w:pPr>
              <w:pStyle w:val="Compact"/>
            </w:pPr>
            <w:r>
              <w:t xml:space="preserve">Continuous policy-violation and drift evidence</w:t>
            </w:r>
          </w:p>
        </w:tc>
        <w:tc>
          <w:tcPr/>
          <w:p>
            <w:pPr>
              <w:pStyle w:val="Compact"/>
            </w:pPr>
            <w:r>
              <w:t xml:space="preserve">Policy analysis output (continuous)</w:t>
            </w:r>
          </w:p>
        </w:tc>
        <w:tc>
          <w:tcPr/>
          <w:p>
            <w:pPr>
              <w:pStyle w:val="Compact"/>
            </w:pPr>
            <w:r>
              <w:t xml:space="preserve">Continuous, reviewed quarterly</w:t>
            </w:r>
          </w:p>
        </w:tc>
      </w:tr>
      <w:tr>
        <w:tc>
          <w:tcPr>
            <w:shd w:val="clear" w:color="auto" w:fill="F2F2F2"/>
          </w:tcPr>
          <w:p>
            <w:pPr>
              <w:pStyle w:val="Compact"/>
            </w:pPr>
            <w:r>
              <w:t xml:space="preserve">Third-party service-provider paths</w:t>
            </w:r>
          </w:p>
        </w:tc>
        <w:tc>
          <w:tcPr>
            <w:shd w:val="clear" w:color="auto" w:fill="F2F2F2"/>
          </w:tcPr>
          <w:p>
            <w:pPr>
              <w:pStyle w:val="Compact"/>
            </w:pPr>
            <w:r>
              <w:t xml:space="preserve">Outbound flow to vendor endpoints</w:t>
            </w:r>
          </w:p>
        </w:tc>
        <w:tc>
          <w:tcPr>
            <w:shd w:val="clear" w:color="auto" w:fill="F2F2F2"/>
          </w:tcPr>
          <w:p>
            <w:pPr>
              <w:pStyle w:val="Compact"/>
            </w:pPr>
            <w:r>
              <w:t xml:space="preserve">Flow search filtered to vendor endpoints</w:t>
            </w:r>
          </w:p>
        </w:tc>
        <w:tc>
          <w:tcPr>
            <w:shd w:val="clear" w:color="auto" w:fill="F2F2F2"/>
          </w:tcPr>
          <w:p>
            <w:pPr>
              <w:pStyle w:val="Compact"/>
            </w:pPr>
            <w:r>
              <w:t xml:space="preserve">Monthly</w:t>
            </w:r>
          </w:p>
        </w:tc>
      </w:tr>
      <w:tr>
        <w:tc>
          <w:tcPr/>
          <w:p>
            <w:pPr>
              <w:pStyle w:val="Compact"/>
            </w:pPr>
            <w:r>
              <w:t xml:space="preserve">Incident management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board accountability for information security (Para. 13-14), the policy framework (Para. 16-19), related-party assurance, IAM/PAM lifecycle, cryptography programme decisions, BCP/DR test outcomes, or the APRA notification decision (Para. 36-37).</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APRA CPS 234 Compliance Report</dc:title>
  <dc:creator/>
  <cp:keywords/>
  <dcterms:created xsi:type="dcterms:W3CDTF">2026-10-05T22:26:04Z</dcterms:created>
  <dcterms:modified xsi:type="dcterms:W3CDTF">2026-10-05T22:26:04Z</dcterms:modified>
</cp:coreProperties>
</file>

<file path=docProps/custom.xml><?xml version="1.0" encoding="utf-8"?>
<Properties xmlns="http://schemas.openxmlformats.org/officeDocument/2006/custom-properties" xmlns:vt="http://schemas.openxmlformats.org/officeDocument/2006/docPropsVTypes"/>
</file>