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2235b0690f01bcb2ac1b0da7dc73a4300fbd7f6"/>
    <w:p>
      <w:pPr>
        <w:pStyle w:val="Heading1"/>
      </w:pPr>
      <w:r>
        <w:t xml:space="preserve">Cisco Secure Workload — BSI Cloud Computing Compliance Criteria Catalogue (C5)</w:t>
      </w:r>
    </w:p>
    <w:bookmarkStart w:id="9" w:name="Xc90dfeebcff137da65d98b9d3a0d6881006936c"/>
    <w:p>
      <w:pPr>
        <w:pStyle w:val="Heading2"/>
      </w:pPr>
      <w:r>
        <w:t xml:space="preserve">Reference Design | Cloud Service Providers and Cloud-Hosted Workloads Serving German Federal / Public-Sector Customers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Cloud Computing Compliance Criteria Catalogue (C5), Federal Office for Information Security (Bundesamt für Sicherheit in der Informationstechnik / BSI). C5:2020 is the published catalogue at the time of writing.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Cloud workload segmentation evidence, operational security (OPS) evidence, communication security (KOS) evidence, identity &amp; access management (IDM) at the workload-to-workload layer, asset management (AM) evidence, incident management (SIM) forensic input, and assessor evidence preparation</w:t>
      </w:r>
    </w:p>
    <w:p>
      <w:pPr>
        <w:pStyle w:val="BlockText"/>
      </w:pPr>
      <w:r>
        <w:rPr>
          <w:b/>
          <w:bCs/>
        </w:rPr>
        <w:t xml:space="preserve">Framework version note.</w:t>
      </w:r>
      <w:r>
        <w:t xml:space="preserve"> </w:t>
      </w:r>
      <w:r>
        <w:t xml:space="preserve">This reference design references C5:2020. BSI may publish revisions; validate the catalogue version against the customer's assessment scope. C5 distinguishes between</w:t>
      </w:r>
      <w:r>
        <w:t xml:space="preserve"> </w:t>
      </w:r>
      <w:r>
        <w:rPr>
          <w:b/>
          <w:bCs/>
        </w:rPr>
        <w:t xml:space="preserve">Basic Criteria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Additional Criteria</w:t>
      </w:r>
      <w:r>
        <w:t xml:space="preserve"> </w:t>
      </w:r>
      <w:r>
        <w:t xml:space="preserve">(the latter expanding evidence requirements). This reference design references</w:t>
      </w:r>
      <w:r>
        <w:t xml:space="preserve"> </w:t>
      </w:r>
      <w:r>
        <w:rPr>
          <w:b/>
          <w:bCs/>
        </w:rPr>
        <w:t xml:space="preserve">C5 topic areas by name</w:t>
      </w:r>
      <w:r>
        <w:t xml:space="preserve"> </w:t>
      </w:r>
      <w:r>
        <w:t xml:space="preserve">and a few well-known area abbreviations (e.g. AM, IDM, KRY, OPS, KOS, SIM, BCM). Specific criterion numbering may vary across catalogue revisions — confirm against the version under assessment.</w:t>
      </w:r>
    </w:p>
    <w:p>
      <w:pPr>
        <w:pStyle w:val="BlockText"/>
      </w:pPr>
      <w:r>
        <w:rPr>
          <w:b/>
          <w:bCs/>
        </w:rPr>
        <w:t xml:space="preserve">CSW UI navigation note.</w:t>
      </w:r>
      <w:r>
        <w:t xml:space="preserve"> </w:t>
      </w:r>
      <w:r>
        <w:t xml:space="preserve">Cisco does not yet publish C5-specific CSW UI navigation; framework-specific paths are on the product roadmap. This reference design describes CSW</w:t>
      </w:r>
      <w:r>
        <w:t xml:space="preserve"> </w:t>
      </w:r>
      <w:r>
        <w:rPr>
          <w:i/>
          <w:iCs/>
        </w:rPr>
        <w:t xml:space="preserve">capabilities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evidence artifacts</w:t>
      </w:r>
      <w:r>
        <w:t xml:space="preserve"> </w:t>
      </w:r>
      <w:r>
        <w:t xml:space="preserve">they produce.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Cloud service providers (CSPs) and customers operating cloud-hosted workloads that serve German federal or public-sector customers, or any customer that contractually requires C5 evidence; CISO function, cloud operations lead, and the team preparing the C5 attestation (Type 1 or Type 2) report with an external auditor.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cloud-workload asset management (AM) at the workload layer?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segmentation between cloud customer tenants and between cloud environments (KOS)?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operational security controls — monitoring, vulnerability management, configuration baselines (OPS)?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workload-to-workload access privileges aligned with the identity layer (IDM)?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forensic-quality evidence for security incident management (SIM)?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Cloud asset inventory across all relevant cloud accounts / subscriptions, tenant separation model, customer scope agreements, vulnerability management process, configuration baseline definitions, incident management reference design, and the C5 assessor's evidence template.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1–4 if you are scoping; 5–7 if you are designing and simulating policy; 9–10 if you are preparing the auditor evidence pack within the next quarter.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Cloud service assurance with tenant boundary enforcement</w:t>
      </w:r>
    </w:p>
    <w:p>
      <w:pPr>
        <w:pStyle w:val="Compact"/>
        <w:numPr>
          <w:ilvl w:val="0"/>
          <w:numId w:val="1018"/>
        </w:numPr>
      </w:pPr>
      <w:r>
        <w:t xml:space="preserve">Cloud communication security evidence</w:t>
      </w:r>
    </w:p>
    <w:p>
      <w:pPr>
        <w:pStyle w:val="Compact"/>
        <w:numPr>
          <w:ilvl w:val="0"/>
          <w:numId w:val="1018"/>
        </w:numPr>
      </w:pPr>
      <w:r>
        <w:t xml:space="preserve">Vulnerability and incident artefacts for C5 auditors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C5 is the BSI catalogue for cloud-service security. It is structured around topic areas (Bereiche), each containing multiple criteria. The catalogue is typically used as the basis of a C5 attestation report performed by an external auditor under ISAE 3000 / IDW PS 860, very similar in style to a SOC 2 Type 2 report.</w:t>
      </w:r>
    </w:p>
    <w:p>
      <w:pPr>
        <w:pStyle w:val="BodyText"/>
      </w:pPr>
      <w:r>
        <w:t xml:space="preserve">CSW can support</w:t>
      </w:r>
      <w:r>
        <w:t xml:space="preserve"> </w:t>
      </w:r>
      <w:r>
        <w:rPr>
          <w:b/>
          <w:bCs/>
        </w:rPr>
        <w:t xml:space="preserve">technical evidence</w:t>
      </w:r>
      <w:r>
        <w:t xml:space="preserve"> </w:t>
      </w:r>
      <w:r>
        <w:t xml:space="preserve">for the workload-, network-, segmentation-, telemetry-, vulnerability-, and incident-related criteria of C5: Asset Management (AM), Identity and Access Management at the workload-to-workload layer (IDM), Operational Security (OPS), Communication Security (KOS), and Security Incident Management (SIM).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organisational, physical, contractual, supplier, or personnel controls — and it does not replace cryptography (KRY) or identity-lifecycle controls.</w:t>
      </w:r>
    </w:p>
    <w:bookmarkStart w:id="21" w:name="c5-topic-areas-and-csw-relevance"/>
    <w:p>
      <w:pPr>
        <w:pStyle w:val="Heading3"/>
      </w:pPr>
      <w:r>
        <w:t xml:space="preserve">C5 Topic Areas and CSW Relevance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C5 topic area (Bereich)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 of Information Security (OIS)</w:t>
            </w:r>
          </w:p>
        </w:tc>
        <w:tc>
          <w:tcPr/>
          <w:p>
            <w:pPr>
              <w:pStyle w:val="Compact"/>
            </w:pPr>
            <w:r>
              <w:t xml:space="preserve">Out of scope (governance)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 (HR)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Management (AM)</w:t>
            </w:r>
          </w:p>
        </w:tc>
        <w:tc>
          <w:tcPr/>
          <w:p>
            <w:pPr>
              <w:pStyle w:val="Compact"/>
            </w:pPr>
            <w:r>
              <w:t xml:space="preserve">Workload inventory; scope + label evidence; reachability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Security (PS)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(OPS)</w:t>
            </w:r>
          </w:p>
        </w:tc>
        <w:tc>
          <w:tcPr/>
          <w:p>
            <w:pPr>
              <w:pStyle w:val="Compact"/>
            </w:pPr>
            <w:r>
              <w:t xml:space="preserve">Continuous monitoring, vulnerability + reachability, configuration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and Access Management (IDM)</w:t>
            </w:r>
          </w:p>
        </w:tc>
        <w:tc>
          <w:tcPr/>
          <w:p>
            <w:pPr>
              <w:pStyle w:val="Compact"/>
            </w:pPr>
            <w:r>
              <w:t xml:space="preserve">Workload-to-workload allowlist (complements identity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 and Key Management (KRY)</w:t>
            </w:r>
          </w:p>
        </w:tc>
        <w:tc>
          <w:tcPr/>
          <w:p>
            <w:pPr>
              <w:pStyle w:val="Compact"/>
            </w:pPr>
            <w:r>
              <w:t xml:space="preserve">Plaintext-flow detection on regulated paths (detection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Security (KOS)</w:t>
            </w:r>
          </w:p>
        </w:tc>
        <w:tc>
          <w:tcPr/>
          <w:p>
            <w:pPr>
              <w:pStyle w:val="Compact"/>
            </w:pPr>
            <w:r>
              <w:t xml:space="preserve">Workload-level segmentation; ADM-derived allowlist; policy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 and Interoperability (PI)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Procurement, Development and Modification (DEV)</w:t>
            </w:r>
          </w:p>
        </w:tc>
        <w:tc>
          <w:tcPr/>
          <w:p>
            <w:pPr>
              <w:pStyle w:val="Compact"/>
            </w:pPr>
            <w:r>
              <w:t xml:space="preserve">Out of scope for code-level controls; CSW shows reachability of dev / build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and Monitoring of Service Providers (SP)</w:t>
            </w:r>
          </w:p>
        </w:tc>
        <w:tc>
          <w:tcPr/>
          <w:p>
            <w:pPr>
              <w:pStyle w:val="Compact"/>
            </w:pPr>
            <w:r>
              <w:t xml:space="preserve">Outbound flow visibility to service-provider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 Management (SIM)</w:t>
            </w:r>
          </w:p>
        </w:tc>
        <w:tc>
          <w:tcPr/>
          <w:p>
            <w:pPr>
              <w:pStyle w:val="Compact"/>
            </w:pPr>
            <w:r>
              <w:t xml:space="preserve">Forensic flow + process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 (BCM)</w:t>
            </w:r>
          </w:p>
        </w:tc>
        <w:tc>
          <w:tcPr/>
          <w:p>
            <w:pPr>
              <w:pStyle w:val="Compact"/>
            </w:pPr>
            <w:r>
              <w:t xml:space="preserve">Approved flow baseline as one input to recoverability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(COM)</w:t>
            </w:r>
          </w:p>
        </w:tc>
        <w:tc>
          <w:tcPr/>
          <w:p>
            <w:pPr>
              <w:pStyle w:val="Compact"/>
            </w:pPr>
            <w:r>
              <w:t xml:space="preserve">Periodic evidence pack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 (INQ)</w:t>
            </w:r>
          </w:p>
        </w:tc>
        <w:tc>
          <w:tcPr/>
          <w:p>
            <w:pPr>
              <w:pStyle w:val="Compact"/>
            </w:pPr>
            <w:r>
              <w:t xml:space="preserve">Forensic flow / process telemetry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Compact"/>
        <w:numPr>
          <w:ilvl w:val="0"/>
          <w:numId w:val="1019"/>
        </w:numPr>
      </w:pPr>
      <w:r>
        <w:t xml:space="preserve">CSW cluster provisioned</w:t>
      </w:r>
    </w:p>
    <w:p>
      <w:pPr>
        <w:pStyle w:val="Compact"/>
        <w:numPr>
          <w:ilvl w:val="0"/>
          <w:numId w:val="1020"/>
        </w:numPr>
      </w:pPr>
      <w:r>
        <w:t xml:space="preserve">Cloud accounts / subscriptions enumerated; CSW cloud connectors prepared</w:t>
      </w:r>
    </w:p>
    <w:p>
      <w:pPr>
        <w:pStyle w:val="Compact"/>
        <w:numPr>
          <w:ilvl w:val="0"/>
          <w:numId w:val="1021"/>
        </w:numPr>
      </w:pPr>
      <w:r>
        <w:t xml:space="preserve">Sensor compatibility verified for representative Linux / Windows cloud workloads</w:t>
      </w:r>
    </w:p>
    <w:p>
      <w:pPr>
        <w:pStyle w:val="Compact"/>
        <w:numPr>
          <w:ilvl w:val="0"/>
          <w:numId w:val="1022"/>
        </w:numPr>
      </w:pPr>
      <w:r>
        <w:t xml:space="preserve">Tenant separation model documented (single-tenant per customer? multi-tenant with logical isolation?)</w:t>
      </w:r>
    </w:p>
    <w:p>
      <w:pPr>
        <w:pStyle w:val="Compact"/>
        <w:numPr>
          <w:ilvl w:val="0"/>
          <w:numId w:val="1023"/>
        </w:numPr>
      </w:pPr>
      <w:r>
        <w:t xml:space="preserve">Stakeholders identified: CISO, Cloud Operations Lead, Auditor liaison, Service Provider Manager</w:t>
      </w:r>
    </w:p>
    <w:p>
      <w:pPr>
        <w:pStyle w:val="Compact"/>
        <w:numPr>
          <w:ilvl w:val="0"/>
          <w:numId w:val="1024"/>
        </w:numPr>
      </w:pPr>
      <w:r>
        <w:t xml:space="preserve">Evidence retention period agreed with the auditor (typically 12 months for Type 2)</w:t>
      </w:r>
    </w:p>
    <w:p>
      <w:r>
        <w:pict>
          <v:rect style="width:0;height:1.5pt" o:hralign="center" o:hrstd="t" o:hr="t"/>
        </w:pict>
      </w:r>
    </w:p>
    <w:bookmarkEnd w:id="23"/>
    <w:bookmarkStart w:id="24" w:name="X22da80eaa66a296c63807bd9000fc35dcb0cfa7"/>
    <w:p>
      <w:pPr>
        <w:pStyle w:val="Heading2"/>
      </w:pPr>
      <w:r>
        <w:t xml:space="preserve">3. Phase 1 — Sensor &amp; Connector Deployment (Days 1–5)</w:t>
      </w:r>
    </w:p>
    <w:p>
      <w:pPr>
        <w:pStyle w:val="Compact"/>
        <w:numPr>
          <w:ilvl w:val="0"/>
          <w:numId w:val="1025"/>
        </w:numPr>
      </w:pPr>
      <w:r>
        <w:t xml:space="preserve">Connect all in-scope cloud accounts / subscriptions as read-only CSW cloud connectors</w:t>
      </w:r>
    </w:p>
    <w:p>
      <w:pPr>
        <w:pStyle w:val="Compact"/>
        <w:numPr>
          <w:ilvl w:val="0"/>
          <w:numId w:val="1025"/>
        </w:numPr>
      </w:pPr>
      <w:r>
        <w:t xml:space="preserve">Install software sensors on representative cloud workloads in monitoring mode</w:t>
      </w:r>
    </w:p>
    <w:p>
      <w:pPr>
        <w:pStyle w:val="Compact"/>
        <w:numPr>
          <w:ilvl w:val="0"/>
          <w:numId w:val="1025"/>
        </w:numPr>
      </w:pPr>
      <w:r>
        <w:t xml:space="preserve">Day-1 labels: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service_offering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compliance=bsi-c5</w:t>
      </w:r>
    </w:p>
    <w:p>
      <w:pPr>
        <w:pStyle w:val="Compact"/>
        <w:numPr>
          <w:ilvl w:val="0"/>
          <w:numId w:val="1025"/>
        </w:numPr>
      </w:pPr>
      <w:r>
        <w:t xml:space="preserve">Maintain a</w:t>
      </w:r>
      <w:r>
        <w:t xml:space="preserve"> </w:t>
      </w:r>
      <w:r>
        <w:rPr>
          <w:rStyle w:val="VerbatimChar"/>
        </w:rPr>
        <w:t xml:space="preserve">cannot-instrument</w:t>
      </w:r>
      <w:r>
        <w:t xml:space="preserve"> </w:t>
      </w:r>
      <w:r>
        <w:t xml:space="preserve">register for managed PaaS / SaaS dependencies; this register is evidence</w:t>
      </w:r>
    </w:p>
    <w:p>
      <w:pPr>
        <w:pStyle w:val="Compact"/>
        <w:numPr>
          <w:ilvl w:val="0"/>
          <w:numId w:val="1025"/>
        </w:numPr>
      </w:pPr>
      <w:r>
        <w:t xml:space="preserve">Retain Phase-1 sensor inventory baseline</w:t>
      </w:r>
    </w:p>
    <w:p>
      <w:r>
        <w:pict>
          <v:rect style="width:0;height:1.5pt" o:hralign="center" o:hrstd="t" o:hr="t"/>
        </w:pict>
      </w:r>
    </w:p>
    <w:bookmarkEnd w:id="24"/>
    <w:bookmarkStart w:id="28" w:name="X7a953d86d9d8d2b5c4572ab86b8f244caaa5a38"/>
    <w:p>
      <w:pPr>
        <w:pStyle w:val="Heading2"/>
      </w:pPr>
      <w:r>
        <w:t xml:space="preserve">4. Phase 2 — Scope, Tenant Boundary, and Asset Management (Days 6–10) — supports AM, KOS</w:t>
      </w:r>
    </w:p>
    <w:bookmarkStart w:id="25" w:name="X1693e8ed8d7ba28276ba2fd8028526127c9c2fd"/>
    <w:p>
      <w:pPr>
        <w:pStyle w:val="Heading3"/>
      </w:pPr>
      <w:r>
        <w:t xml:space="preserve">4.1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BSI-C5</w:t>
      </w:r>
      <w:r>
        <w:br/>
      </w:r>
      <w:r>
        <w:rPr>
          <w:rStyle w:val="VerbatimChar"/>
        </w:rPr>
        <w:t xml:space="preserve">    ├── Customer-Tenants</w:t>
      </w:r>
      <w:r>
        <w:br/>
      </w:r>
      <w:r>
        <w:rPr>
          <w:rStyle w:val="VerbatimChar"/>
        </w:rPr>
        <w:t xml:space="preserve">    │   ├── Tenant-A</w:t>
      </w:r>
      <w:r>
        <w:br/>
      </w:r>
      <w:r>
        <w:rPr>
          <w:rStyle w:val="VerbatimChar"/>
        </w:rPr>
        <w:t xml:space="preserve">    │   ├── Tenant-B</w:t>
      </w:r>
      <w:r>
        <w:br/>
      </w:r>
      <w:r>
        <w:rPr>
          <w:rStyle w:val="VerbatimChar"/>
        </w:rPr>
        <w:t xml:space="preserve">    │   └── Tenant-C</w:t>
      </w:r>
      <w:r>
        <w:br/>
      </w:r>
      <w:r>
        <w:rPr>
          <w:rStyle w:val="VerbatimChar"/>
        </w:rPr>
        <w:t xml:space="preserve">    ├── Shared-Infrastructure</w:t>
      </w:r>
      <w:r>
        <w:br/>
      </w:r>
      <w:r>
        <w:rPr>
          <w:rStyle w:val="VerbatimChar"/>
        </w:rPr>
        <w:t xml:space="preserve">    │   ├── Identity-Layer</w:t>
      </w:r>
      <w:r>
        <w:br/>
      </w:r>
      <w:r>
        <w:rPr>
          <w:rStyle w:val="VerbatimChar"/>
        </w:rPr>
        <w:t xml:space="preserve">    │   ├── Logging-Telemetry</w:t>
      </w:r>
      <w:r>
        <w:br/>
      </w:r>
      <w:r>
        <w:rPr>
          <w:rStyle w:val="VerbatimChar"/>
        </w:rPr>
        <w:t xml:space="preserve">    │   ├── Patch-Configuration</w:t>
      </w:r>
      <w:r>
        <w:br/>
      </w:r>
      <w:r>
        <w:rPr>
          <w:rStyle w:val="VerbatimChar"/>
        </w:rPr>
        <w:t xml:space="preserve">    │   └── Backup-Layer</w:t>
      </w:r>
      <w:r>
        <w:br/>
      </w:r>
      <w:r>
        <w:rPr>
          <w:rStyle w:val="VerbatimChar"/>
        </w:rPr>
        <w:t xml:space="preserve">    ├── Management-Plane</w:t>
      </w:r>
      <w:r>
        <w:br/>
      </w:r>
      <w:r>
        <w:rPr>
          <w:rStyle w:val="VerbatimChar"/>
        </w:rPr>
        <w:t xml:space="preserve">    │   ├── Operator-Jump-Hosts</w:t>
      </w:r>
      <w:r>
        <w:br/>
      </w:r>
      <w:r>
        <w:rPr>
          <w:rStyle w:val="VerbatimChar"/>
        </w:rPr>
        <w:t xml:space="preserve">    │   └── Admin-Consoles</w:t>
      </w:r>
      <w:r>
        <w:br/>
      </w:r>
      <w:r>
        <w:rPr>
          <w:rStyle w:val="VerbatimChar"/>
        </w:rPr>
        <w:t xml:space="preserve">    └── External-Service-Providers</w:t>
      </w:r>
    </w:p>
    <w:bookmarkEnd w:id="25"/>
    <w:bookmarkStart w:id="26" w:name="X8a21421d68e73da13795ca69bbac7105a1a86a1"/>
    <w:p>
      <w:pPr>
        <w:pStyle w:val="Heading3"/>
      </w:pPr>
      <w:r>
        <w:t xml:space="preserve">4.2 Inventory Filters</w:t>
      </w:r>
    </w:p>
    <w:p>
      <w:pPr>
        <w:pStyle w:val="SourceCode"/>
      </w:pPr>
      <w:r>
        <w:rPr>
          <w:rStyle w:val="VerbatimChar"/>
        </w:rPr>
        <w:t xml:space="preserve">Filter: Customer-Tenant-Membership</w:t>
      </w:r>
      <w:r>
        <w:br/>
      </w:r>
      <w:r>
        <w:rPr>
          <w:rStyle w:val="VerbatimChar"/>
        </w:rPr>
        <w:t xml:space="preserve">  - Tag (from cloud tags): tenant = &lt;tenant-id&gt;</w:t>
      </w:r>
      <w:r>
        <w:br/>
      </w:r>
      <w:r>
        <w:rPr>
          <w:rStyle w:val="VerbatimChar"/>
        </w:rPr>
        <w:t xml:space="preserve">  - Cloud account / subscription matches tenant assignment</w:t>
      </w:r>
      <w:r>
        <w:br/>
      </w:r>
      <w:r>
        <w:br/>
      </w:r>
      <w:r>
        <w:rPr>
          <w:rStyle w:val="VerbatimChar"/>
        </w:rPr>
        <w:t xml:space="preserve">Filter: Shared-Infrastructure-Candidates</w:t>
      </w:r>
      <w:r>
        <w:br/>
      </w:r>
      <w:r>
        <w:rPr>
          <w:rStyle w:val="VerbatimChar"/>
        </w:rPr>
        <w:t xml:space="preserve">  - Tag: service_offering = shared | platform</w:t>
      </w:r>
      <w:r>
        <w:br/>
      </w:r>
      <w:r>
        <w:rPr>
          <w:rStyle w:val="VerbatimChar"/>
        </w:rPr>
        <w:t xml:space="preserve">  - Reach: serves multiple tenants</w:t>
      </w:r>
      <w:r>
        <w:br/>
      </w:r>
      <w:r>
        <w:br/>
      </w:r>
      <w:r>
        <w:rPr>
          <w:rStyle w:val="VerbatimChar"/>
        </w:rPr>
        <w:t xml:space="preserve">Filter: Management-Plane-Candidates</w:t>
      </w:r>
      <w:r>
        <w:br/>
      </w:r>
      <w:r>
        <w:rPr>
          <w:rStyle w:val="VerbatimChar"/>
        </w:rPr>
        <w:t xml:space="preserve">  - Listening port: 22, 3389, 443 (admin endpoints)</w:t>
      </w:r>
      <w:r>
        <w:br/>
      </w:r>
      <w:r>
        <w:rPr>
          <w:rStyle w:val="VerbatimChar"/>
        </w:rPr>
        <w:t xml:space="preserve">  - Tag: purpose = management-plane</w:t>
      </w:r>
    </w:p>
    <w:bookmarkEnd w:id="26"/>
    <w:bookmarkStart w:id="27" w:name="Xb7c9ada7c75a26ba406466375e768460fd35299"/>
    <w:p>
      <w:pPr>
        <w:pStyle w:val="Heading3"/>
      </w:pPr>
      <w:r>
        <w:t xml:space="preserve">4.3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C5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Anchors KOS tenant-separation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Maps workloads to customer contractual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production, staging, dev</w:t>
            </w:r>
          </w:p>
        </w:tc>
        <w:tc>
          <w:tcPr/>
          <w:p>
            <w:pPr>
              <w:pStyle w:val="Compact"/>
            </w:pPr>
            <w:r>
              <w:t xml:space="preserve">Required for environment separation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t xml:space="preserve">customer, internal, public</w:t>
            </w:r>
          </w:p>
        </w:tc>
        <w:tc>
          <w:tcPr/>
          <w:p>
            <w:pPr>
              <w:pStyle w:val="Compact"/>
            </w:pPr>
            <w:r>
              <w:t xml:space="preserve">Data-handling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service_offering</w:t>
            </w:r>
          </w:p>
        </w:tc>
        <w:tc>
          <w:tcPr/>
          <w:p>
            <w:pPr>
              <w:pStyle w:val="Compact"/>
            </w:pPr>
            <w:r>
              <w:t xml:space="preserve">, shared, platform</w:t>
            </w:r>
          </w:p>
        </w:tc>
        <w:tc>
          <w:tcPr/>
          <w:p>
            <w:pPr>
              <w:pStyle w:val="Compact"/>
            </w:pPr>
            <w:r>
              <w:t xml:space="preserve">Maps workloads to documented service offerings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bsi-c5</w:t>
            </w:r>
          </w:p>
        </w:tc>
        <w:tc>
          <w:tcPr/>
          <w:p>
            <w:pPr>
              <w:pStyle w:val="Compact"/>
            </w:pPr>
            <w:r>
              <w:t xml:space="preserve">Filters CSW evidence to C5 scope</w:t>
            </w:r>
          </w:p>
        </w:tc>
      </w:tr>
    </w:tbl>
    <w:p>
      <w:pPr>
        <w:pStyle w:val="BodyText"/>
      </w:pPr>
      <w:r>
        <w:t xml:space="preserve">Inventory + scope + label evidence = AM evidence at the workload layer.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73fc0985945f9f5d78a981baf2967e2fc341ab8"/>
    <w:p>
      <w:pPr>
        <w:pStyle w:val="Heading2"/>
      </w:pPr>
      <w:r>
        <w:t xml:space="preserve">5. Phase 3 — Application Dependency Mapping (Days 11–21)</w:t>
      </w:r>
    </w:p>
    <w:p>
      <w:pPr>
        <w:pStyle w:val="FirstParagraph"/>
      </w:pPr>
      <w:r>
        <w:t xml:space="preserve">Run ADM for each scope across a 2-week-minimum window. Document, per cluster: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C5 topic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Tenant-A workloads ever reach Tenant-B workloads?</w:t>
            </w:r>
          </w:p>
        </w:tc>
        <w:tc>
          <w:tcPr/>
          <w:p>
            <w:pPr>
              <w:pStyle w:val="Compact"/>
            </w:pPr>
            <w:r>
              <w:t xml:space="preserve">KOS (tenant separation)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flows from Management-Plane into Customer-Tenants restricted to documented admin paths?</w:t>
            </w:r>
          </w:p>
        </w:tc>
        <w:tc>
          <w:tcPr/>
          <w:p>
            <w:pPr>
              <w:pStyle w:val="Compact"/>
            </w:pPr>
            <w:r>
              <w:t xml:space="preserve">IDM (privileged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database flows plaintext?</w:t>
            </w:r>
          </w:p>
        </w:tc>
        <w:tc>
          <w:tcPr/>
          <w:p>
            <w:pPr>
              <w:pStyle w:val="Compact"/>
            </w:pPr>
            <w:r>
              <w:t xml:space="preserve">KRY (detection)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Customer-Tenants reach External-Service-Providers?</w:t>
            </w:r>
          </w:p>
        </w:tc>
        <w:tc>
          <w:tcPr/>
          <w:p>
            <w:pPr>
              <w:pStyle w:val="Compact"/>
            </w:pPr>
            <w:r>
              <w:t xml:space="preserve">SP (sub-service-provider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unexpected lateral flows present inside Shared-Infrastructure?</w:t>
            </w:r>
          </w:p>
        </w:tc>
        <w:tc>
          <w:tcPr/>
          <w:p>
            <w:pPr>
              <w:pStyle w:val="Compact"/>
            </w:pPr>
            <w:r>
              <w:t xml:space="preserve">OPS / SIM</w:t>
            </w:r>
          </w:p>
        </w:tc>
      </w:tr>
    </w:tbl>
    <w:p>
      <w:pPr>
        <w:pStyle w:val="BodyText"/>
      </w:pPr>
      <w:r>
        <w:t xml:space="preserve">Use ADM to confirm / correct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service_offering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 </w:t>
      </w:r>
      <w:r>
        <w:t xml:space="preserve">labels.</w:t>
      </w:r>
    </w:p>
    <w:p>
      <w:r>
        <w:pict>
          <v:rect style="width:0;height:1.5pt" o:hralign="center" o:hrstd="t" o:hr="t"/>
        </w:pict>
      </w:r>
    </w:p>
    <w:bookmarkEnd w:id="29"/>
    <w:bookmarkStart w:id="32" w:name="X43ee64b24aee0ff0fb42361ce492aaabda6fd45"/>
    <w:p>
      <w:pPr>
        <w:pStyle w:val="Heading2"/>
      </w:pPr>
      <w:r>
        <w:t xml:space="preserve">6. Phase 4 — Policy Development (Days 22–35) — supports KOS, IDM, OPS</w:t>
      </w:r>
    </w:p>
    <w:bookmarkStart w:id="30" w:name="Xd0d70251c8d4d84a14cd6eeee0970c12613c248"/>
    <w:p>
      <w:pPr>
        <w:pStyle w:val="Heading3"/>
      </w:pPr>
      <w:r>
        <w:t xml:space="preserve">6.1 C5-Aligned Policy Framework</w:t>
      </w:r>
    </w:p>
    <w:p>
      <w:pPr>
        <w:pStyle w:val="FirstParagraph"/>
      </w:pPr>
      <w:r>
        <w:rPr>
          <w:b/>
          <w:bCs/>
        </w:rPr>
        <w:t xml:space="preserve">Absolute policies (tenant separation; the heart of KOS for multi-tenant CSPs):</w:t>
      </w:r>
    </w:p>
    <w:p>
      <w:pPr>
        <w:pStyle w:val="SourceCode"/>
      </w:pPr>
      <w:r>
        <w:rPr>
          <w:rStyle w:val="VerbatimChar"/>
        </w:rPr>
        <w:t xml:space="preserve">DENY  Tenant-A                  → Tenant-B                       (no cross-tenant flow)</w:t>
      </w:r>
      <w:r>
        <w:br/>
      </w:r>
      <w:r>
        <w:rPr>
          <w:rStyle w:val="VerbatimChar"/>
        </w:rPr>
        <w:t xml:space="preserve">DENY  Tenant-B                  → Tenant-A                       (no cross-tenant flow)</w:t>
      </w:r>
      <w:r>
        <w:br/>
      </w:r>
      <w:r>
        <w:rPr>
          <w:rStyle w:val="VerbatimChar"/>
        </w:rPr>
        <w:t xml:space="preserve">DENY  Customer-Tenants          → Internet                       (no direct internet egress unless service-offering-defined)</w:t>
      </w:r>
      <w:r>
        <w:br/>
      </w:r>
      <w:r>
        <w:rPr>
          <w:rStyle w:val="VerbatimChar"/>
        </w:rPr>
        <w:t xml:space="preserve">DENY  Corporate-IT              → Customer-Tenants               (admin only via Management-Plane)</w:t>
      </w:r>
    </w:p>
    <w:p>
      <w:pPr>
        <w:pStyle w:val="FirstParagraph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Tenant-A-Channel          → Tenant-A-DB                    tcp/&lt;db-port-tls&gt;</w:t>
      </w:r>
      <w:r>
        <w:br/>
      </w:r>
      <w:r>
        <w:rPr>
          <w:rStyle w:val="VerbatimChar"/>
        </w:rPr>
        <w:t xml:space="preserve">ALLOW Customer-Tenants          → Shared-Infrastructure          tcp/443 (platform services only)</w:t>
      </w:r>
      <w:r>
        <w:br/>
      </w:r>
      <w:r>
        <w:rPr>
          <w:rStyle w:val="VerbatimChar"/>
        </w:rPr>
        <w:t xml:space="preserve">ALLOW Operator-Jump-Hosts       → Customer-Tenants               tcp/22, tcp/3389</w:t>
      </w:r>
      <w:r>
        <w:br/>
      </w:r>
      <w:r>
        <w:rPr>
          <w:rStyle w:val="VerbatimChar"/>
        </w:rPr>
        <w:t xml:space="preserve">ALLOW Customer-Tenants          → Logging-Telemetry              tcp/443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→ Customer-Tenants               (unmatched inbound)</w:t>
      </w:r>
      <w:r>
        <w:br/>
      </w:r>
      <w:r>
        <w:rPr>
          <w:rStyle w:val="VerbatimChar"/>
        </w:rPr>
        <w:t xml:space="preserve">LOG   Customer-Tenants          → Any                            (unmatched outbound)</w:t>
      </w:r>
    </w:p>
    <w:bookmarkEnd w:id="30"/>
    <w:bookmarkStart w:id="31" w:name="Xf27d7a2f56963a431bd62f7d42b2f99dfc74bc3"/>
    <w:p>
      <w:pPr>
        <w:pStyle w:val="Heading3"/>
      </w:pPr>
      <w:r>
        <w:t xml:space="preserve">6.2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against live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of cross-tenant denies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The most critical KOS rule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= KOS / IDM / OPS control-implementation 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8e702e6b3e5bf0b962d39151f9e707837fc8bb"/>
    <w:p>
      <w:pPr>
        <w:pStyle w:val="Heading2"/>
      </w:pPr>
      <w:r>
        <w:t xml:space="preserve">7. Phase 5 — Topic Mapping with CSW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C5 topic area</w:t>
            </w:r>
          </w:p>
        </w:tc>
        <w:tc>
          <w:tcPr/>
          <w:p>
            <w:pPr>
              <w:pStyle w:val="Compact"/>
            </w:pPr>
            <w:r>
              <w:t xml:space="preserve">What CSW produces</w:t>
            </w:r>
          </w:p>
        </w:tc>
        <w:tc>
          <w:tcPr/>
          <w:p>
            <w:pPr>
              <w:pStyle w:val="Compact"/>
            </w:pPr>
            <w:r>
              <w:t xml:space="preserve">How to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Workload inventory; scope + label export</w:t>
            </w:r>
          </w:p>
        </w:tc>
        <w:tc>
          <w:tcPr/>
          <w:p>
            <w:pPr>
              <w:pStyle w:val="Compact"/>
            </w:pPr>
            <w:r>
              <w:t xml:space="preserve">Asset and classification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IDM</w:t>
            </w:r>
          </w:p>
        </w:tc>
        <w:tc>
          <w:tcPr/>
          <w:p>
            <w:pPr>
              <w:pStyle w:val="Compact"/>
            </w:pPr>
            <w:r>
              <w:t xml:space="preserve">Policy workspace + enforcement / violation log</w:t>
            </w:r>
          </w:p>
        </w:tc>
        <w:tc>
          <w:tcPr/>
          <w:p>
            <w:pPr>
              <w:pStyle w:val="Compact"/>
            </w:pPr>
            <w:r>
              <w:t xml:space="preserve">Workload-to-workload privilege evidence (complements identity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KRY</w:t>
            </w:r>
          </w:p>
        </w:tc>
        <w:tc>
          <w:tcPr/>
          <w:p>
            <w:pPr>
              <w:pStyle w:val="Compact"/>
            </w:pPr>
            <w:r>
              <w:t xml:space="preserve">Plaintext-flow detection</w:t>
            </w:r>
          </w:p>
        </w:tc>
        <w:tc>
          <w:tcPr/>
          <w:p>
            <w:pPr>
              <w:pStyle w:val="Compact"/>
            </w:pPr>
            <w:r>
              <w:t xml:space="preserve">Detection input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Continuous flow / process telemetry; vulnerability + reachability; configuration drift on policy</w:t>
            </w:r>
          </w:p>
        </w:tc>
        <w:tc>
          <w:tcPr/>
          <w:p>
            <w:pPr>
              <w:pStyle w:val="Compact"/>
            </w:pPr>
            <w:r>
              <w:t xml:space="preserve">Operational security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</w:t>
            </w:r>
          </w:p>
        </w:tc>
        <w:tc>
          <w:tcPr/>
          <w:p>
            <w:pPr>
              <w:pStyle w:val="Compact"/>
            </w:pPr>
            <w:r>
              <w:t xml:space="preserve">Policy workspace; ADM-derived allowlist; observed flows</w:t>
            </w:r>
          </w:p>
        </w:tc>
        <w:tc>
          <w:tcPr/>
          <w:p>
            <w:pPr>
              <w:pStyle w:val="Compact"/>
            </w:pPr>
            <w:r>
              <w:t xml:space="preserve">Communication security / tenant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Outbound flow summary to service-provider endpoints</w:t>
            </w:r>
          </w:p>
        </w:tc>
        <w:tc>
          <w:tcPr/>
          <w:p>
            <w:pPr>
              <w:pStyle w:val="Compact"/>
            </w:pPr>
            <w:r>
              <w:t xml:space="preserve">Sub-service-provider monitoring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Flow + process search across the incident window</w:t>
            </w:r>
          </w:p>
        </w:tc>
        <w:tc>
          <w:tcPr/>
          <w:p>
            <w:pPr>
              <w:pStyle w:val="Compact"/>
            </w:pPr>
            <w:r>
              <w:t xml:space="preserve">Forensic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BCM</w:t>
            </w:r>
          </w:p>
        </w:tc>
        <w:tc>
          <w:tcPr/>
          <w:p>
            <w:pPr>
              <w:pStyle w:val="Compact"/>
            </w:pPr>
            <w:r>
              <w:t xml:space="preserve">Approved flow baseline for recovery validation</w:t>
            </w:r>
          </w:p>
        </w:tc>
        <w:tc>
          <w:tcPr/>
          <w:p>
            <w:pPr>
              <w:pStyle w:val="Compact"/>
            </w:pPr>
            <w:r>
              <w:t xml:space="preserve">Recoverability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Periodic evidence pack (Section 10.1)</w:t>
            </w:r>
          </w:p>
        </w:tc>
        <w:tc>
          <w:tcPr/>
          <w:p>
            <w:pPr>
              <w:pStyle w:val="Compact"/>
            </w:pPr>
            <w:r>
              <w:t xml:space="preserve">Auditor work-paper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</w:t>
            </w:r>
          </w:p>
        </w:tc>
        <w:tc>
          <w:tcPr/>
          <w:p>
            <w:pPr>
              <w:pStyle w:val="Compact"/>
            </w:pPr>
            <w:r>
              <w:t xml:space="preserve">Flow + process search</w:t>
            </w:r>
          </w:p>
        </w:tc>
        <w:tc>
          <w:tcPr/>
          <w:p>
            <w:pPr>
              <w:pStyle w:val="Compact"/>
            </w:pPr>
            <w:r>
              <w:t xml:space="preserve">Investigation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d8a5d776427c2ae09c1ca098e6ec655e1d6662a"/>
    <w:p>
      <w:pPr>
        <w:pStyle w:val="Heading2"/>
      </w:pPr>
      <w:r>
        <w:t xml:space="preserve">8. Phase 6 — Vulnerability &amp; Risk Management (OPS)</w:t>
      </w:r>
    </w:p>
    <w:p>
      <w:pPr>
        <w:pStyle w:val="FirstParagraph"/>
      </w:pPr>
      <w:r>
        <w:t xml:space="preserve">Reachability-weighted prioritisation:</w:t>
      </w:r>
    </w:p>
    <w:p>
      <w:pPr>
        <w:pStyle w:val="SourceCode"/>
      </w:pPr>
      <w:r>
        <w:rPr>
          <w:rStyle w:val="VerbatimChar"/>
        </w:rPr>
        <w:t xml:space="preserve">Priority 1: Critical CVE on Customer-Tenants with inbound reachability</w:t>
      </w:r>
      <w:r>
        <w:br/>
      </w:r>
      <w:r>
        <w:rPr>
          <w:rStyle w:val="VerbatimChar"/>
        </w:rPr>
        <w:t xml:space="preserve">Priority 2: Critical CVE on Shared-Infrastructure with reach into Customer-Tenants</w:t>
      </w:r>
      <w:r>
        <w:br/>
      </w:r>
      <w:r>
        <w:rPr>
          <w:rStyle w:val="VerbatimChar"/>
        </w:rPr>
        <w:t xml:space="preserve">Priority 3: Critical CVE on Management-Plane workloads</w:t>
      </w:r>
    </w:p>
    <w:p>
      <w:pPr>
        <w:pStyle w:val="FirstParagraph"/>
      </w:pPr>
      <w:r>
        <w:t xml:space="preserve">Document compensating controls in the policy workspace exception register; this register is itself evidence under OPS (vulnerability and risk management).</w:t>
      </w:r>
    </w:p>
    <w:p>
      <w:r>
        <w:pict>
          <v:rect style="width:0;height:1.5pt" o:hralign="center" o:hrstd="t" o:hr="t"/>
        </w:pict>
      </w:r>
    </w:p>
    <w:bookmarkEnd w:id="34"/>
    <w:bookmarkStart w:id="36" w:name="Xe4a73b4964f89c47dbfd88869ca179003449cc7"/>
    <w:p>
      <w:pPr>
        <w:pStyle w:val="Heading2"/>
      </w:pPr>
      <w:r>
        <w:t xml:space="preserve">9. Phase 7 — Monitoring &amp; Alerting (OPS / SIM)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C5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attempt</w:t>
            </w:r>
          </w:p>
        </w:tc>
        <w:tc>
          <w:tcPr/>
          <w:p>
            <w:pPr>
              <w:pStyle w:val="Compact"/>
            </w:pPr>
            <w:r>
              <w:t xml:space="preserve">Tenant-A → Tenant-B (any flow)</w:t>
            </w:r>
          </w:p>
        </w:tc>
        <w:tc>
          <w:tcPr/>
          <w:p>
            <w:pPr>
              <w:pStyle w:val="Compact"/>
            </w:pPr>
            <w:r>
              <w:t xml:space="preserve">KOS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Management-Plane → Customer-Tenant outside change window</w:t>
            </w:r>
          </w:p>
        </w:tc>
        <w:tc>
          <w:tcPr/>
          <w:p>
            <w:pPr>
              <w:pStyle w:val="Compact"/>
            </w:pPr>
            <w:r>
              <w:t xml:space="preserve">Operator-Jump-Hosts → Customer-Tenants outside an authorised change window</w:t>
            </w:r>
          </w:p>
        </w:tc>
        <w:tc>
          <w:tcPr/>
          <w:p>
            <w:pPr>
              <w:pStyle w:val="Compact"/>
            </w:pPr>
            <w:r>
              <w:t xml:space="preserve">IDM /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egress from Customer-Tenants</w:t>
            </w:r>
          </w:p>
        </w:tc>
        <w:tc>
          <w:tcPr/>
          <w:p>
            <w:pPr>
              <w:pStyle w:val="Compact"/>
            </w:pPr>
            <w:r>
              <w:t xml:space="preserve">Customer-Tenants → external endpoint not in allow-list</w:t>
            </w:r>
          </w:p>
        </w:tc>
        <w:tc>
          <w:tcPr/>
          <w:p>
            <w:pPr>
              <w:pStyle w:val="Compact"/>
            </w:pPr>
            <w:r>
              <w:t xml:space="preserve">SP / KOS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on regulated path</w:t>
            </w:r>
          </w:p>
        </w:tc>
        <w:tc>
          <w:tcPr/>
          <w:p>
            <w:pPr>
              <w:pStyle w:val="Compact"/>
            </w:pPr>
            <w:r>
              <w:t xml:space="preserve">HTTP / unencrypted DB protocol from Customer-Tenants</w:t>
            </w:r>
          </w:p>
        </w:tc>
        <w:tc>
          <w:tcPr/>
          <w:p>
            <w:pPr>
              <w:pStyle w:val="Compact"/>
            </w:pPr>
            <w:r>
              <w:t xml:space="preserve">KRY (detection)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</w:pPr>
            <w:r>
              <w:t xml:space="preserve">Enforced policy block triggered</w:t>
            </w:r>
          </w:p>
        </w:tc>
        <w:tc>
          <w:tcPr/>
          <w:p>
            <w:pPr>
              <w:pStyle w:val="Compact"/>
            </w:pPr>
            <w:r>
              <w:t xml:space="preserve">KOS /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offline</w:t>
            </w:r>
          </w:p>
        </w:tc>
        <w:tc>
          <w:tcPr/>
          <w:p>
            <w:pPr>
              <w:pStyle w:val="Compact"/>
            </w:pPr>
            <w:r>
              <w:t xml:space="preserve">Agent stops reporting</w:t>
            </w:r>
          </w:p>
        </w:tc>
        <w:tc>
          <w:tcPr/>
          <w:p>
            <w:pPr>
              <w:pStyle w:val="Compact"/>
            </w:pPr>
            <w:r>
              <w:t xml:space="preserve">Evidence integrity</w:t>
            </w:r>
          </w:p>
        </w:tc>
      </w:tr>
    </w:tbl>
    <w:bookmarkStart w:id="35" w:name="X19323e5328383296ece5de1efe5e9ee35b12f54"/>
    <w:p>
      <w:pPr>
        <w:pStyle w:val="Heading3"/>
      </w:pPr>
      <w:r>
        <w:t xml:space="preserve">9.2 Forensic Telemetry</w:t>
      </w:r>
    </w:p>
    <w:p>
      <w:pPr>
        <w:pStyle w:val="FirstParagraph"/>
      </w:pPr>
      <w:r>
        <w:t xml:space="preserve">Per incident, retain:</w:t>
      </w:r>
    </w:p>
    <w:p>
      <w:pPr>
        <w:pStyle w:val="Compact"/>
        <w:numPr>
          <w:ilvl w:val="0"/>
          <w:numId w:val="1026"/>
        </w:numPr>
      </w:pPr>
      <w:r>
        <w:t xml:space="preserve">Flow log scoped to affected workload(s) and time window (with process context)</w:t>
      </w:r>
    </w:p>
    <w:p>
      <w:pPr>
        <w:pStyle w:val="Compact"/>
        <w:numPr>
          <w:ilvl w:val="0"/>
          <w:numId w:val="1026"/>
        </w:numPr>
      </w:pPr>
      <w:r>
        <w:t xml:space="preserve">Process search output</w:t>
      </w:r>
    </w:p>
    <w:p>
      <w:pPr>
        <w:pStyle w:val="Compact"/>
        <w:numPr>
          <w:ilvl w:val="0"/>
          <w:numId w:val="1026"/>
        </w:numPr>
      </w:pPr>
      <w:r>
        <w:t xml:space="preserve">Policy workspace state at the time of the incident</w:t>
      </w:r>
    </w:p>
    <w:p>
      <w:pPr>
        <w:pStyle w:val="Compact"/>
        <w:numPr>
          <w:ilvl w:val="0"/>
          <w:numId w:val="1026"/>
        </w:numPr>
      </w:pPr>
      <w:r>
        <w:t xml:space="preserve">Vulnerability snapshot for the affected workload(s)</w:t>
      </w:r>
    </w:p>
    <w:p>
      <w:pPr>
        <w:pStyle w:val="Compact"/>
        <w:numPr>
          <w:ilvl w:val="0"/>
          <w:numId w:val="1026"/>
        </w:numPr>
      </w:pPr>
      <w:r>
        <w:t xml:space="preserve">Customer / tenant identification of the affected workload(s) for breach-notification scoping (decision is governance, not automated)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f9dcfbbebede508330b675d9160fa500f3d4e85"/>
    <w:p>
      <w:pPr>
        <w:pStyle w:val="Heading2"/>
      </w:pPr>
      <w:r>
        <w:t xml:space="preserve">10. Reporting &amp; Evidence Collection</w:t>
      </w:r>
    </w:p>
    <w:bookmarkStart w:id="37" w:name="X100bc232e78f2c3c2a28292a6ea759f108e43d4"/>
    <w:p>
      <w:pPr>
        <w:pStyle w:val="Heading3"/>
      </w:pPr>
      <w:r>
        <w:t xml:space="preserve">10.1 Evidence per Audit Cycle (continuous; auditor sample window typically 12 months for Type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 area</w:t>
            </w:r>
          </w:p>
        </w:tc>
        <w:tc>
          <w:tcPr/>
          <w:p>
            <w:pPr>
              <w:pStyle w:val="Compact"/>
            </w:pPr>
            <w:r>
              <w:t xml:space="preserve">C5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Inventory export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+ label membership</w:t>
            </w:r>
          </w:p>
        </w:tc>
        <w:tc>
          <w:tcPr/>
          <w:p>
            <w:pPr>
              <w:pStyle w:val="Compact"/>
            </w:pPr>
            <w:r>
              <w:t xml:space="preserve">Scope membership export</w:t>
            </w:r>
          </w:p>
        </w:tc>
        <w:tc>
          <w:tcPr/>
          <w:p>
            <w:pPr>
              <w:pStyle w:val="Compact"/>
            </w:pPr>
            <w:r>
              <w:t xml:space="preserve">AM / KOS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vs. observed flows</w:t>
            </w:r>
          </w:p>
        </w:tc>
        <w:tc>
          <w:tcPr/>
          <w:p>
            <w:pPr>
              <w:pStyle w:val="Compact"/>
            </w:pPr>
            <w:r>
              <w:t xml:space="preserve">ADM workspace export</w:t>
            </w:r>
          </w:p>
        </w:tc>
        <w:tc>
          <w:tcPr/>
          <w:p>
            <w:pPr>
              <w:pStyle w:val="Compact"/>
            </w:pPr>
            <w:r>
              <w:t xml:space="preserve">KOS /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workspace snapshot</w:t>
            </w:r>
          </w:p>
        </w:tc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KOS / IDM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/ violations</w:t>
            </w:r>
          </w:p>
        </w:tc>
        <w:tc>
          <w:tcPr/>
          <w:p>
            <w:pPr>
              <w:pStyle w:val="Compact"/>
            </w:pPr>
            <w:r>
              <w:t xml:space="preserve">Policy analysis output</w:t>
            </w:r>
          </w:p>
        </w:tc>
        <w:tc>
          <w:tcPr/>
          <w:p>
            <w:pPr>
              <w:pStyle w:val="Compact"/>
            </w:pPr>
            <w:r>
              <w:t xml:space="preserve">KOS / IDM /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+ reachability</w:t>
            </w:r>
          </w:p>
        </w:tc>
        <w:tc>
          <w:tcPr/>
          <w:p>
            <w:pPr>
              <w:pStyle w:val="Compact"/>
            </w:pPr>
            <w:r>
              <w:t xml:space="preserve">Vulnerability report scoped to BSI-C5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deny evidence</w:t>
            </w:r>
          </w:p>
        </w:tc>
        <w:tc>
          <w:tcPr/>
          <w:p>
            <w:pPr>
              <w:pStyle w:val="Compact"/>
            </w:pPr>
            <w:r>
              <w:t xml:space="preserve">Policy workspace + violation log of cross-tenant attempts</w:t>
            </w:r>
          </w:p>
        </w:tc>
        <w:tc>
          <w:tcPr/>
          <w:p>
            <w:pPr>
              <w:pStyle w:val="Compact"/>
            </w:pPr>
            <w:r>
              <w:t xml:space="preserve">KOS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service-provider egress</w:t>
            </w:r>
          </w:p>
        </w:tc>
        <w:tc>
          <w:tcPr/>
          <w:p>
            <w:pPr>
              <w:pStyle w:val="Compact"/>
            </w:pPr>
            <w:r>
              <w:t xml:space="preserve">Flow search to External-Service-Providers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timeline samples</w:t>
            </w:r>
          </w:p>
        </w:tc>
        <w:tc>
          <w:tcPr/>
          <w:p>
            <w:pPr>
              <w:pStyle w:val="Compact"/>
            </w:pPr>
            <w:r>
              <w:t xml:space="preserve">Flow + process search</w:t>
            </w:r>
          </w:p>
        </w:tc>
        <w:tc>
          <w:tcPr/>
          <w:p>
            <w:pPr>
              <w:pStyle w:val="Compact"/>
            </w:pPr>
            <w:r>
              <w:t xml:space="preserve">SIM / INQ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register</w:t>
            </w:r>
          </w:p>
        </w:tc>
        <w:tc>
          <w:tcPr/>
          <w:p>
            <w:pPr>
              <w:pStyle w:val="Compact"/>
            </w:pPr>
            <w:r>
              <w:t xml:space="preserve">Policy workspace exceptions list</w:t>
            </w:r>
          </w:p>
        </w:tc>
        <w:tc>
          <w:tcPr/>
          <w:p>
            <w:pPr>
              <w:pStyle w:val="Compact"/>
            </w:pPr>
            <w:r>
              <w:t xml:space="preserve">OPS (risk acceptance)</w:t>
            </w:r>
          </w:p>
        </w:tc>
      </w:tr>
    </w:tbl>
    <w:bookmarkEnd w:id="37"/>
    <w:bookmarkStart w:id="38" w:name="Xcccccbfb9439b60e59bd1b429cf530580392713"/>
    <w:p>
      <w:pPr>
        <w:pStyle w:val="Heading3"/>
      </w:pPr>
      <w:r>
        <w:t xml:space="preserve">10.2 Ongoing Compliance Posture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scope / inventory hygiene; tenant boundary review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policy workspace review; refresh evidence pack 10.1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Annually:</w:t>
      </w:r>
      <w:r>
        <w:t xml:space="preserve"> </w:t>
      </w:r>
      <w:r>
        <w:t xml:space="preserve">independent walk-through with the C5 auditor; refresh assumptions and baselines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Continuously:</w:t>
      </w:r>
      <w:r>
        <w:t xml:space="preserve"> </w:t>
      </w:r>
      <w:r>
        <w:t xml:space="preserve">policy drift detection; ADM re-run every 90 days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CSW evidence as the full C5 attestation</w:t>
            </w:r>
          </w:p>
        </w:tc>
        <w:tc>
          <w:tcPr/>
          <w:p>
            <w:pPr>
              <w:pStyle w:val="Compact"/>
            </w:pPr>
            <w:r>
              <w:t xml:space="preserve">C5 covers organisational, physical, supplier, and personnel controls outside CSW's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labels missing or inconsistent</w:t>
            </w:r>
          </w:p>
        </w:tc>
        <w:tc>
          <w:tcPr/>
          <w:p>
            <w:pPr>
              <w:pStyle w:val="Compact"/>
            </w:pPr>
            <w:r>
              <w:t xml:space="preserve">Reconcile customer / tenant register ↔ CSW labels monthly; tenant boundary is the most important KOS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flows discovered late in the audit</w:t>
            </w:r>
          </w:p>
        </w:tc>
        <w:tc>
          <w:tcPr/>
          <w:p>
            <w:pPr>
              <w:pStyle w:val="Compact"/>
            </w:pPr>
            <w:r>
              <w:t xml:space="preserve">Cross-tenant deny should be the very first enforcement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service_offering</w:t>
            </w:r>
            <w:r>
              <w:t xml:space="preserve"> </w:t>
            </w:r>
            <w:r>
              <w:t xml:space="preserve">not aligned with the contracted offering definitions</w:t>
            </w:r>
          </w:p>
        </w:tc>
        <w:tc>
          <w:tcPr/>
          <w:p>
            <w:pPr>
              <w:pStyle w:val="Compact"/>
            </w:pPr>
            <w:r>
              <w:t xml:space="preserve">Map service offerings 1:1 to scope branches; this is what the auditor will sample against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assumed by port</w:t>
            </w:r>
          </w:p>
        </w:tc>
        <w:tc>
          <w:tcPr/>
          <w:p>
            <w:pPr>
              <w:pStyle w:val="Compact"/>
            </w:pPr>
            <w:r>
              <w:t xml:space="preserve">Confirm by process + observed handshake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SP egress as safe because the destination is "well-known"</w:t>
            </w:r>
          </w:p>
        </w:tc>
        <w:tc>
          <w:tcPr/>
          <w:p>
            <w:pPr>
              <w:pStyle w:val="Compact"/>
            </w:pPr>
            <w:r>
              <w:t xml:space="preserve">All service-provider egress should be enumerated, reconciled to the SP register, and monitored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related-frameworks-in-this-repository"/>
    <w:p>
      <w:pPr>
        <w:pStyle w:val="Heading2"/>
      </w:pPr>
      <w:r>
        <w:t xml:space="preserve">Related Frameworks in This Repository</w:t>
      </w:r>
    </w:p>
    <w:p>
      <w:pPr>
        <w:pStyle w:val="Compact"/>
        <w:numPr>
          <w:ilvl w:val="0"/>
          <w:numId w:val="1028"/>
        </w:numPr>
      </w:pPr>
      <w:hyperlink r:id="rId41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many C5-attested CSPs are also ISO 27001 certified</w:t>
      </w:r>
    </w:p>
    <w:p>
      <w:pPr>
        <w:pStyle w:val="Compact"/>
        <w:numPr>
          <w:ilvl w:val="0"/>
          <w:numId w:val="1028"/>
        </w:numPr>
      </w:pPr>
      <w:hyperlink r:id="rId42">
        <w:r>
          <w:rPr>
            <w:rStyle w:val="Hyperlink"/>
          </w:rPr>
          <w:t xml:space="preserve">SOC 2 Type II</w:t>
        </w:r>
      </w:hyperlink>
      <w:r>
        <w:t xml:space="preserve"> </w:t>
      </w:r>
      <w:r>
        <w:t xml:space="preserve">— similar attestation model and very similar evidence style</w:t>
      </w:r>
    </w:p>
    <w:p>
      <w:pPr>
        <w:pStyle w:val="Compact"/>
        <w:numPr>
          <w:ilvl w:val="0"/>
          <w:numId w:val="1028"/>
        </w:numPr>
      </w:pPr>
      <w:hyperlink r:id="rId43">
        <w:r>
          <w:rPr>
            <w:rStyle w:val="Hyperlink"/>
          </w:rPr>
          <w:t xml:space="preserve">GDPR</w:t>
        </w:r>
      </w:hyperlink>
      <w:r>
        <w:t xml:space="preserve"> </w:t>
      </w:r>
      <w:r>
        <w:t xml:space="preserve">— relevant where C5-attested services process EU personal data</w:t>
      </w:r>
    </w:p>
    <w:p>
      <w:pPr>
        <w:pStyle w:val="Compact"/>
        <w:numPr>
          <w:ilvl w:val="0"/>
          <w:numId w:val="1028"/>
        </w:numPr>
      </w:pPr>
      <w:hyperlink r:id="rId44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useful technical control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cloud-service-provider engagements serving German public-sector and regulated customers. Replace [Customer Name] and any bracketed fields before customer delivery. Validate topic-area and criterion references against the C5 catalogue version applicable to your attestation scope.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../GDPR/CSW-GDPR-Reference-Design.md" TargetMode="External" /><Relationship Type="http://schemas.openxmlformats.org/officeDocument/2006/relationships/hyperlink" Id="rId41" Target="../ISO-27001-2022/CSW-ISO27001-Reference-Design.md" TargetMode="External" /><Relationship Type="http://schemas.openxmlformats.org/officeDocument/2006/relationships/hyperlink" Id="rId44" Target="../NIST-800-53/CSW-NIST-800-53-Reference-Design.md" TargetMode="External" /><Relationship Type="http://schemas.openxmlformats.org/officeDocument/2006/relationships/hyperlink" Id="rId42" Target="../SOC2/CSW-SOC2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./GDPR/CSW-GDPR-Reference-Design.md" TargetMode="External" /><Relationship Type="http://schemas.openxmlformats.org/officeDocument/2006/relationships/hyperlink" Id="rId41" Target="../ISO-27001-2022/CSW-ISO27001-Reference-Design.md" TargetMode="External" /><Relationship Type="http://schemas.openxmlformats.org/officeDocument/2006/relationships/hyperlink" Id="rId44" Target="../NIST-800-53/CSW-NIST-800-53-Reference-Design.md" TargetMode="External" /><Relationship Type="http://schemas.openxmlformats.org/officeDocument/2006/relationships/hyperlink" Id="rId42" Target="../SOC2/CSW-SOC2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2026-10-07T17:18:55Z</dcterms:created>
  <dcterms:modified xsi:type="dcterms:W3CDTF">2026-10-07T17:18:55Z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